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cstheme="minorHAnsi"/>
          <w:b/>
          <w:bCs/>
          <w:caps/>
          <w:sz w:val="28"/>
          <w:szCs w:val="20"/>
        </w:rPr>
        <w:id w:val="1750069643"/>
        <w:docPartObj>
          <w:docPartGallery w:val="Cover Pages"/>
          <w:docPartUnique/>
        </w:docPartObj>
      </w:sdtPr>
      <w:sdtEndPr>
        <w:rPr>
          <w:color w:val="003366"/>
          <w:szCs w:val="28"/>
        </w:rPr>
      </w:sdtEndPr>
      <w:sdtContent>
        <w:p w14:paraId="03F2D02F" w14:textId="376B79D4" w:rsidR="009E56D9" w:rsidRPr="000C6009" w:rsidRDefault="00670903">
          <w:pPr>
            <w:rPr>
              <w:rFonts w:cstheme="minorHAnsi"/>
            </w:rPr>
          </w:pPr>
          <w:r>
            <w:rPr>
              <w:rFonts w:cstheme="minorHAnsi"/>
            </w:rPr>
            <w:pict w14:anchorId="15204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376.7pt;margin-top:-51.05pt;width:105.95pt;height:47pt;z-index:251658244;mso-position-horizontal-relative:text;mso-position-vertical-relative:text">
                <v:imagedata r:id="rId9" o:title="02_logo_AMP_SFONDO_SCURO"/>
              </v:shape>
            </w:pict>
          </w:r>
          <w:r w:rsidR="0056270B" w:rsidRPr="000C6009">
            <w:rPr>
              <w:rFonts w:cstheme="minorHAnsi"/>
              <w:noProof/>
            </w:rPr>
            <mc:AlternateContent>
              <mc:Choice Requires="wps">
                <w:drawing>
                  <wp:anchor distT="0" distB="0" distL="114300" distR="114300" simplePos="0" relativeHeight="251658243" behindDoc="0" locked="0" layoutInCell="1" allowOverlap="1" wp14:anchorId="0AC1DC41" wp14:editId="3F5FAAAC">
                    <wp:simplePos x="0" y="0"/>
                    <wp:positionH relativeFrom="page">
                      <wp:posOffset>5522026</wp:posOffset>
                    </wp:positionH>
                    <wp:positionV relativeFrom="page">
                      <wp:posOffset>11875</wp:posOffset>
                    </wp:positionV>
                    <wp:extent cx="2018805" cy="10664042"/>
                    <wp:effectExtent l="0" t="0" r="635" b="4445"/>
                    <wp:wrapNone/>
                    <wp:docPr id="472" name="Rettango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805" cy="10664042"/>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7FE891BF" w:rsidR="009B245E" w:rsidRPr="00207886" w:rsidRDefault="009B245E" w:rsidP="007B2C78">
                                    <w:pPr>
                                      <w:pStyle w:val="Sottotitolo"/>
                                      <w:ind w:left="-142"/>
                                      <w:jc w:val="left"/>
                                      <w:rPr>
                                        <w:b/>
                                        <w:i/>
                                        <w:color w:val="FFFFFF" w:themeColor="background1"/>
                                        <w:sz w:val="36"/>
                                        <w:szCs w:val="36"/>
                                      </w:rPr>
                                    </w:pPr>
                                    <w:r w:rsidRPr="00207886">
                                      <w:rPr>
                                        <w:b/>
                                        <w:i/>
                                        <w:color w:val="FFFFFF" w:themeColor="background1"/>
                                        <w:sz w:val="36"/>
                                        <w:szCs w:val="36"/>
                                      </w:rPr>
                                      <w:t xml:space="preserve">Bacino </w:t>
                                    </w:r>
                                    <w:r>
                                      <w:rPr>
                                        <w:b/>
                                        <w:i/>
                                        <w:color w:val="FFFFFF" w:themeColor="background1"/>
                                        <w:sz w:val="36"/>
                                        <w:szCs w:val="36"/>
                                      </w:rPr>
                                      <w:t>Sud Est</w:t>
                                    </w:r>
                                    <w:r w:rsidRPr="00207886">
                                      <w:rPr>
                                        <w:b/>
                                        <w:i/>
                                        <w:color w:val="FFFFFF" w:themeColor="background1"/>
                                        <w:sz w:val="36"/>
                                        <w:szCs w:val="36"/>
                                      </w:rPr>
                                      <w:t xml:space="preserve"> Piemonte</w:t>
                                    </w:r>
                                  </w:p>
                                </w:sdtContent>
                              </w:sdt>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C1DC41" id="Rettangolo 472" o:spid="_x0000_s1026" style="position:absolute;left:0;text-align:left;margin-left:434.8pt;margin-top:.95pt;width:158.95pt;height:839.7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" fillcolor="#036" stroked="f" strokeweight="1.75pt">
                    <v:fill color2="#050e18 [751]" colors="0 #036;36045f #036" focus="100%" type="gradient"/>
                    <v:stroke endcap="round"/>
                    <v:textbox inset="14.4pt,,14.4pt,1mm">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7FE891BF" w:rsidR="009B245E" w:rsidRPr="00207886" w:rsidRDefault="009B245E" w:rsidP="007B2C78">
                              <w:pPr>
                                <w:pStyle w:val="Sottotitolo"/>
                                <w:ind w:left="-142"/>
                                <w:jc w:val="left"/>
                                <w:rPr>
                                  <w:b/>
                                  <w:i/>
                                  <w:color w:val="FFFFFF" w:themeColor="background1"/>
                                  <w:sz w:val="36"/>
                                  <w:szCs w:val="36"/>
                                </w:rPr>
                              </w:pPr>
                              <w:r w:rsidRPr="00207886">
                                <w:rPr>
                                  <w:b/>
                                  <w:i/>
                                  <w:color w:val="FFFFFF" w:themeColor="background1"/>
                                  <w:sz w:val="36"/>
                                  <w:szCs w:val="36"/>
                                </w:rPr>
                                <w:t xml:space="preserve">Bacino </w:t>
                              </w:r>
                              <w:r>
                                <w:rPr>
                                  <w:b/>
                                  <w:i/>
                                  <w:color w:val="FFFFFF" w:themeColor="background1"/>
                                  <w:sz w:val="36"/>
                                  <w:szCs w:val="36"/>
                                </w:rPr>
                                <w:t>Sud Est</w:t>
                              </w:r>
                              <w:r w:rsidRPr="00207886">
                                <w:rPr>
                                  <w:b/>
                                  <w:i/>
                                  <w:color w:val="FFFFFF" w:themeColor="background1"/>
                                  <w:sz w:val="36"/>
                                  <w:szCs w:val="36"/>
                                </w:rPr>
                                <w:t xml:space="preserve"> Piemonte</w:t>
                              </w:r>
                            </w:p>
                          </w:sdtContent>
                        </w:sdt>
                      </w:txbxContent>
                    </v:textbox>
                    <w10:wrap anchorx="page" anchory="page"/>
                  </v:rect>
                </w:pict>
              </mc:Fallback>
            </mc:AlternateContent>
          </w:r>
        </w:p>
        <w:p w14:paraId="346E09A2" w14:textId="21109009" w:rsidR="00C5695F" w:rsidRPr="000C6009" w:rsidRDefault="00F55130" w:rsidP="00C5695F">
          <w:pPr>
            <w:spacing w:after="0"/>
            <w:rPr>
              <w:rFonts w:cstheme="minorHAnsi"/>
              <w:sz w:val="16"/>
              <w:szCs w:val="16"/>
            </w:rPr>
          </w:pPr>
          <w:r w:rsidRPr="000C6009">
            <w:rPr>
              <w:rFonts w:cstheme="minorHAnsi"/>
              <w:noProof/>
            </w:rPr>
            <mc:AlternateContent>
              <mc:Choice Requires="wps">
                <w:drawing>
                  <wp:anchor distT="0" distB="0" distL="114300" distR="114300" simplePos="0" relativeHeight="251657215" behindDoc="0" locked="0" layoutInCell="1" allowOverlap="1" wp14:anchorId="15295898" wp14:editId="7384D723">
                    <wp:simplePos x="0" y="0"/>
                    <wp:positionH relativeFrom="page">
                      <wp:posOffset>141890</wp:posOffset>
                    </wp:positionH>
                    <wp:positionV relativeFrom="page">
                      <wp:posOffset>6605752</wp:posOffset>
                    </wp:positionV>
                    <wp:extent cx="5363210" cy="4078955"/>
                    <wp:effectExtent l="0" t="0" r="0" b="0"/>
                    <wp:wrapNone/>
                    <wp:docPr id="471"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4078955"/>
                            </a:xfrm>
                            <a:prstGeom prst="rect">
                              <a:avLst/>
                            </a:prstGeom>
                            <a:noFill/>
                            <a:ln>
                              <a:noFill/>
                            </a:ln>
                          </wps:spPr>
                          <wps:txbx>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7D174E6" w:rsidR="009B245E" w:rsidRPr="00207886" w:rsidRDefault="009B245E" w:rsidP="0056270B">
                                    <w:pPr>
                                      <w:pStyle w:val="Titolo"/>
                                      <w:jc w:val="center"/>
                                      <w:rPr>
                                        <w:b/>
                                        <w:caps/>
                                        <w:color w:val="003366"/>
                                        <w:sz w:val="60"/>
                                        <w:szCs w:val="60"/>
                                      </w:rPr>
                                    </w:pPr>
                                    <w:r w:rsidRPr="00207886">
                                      <w:rPr>
                                        <w:b/>
                                        <w:caps/>
                                        <w:color w:val="003366"/>
                                        <w:sz w:val="60"/>
                                        <w:szCs w:val="60"/>
                                      </w:rPr>
                                      <w:t>Relazione sui lot</w:t>
                                    </w:r>
                                    <w:r>
                                      <w:rPr>
                                        <w:b/>
                                        <w:caps/>
                                        <w:color w:val="003366"/>
                                        <w:sz w:val="60"/>
                                        <w:szCs w:val="60"/>
                                      </w:rPr>
                                      <w:t>t</w:t>
                                    </w:r>
                                    <w:r w:rsidRPr="00207886">
                                      <w:rPr>
                                        <w:b/>
                                        <w:caps/>
                                        <w:color w:val="003366"/>
                                        <w:sz w:val="60"/>
                                        <w:szCs w:val="60"/>
                                      </w:rPr>
                                      <w:t>i di gara</w:t>
                                    </w:r>
                                  </w:p>
                                </w:sdtContent>
                              </w:sdt>
                              <w:p w14:paraId="3B1A29B5" w14:textId="77777777" w:rsidR="009B245E" w:rsidRPr="00207886" w:rsidRDefault="009B245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9B245E" w:rsidRPr="00207886" w:rsidRDefault="009B245E" w:rsidP="0056270B">
                                    <w:pPr>
                                      <w:spacing w:before="240"/>
                                      <w:ind w:left="1008"/>
                                      <w:jc w:val="center"/>
                                      <w:rPr>
                                        <w:color w:val="FFFFFF" w:themeColor="background1"/>
                                        <w:sz w:val="28"/>
                                        <w:szCs w:val="28"/>
                                      </w:rPr>
                                    </w:pPr>
                                    <w:r w:rsidRPr="004E445F">
                                      <w:rPr>
                                        <w:color w:val="003366"/>
                                        <w:sz w:val="28"/>
                                        <w:szCs w:val="28"/>
                                      </w:rPr>
                                      <w:t xml:space="preserve">Affidamento dei servizi di Trasporto Pubblico Locale   Ex Misure 4 e 6 dell’allegato A                                        alla Delibera ART 48/2017 </w:t>
                                    </w:r>
                                  </w:p>
                                </w:sdtContent>
                              </w:sdt>
                            </w:txbxContent>
                          </wps:txbx>
                          <wps:bodyPr rot="0" vert="horz" wrap="square" lIns="274320" tIns="914400" rIns="274320" bIns="1440000" anchor="b" anchorCtr="0" upright="1">
                            <a:noAutofit/>
                          </wps:bodyPr>
                        </wps:wsp>
                      </a:graphicData>
                    </a:graphic>
                    <wp14:sizeRelH relativeFrom="page">
                      <wp14:pctWidth>69000</wp14:pctWidth>
                    </wp14:sizeRelH>
                    <wp14:sizeRelV relativeFrom="page">
                      <wp14:pctHeight>0</wp14:pctHeight>
                    </wp14:sizeRelV>
                  </wp:anchor>
                </w:drawing>
              </mc:Choice>
              <mc:Fallback>
                <w:pict>
                  <v:rect w14:anchorId="15295898" id="Rettangolo 16" o:spid="_x0000_s1027" style="position:absolute;left:0;text-align:left;margin-left:11.15pt;margin-top:520.15pt;width:422.3pt;height:321.2pt;z-index:251657215;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" filled="f" stroked="f">
                    <v:textbox inset="21.6pt,1in,21.6pt,40mm">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7D174E6" w:rsidR="009B245E" w:rsidRPr="00207886" w:rsidRDefault="009B245E" w:rsidP="0056270B">
                              <w:pPr>
                                <w:pStyle w:val="Titolo"/>
                                <w:jc w:val="center"/>
                                <w:rPr>
                                  <w:b/>
                                  <w:caps/>
                                  <w:color w:val="003366"/>
                                  <w:sz w:val="60"/>
                                  <w:szCs w:val="60"/>
                                </w:rPr>
                              </w:pPr>
                              <w:r w:rsidRPr="00207886">
                                <w:rPr>
                                  <w:b/>
                                  <w:caps/>
                                  <w:color w:val="003366"/>
                                  <w:sz w:val="60"/>
                                  <w:szCs w:val="60"/>
                                </w:rPr>
                                <w:t>Relazione sui lot</w:t>
                              </w:r>
                              <w:r>
                                <w:rPr>
                                  <w:b/>
                                  <w:caps/>
                                  <w:color w:val="003366"/>
                                  <w:sz w:val="60"/>
                                  <w:szCs w:val="60"/>
                                </w:rPr>
                                <w:t>t</w:t>
                              </w:r>
                              <w:r w:rsidRPr="00207886">
                                <w:rPr>
                                  <w:b/>
                                  <w:caps/>
                                  <w:color w:val="003366"/>
                                  <w:sz w:val="60"/>
                                  <w:szCs w:val="60"/>
                                </w:rPr>
                                <w:t>i di gara</w:t>
                              </w:r>
                            </w:p>
                          </w:sdtContent>
                        </w:sdt>
                        <w:p w14:paraId="3B1A29B5" w14:textId="77777777" w:rsidR="009B245E" w:rsidRPr="00207886" w:rsidRDefault="009B245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9B245E" w:rsidRPr="00207886" w:rsidRDefault="009B245E" w:rsidP="0056270B">
                              <w:pPr>
                                <w:spacing w:before="240"/>
                                <w:ind w:left="1008"/>
                                <w:jc w:val="center"/>
                                <w:rPr>
                                  <w:color w:val="FFFFFF" w:themeColor="background1"/>
                                  <w:sz w:val="28"/>
                                  <w:szCs w:val="28"/>
                                </w:rPr>
                              </w:pPr>
                              <w:r w:rsidRPr="004E445F">
                                <w:rPr>
                                  <w:color w:val="003366"/>
                                  <w:sz w:val="28"/>
                                  <w:szCs w:val="28"/>
                                </w:rPr>
                                <w:t xml:space="preserve">Affidamento dei servizi di Trasporto Pubblico Locale   Ex Misure 4 e 6 dell’allegato A                                        alla Delibera ART 48/2017 </w:t>
                              </w:r>
                            </w:p>
                          </w:sdtContent>
                        </w:sdt>
                      </w:txbxContent>
                    </v:textbox>
                    <w10:wrap anchorx="page" anchory="page"/>
                  </v:rect>
                </w:pict>
              </mc:Fallback>
            </mc:AlternateContent>
          </w:r>
          <w:r w:rsidR="00B355D6" w:rsidRPr="000C6009">
            <w:rPr>
              <w:rFonts w:cstheme="minorHAnsi"/>
              <w:b/>
              <w:bCs/>
              <w:caps/>
              <w:noProof/>
            </w:rPr>
            <w:drawing>
              <wp:inline distT="0" distB="0" distL="0" distR="0" wp14:anchorId="5964C728" wp14:editId="2F0FF709">
                <wp:extent cx="4279900" cy="5089425"/>
                <wp:effectExtent l="0" t="0" r="6350" b="0"/>
                <wp:docPr id="7420913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91346"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279900" cy="5089425"/>
                        </a:xfrm>
                        <a:prstGeom prst="rect">
                          <a:avLst/>
                        </a:prstGeom>
                        <a:noFill/>
                      </pic:spPr>
                    </pic:pic>
                  </a:graphicData>
                </a:graphic>
              </wp:inline>
            </w:drawing>
          </w:r>
          <w:r w:rsidR="00C5695F" w:rsidRPr="000C6009">
            <w:rPr>
              <w:rFonts w:cstheme="minorHAnsi"/>
              <w:sz w:val="16"/>
              <w:szCs w:val="16"/>
            </w:rPr>
            <w:t xml:space="preserve"> </w:t>
          </w:r>
        </w:p>
        <w:p w14:paraId="179F1249" w14:textId="77777777" w:rsidR="00C5695F" w:rsidRPr="000C6009" w:rsidRDefault="00C5695F" w:rsidP="00C5695F">
          <w:pPr>
            <w:spacing w:after="0"/>
            <w:rPr>
              <w:rFonts w:cstheme="minorHAnsi"/>
              <w:sz w:val="16"/>
              <w:szCs w:val="16"/>
            </w:rPr>
          </w:pPr>
        </w:p>
        <w:p w14:paraId="6357B133" w14:textId="77777777" w:rsidR="00C5695F" w:rsidRPr="000C6009" w:rsidRDefault="00C5695F" w:rsidP="00C5695F">
          <w:pPr>
            <w:spacing w:after="0"/>
            <w:rPr>
              <w:rFonts w:cstheme="minorHAnsi"/>
              <w:sz w:val="16"/>
              <w:szCs w:val="16"/>
            </w:rPr>
          </w:pPr>
        </w:p>
        <w:p w14:paraId="48EFE502" w14:textId="77777777" w:rsidR="00C5695F" w:rsidRPr="000C6009" w:rsidRDefault="00C5695F" w:rsidP="00C5695F">
          <w:pPr>
            <w:spacing w:after="0"/>
            <w:rPr>
              <w:rFonts w:cstheme="minorHAnsi"/>
              <w:sz w:val="16"/>
              <w:szCs w:val="16"/>
            </w:rPr>
          </w:pPr>
        </w:p>
        <w:p w14:paraId="20C20747" w14:textId="77777777" w:rsidR="00C5695F" w:rsidRPr="000C6009" w:rsidRDefault="00C5695F" w:rsidP="00C5695F">
          <w:pPr>
            <w:spacing w:after="0"/>
            <w:rPr>
              <w:rFonts w:cstheme="minorHAnsi"/>
              <w:sz w:val="16"/>
              <w:szCs w:val="16"/>
            </w:rPr>
          </w:pPr>
        </w:p>
        <w:p w14:paraId="1BFDEBB9" w14:textId="77777777" w:rsidR="00C5695F" w:rsidRPr="000C6009" w:rsidRDefault="00C5695F" w:rsidP="00C5695F">
          <w:pPr>
            <w:spacing w:after="0"/>
            <w:rPr>
              <w:rFonts w:cstheme="minorHAnsi"/>
              <w:sz w:val="16"/>
              <w:szCs w:val="16"/>
            </w:rPr>
          </w:pPr>
        </w:p>
        <w:p w14:paraId="3DF7530A" w14:textId="77777777" w:rsidR="00C5695F" w:rsidRPr="000C6009" w:rsidRDefault="00C5695F" w:rsidP="00C5695F">
          <w:pPr>
            <w:spacing w:after="0"/>
            <w:rPr>
              <w:rFonts w:cstheme="minorHAnsi"/>
              <w:sz w:val="16"/>
              <w:szCs w:val="16"/>
            </w:rPr>
          </w:pPr>
        </w:p>
        <w:p w14:paraId="3EB75FF9" w14:textId="77777777" w:rsidR="00C5695F" w:rsidRPr="000C6009" w:rsidRDefault="00C5695F" w:rsidP="00C5695F">
          <w:pPr>
            <w:spacing w:after="0"/>
            <w:rPr>
              <w:rFonts w:cstheme="minorHAnsi"/>
              <w:sz w:val="16"/>
              <w:szCs w:val="16"/>
            </w:rPr>
          </w:pPr>
        </w:p>
        <w:p w14:paraId="6CB5E4C8" w14:textId="77777777" w:rsidR="00C5695F" w:rsidRPr="000C6009" w:rsidRDefault="00C5695F" w:rsidP="00C5695F">
          <w:pPr>
            <w:spacing w:after="0"/>
            <w:rPr>
              <w:rFonts w:cstheme="minorHAnsi"/>
              <w:sz w:val="16"/>
              <w:szCs w:val="16"/>
            </w:rPr>
          </w:pPr>
        </w:p>
        <w:p w14:paraId="18E67AE1" w14:textId="77777777" w:rsidR="00C5695F" w:rsidRPr="000C6009" w:rsidRDefault="00C5695F" w:rsidP="00C5695F">
          <w:pPr>
            <w:spacing w:after="0"/>
            <w:rPr>
              <w:rFonts w:cstheme="minorHAnsi"/>
              <w:sz w:val="16"/>
              <w:szCs w:val="16"/>
            </w:rPr>
          </w:pPr>
        </w:p>
        <w:p w14:paraId="1E622489" w14:textId="77777777" w:rsidR="00C5695F" w:rsidRPr="000C6009" w:rsidRDefault="00C5695F" w:rsidP="00C5695F">
          <w:pPr>
            <w:spacing w:after="0"/>
            <w:rPr>
              <w:rFonts w:cstheme="minorHAnsi"/>
              <w:sz w:val="16"/>
              <w:szCs w:val="16"/>
            </w:rPr>
          </w:pPr>
        </w:p>
        <w:p w14:paraId="148F2764" w14:textId="77777777" w:rsidR="00C5695F" w:rsidRPr="000C6009" w:rsidRDefault="00C5695F" w:rsidP="00C5695F">
          <w:pPr>
            <w:spacing w:after="0"/>
            <w:rPr>
              <w:rFonts w:cstheme="minorHAnsi"/>
              <w:sz w:val="16"/>
              <w:szCs w:val="16"/>
            </w:rPr>
          </w:pPr>
        </w:p>
        <w:p w14:paraId="0110D839" w14:textId="77777777" w:rsidR="00C5695F" w:rsidRPr="000C6009" w:rsidRDefault="00C5695F" w:rsidP="00C5695F">
          <w:pPr>
            <w:spacing w:after="0"/>
            <w:rPr>
              <w:rFonts w:cstheme="minorHAnsi"/>
              <w:sz w:val="16"/>
              <w:szCs w:val="16"/>
            </w:rPr>
          </w:pPr>
        </w:p>
        <w:p w14:paraId="05E4E3EF" w14:textId="77777777" w:rsidR="00C5695F" w:rsidRPr="000C6009" w:rsidRDefault="00C5695F" w:rsidP="00C5695F">
          <w:pPr>
            <w:spacing w:after="0"/>
            <w:rPr>
              <w:rFonts w:cstheme="minorHAnsi"/>
              <w:sz w:val="16"/>
              <w:szCs w:val="16"/>
            </w:rPr>
          </w:pPr>
        </w:p>
        <w:p w14:paraId="2824D014" w14:textId="77777777" w:rsidR="00C5695F" w:rsidRPr="000C6009" w:rsidRDefault="00C5695F" w:rsidP="00C5695F">
          <w:pPr>
            <w:spacing w:after="0"/>
            <w:rPr>
              <w:rFonts w:cstheme="minorHAnsi"/>
              <w:sz w:val="16"/>
              <w:szCs w:val="16"/>
            </w:rPr>
          </w:pPr>
        </w:p>
        <w:p w14:paraId="29A02397" w14:textId="77777777" w:rsidR="00C5695F" w:rsidRPr="000C6009" w:rsidRDefault="00C5695F" w:rsidP="00C5695F">
          <w:pPr>
            <w:spacing w:after="0"/>
            <w:rPr>
              <w:rFonts w:cstheme="minorHAnsi"/>
              <w:sz w:val="16"/>
              <w:szCs w:val="16"/>
            </w:rPr>
          </w:pPr>
        </w:p>
        <w:p w14:paraId="3DC82D38" w14:textId="77777777" w:rsidR="00C5695F" w:rsidRPr="000C6009" w:rsidRDefault="00C5695F" w:rsidP="00C5695F">
          <w:pPr>
            <w:spacing w:after="0"/>
            <w:rPr>
              <w:rFonts w:cstheme="minorHAnsi"/>
              <w:sz w:val="16"/>
              <w:szCs w:val="16"/>
            </w:rPr>
          </w:pPr>
        </w:p>
        <w:p w14:paraId="78272EF3" w14:textId="77777777" w:rsidR="00C5695F" w:rsidRPr="000C6009" w:rsidRDefault="00C5695F" w:rsidP="00C5695F">
          <w:pPr>
            <w:spacing w:after="0"/>
            <w:rPr>
              <w:rFonts w:cstheme="minorHAnsi"/>
              <w:sz w:val="16"/>
              <w:szCs w:val="16"/>
            </w:rPr>
          </w:pPr>
        </w:p>
        <w:p w14:paraId="65B63561" w14:textId="77777777" w:rsidR="00C5695F" w:rsidRPr="000C6009" w:rsidRDefault="00C5695F" w:rsidP="00C5695F">
          <w:pPr>
            <w:spacing w:after="0"/>
            <w:rPr>
              <w:rFonts w:cstheme="minorHAnsi"/>
              <w:sz w:val="16"/>
              <w:szCs w:val="16"/>
            </w:rPr>
          </w:pPr>
        </w:p>
        <w:p w14:paraId="742F9F0B" w14:textId="77777777" w:rsidR="00C5695F" w:rsidRPr="000C6009" w:rsidRDefault="00C5695F" w:rsidP="00C5695F">
          <w:pPr>
            <w:spacing w:after="0"/>
            <w:rPr>
              <w:rFonts w:cstheme="minorHAnsi"/>
              <w:sz w:val="16"/>
              <w:szCs w:val="16"/>
            </w:rPr>
          </w:pPr>
        </w:p>
        <w:p w14:paraId="1C05DB8E" w14:textId="77777777" w:rsidR="00C5695F" w:rsidRPr="000C6009" w:rsidRDefault="00C5695F" w:rsidP="00C5695F">
          <w:pPr>
            <w:spacing w:after="0"/>
            <w:rPr>
              <w:rFonts w:cstheme="minorHAnsi"/>
              <w:sz w:val="16"/>
              <w:szCs w:val="16"/>
            </w:rPr>
          </w:pPr>
        </w:p>
        <w:p w14:paraId="3A83F2E4" w14:textId="77777777" w:rsidR="00C5695F" w:rsidRPr="000C6009" w:rsidRDefault="00C5695F" w:rsidP="00C5695F">
          <w:pPr>
            <w:spacing w:after="0"/>
            <w:rPr>
              <w:rFonts w:cstheme="minorHAnsi"/>
              <w:sz w:val="16"/>
              <w:szCs w:val="16"/>
            </w:rPr>
          </w:pPr>
        </w:p>
        <w:p w14:paraId="5C446841" w14:textId="77777777" w:rsidR="00C5695F" w:rsidRPr="000C6009" w:rsidRDefault="00C5695F" w:rsidP="00C5695F">
          <w:pPr>
            <w:spacing w:after="0"/>
            <w:rPr>
              <w:rFonts w:cstheme="minorHAnsi"/>
              <w:sz w:val="16"/>
              <w:szCs w:val="16"/>
            </w:rPr>
          </w:pPr>
        </w:p>
        <w:p w14:paraId="49F6E4BF" w14:textId="2BEA3594" w:rsidR="00C5695F" w:rsidRPr="000C6009" w:rsidRDefault="00C5695F" w:rsidP="00C5695F">
          <w:pPr>
            <w:spacing w:after="0"/>
            <w:rPr>
              <w:rFonts w:cstheme="minorHAnsi"/>
              <w:sz w:val="16"/>
              <w:szCs w:val="16"/>
            </w:rPr>
          </w:pPr>
          <w:r w:rsidRPr="000C6009">
            <w:rPr>
              <w:rFonts w:cstheme="minorHAnsi"/>
              <w:sz w:val="16"/>
              <w:szCs w:val="16"/>
            </w:rPr>
            <w:t>Versione 1</w:t>
          </w:r>
        </w:p>
        <w:p w14:paraId="1FB25B64" w14:textId="64208D2F" w:rsidR="00C5695F" w:rsidRPr="000C6009" w:rsidRDefault="00C5695F" w:rsidP="00C5695F">
          <w:pPr>
            <w:spacing w:after="0"/>
            <w:rPr>
              <w:rFonts w:cstheme="minorHAnsi"/>
              <w:sz w:val="16"/>
              <w:szCs w:val="16"/>
            </w:rPr>
          </w:pPr>
          <w:r w:rsidRPr="000C6009">
            <w:rPr>
              <w:rFonts w:cstheme="minorHAnsi"/>
              <w:sz w:val="16"/>
              <w:szCs w:val="16"/>
            </w:rPr>
            <w:t>Trasmessa all’ART per acquisizione parere</w:t>
          </w:r>
        </w:p>
        <w:p w14:paraId="73AB6AA4" w14:textId="13725A33" w:rsidR="00DD7089" w:rsidRPr="000C6009" w:rsidRDefault="001A2976">
          <w:pPr>
            <w:jc w:val="left"/>
            <w:rPr>
              <w:rFonts w:cstheme="minorHAnsi"/>
            </w:rPr>
          </w:pPr>
          <w:r w:rsidRPr="000C6009">
            <w:rPr>
              <w:rFonts w:cstheme="minorHAnsi"/>
              <w:noProof/>
            </w:rPr>
            <mc:AlternateContent>
              <mc:Choice Requires="wps">
                <w:drawing>
                  <wp:anchor distT="0" distB="0" distL="114300" distR="114300" simplePos="0" relativeHeight="251658242" behindDoc="0" locked="0" layoutInCell="1" allowOverlap="1" wp14:anchorId="41D97C16" wp14:editId="1819D437">
                    <wp:simplePos x="0" y="0"/>
                    <wp:positionH relativeFrom="column">
                      <wp:posOffset>3028212</wp:posOffset>
                    </wp:positionH>
                    <wp:positionV relativeFrom="paragraph">
                      <wp:posOffset>480784</wp:posOffset>
                    </wp:positionV>
                    <wp:extent cx="1546225" cy="381000"/>
                    <wp:effectExtent l="0" t="0" r="15875" b="19050"/>
                    <wp:wrapNone/>
                    <wp:docPr id="455" name="Casella di testo 455"/>
                    <wp:cNvGraphicFramePr/>
                    <a:graphic xmlns:a="http://schemas.openxmlformats.org/drawingml/2006/main">
                      <a:graphicData uri="http://schemas.microsoft.com/office/word/2010/wordprocessingShape">
                        <wps:wsp>
                          <wps:cNvSpPr txBox="1"/>
                          <wps:spPr>
                            <a:xfrm>
                              <a:off x="0" y="0"/>
                              <a:ext cx="1546225" cy="381000"/>
                            </a:xfrm>
                            <a:prstGeom prst="rect">
                              <a:avLst/>
                            </a:prstGeom>
                            <a:solidFill>
                              <a:schemeClr val="lt1"/>
                            </a:solidFill>
                            <a:ln w="6350">
                              <a:solidFill>
                                <a:schemeClr val="accent6">
                                  <a:lumMod val="60000"/>
                                  <a:lumOff val="40000"/>
                                </a:schemeClr>
                              </a:solidFill>
                            </a:ln>
                          </wps:spPr>
                          <wps:txbx>
                            <w:txbxContent>
                              <w:p w14:paraId="5C5B0EDB" w14:textId="601DFB77" w:rsidR="009B245E" w:rsidRPr="00207886" w:rsidRDefault="009B245E" w:rsidP="00623676">
                                <w:pPr>
                                  <w:jc w:val="center"/>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Luglio </w:t>
                                </w:r>
                                <w:r w:rsidRPr="00207886">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D97C16" id="_x0000_t202" coordsize="21600,21600" o:spt="202" path="m,l,21600r21600,l21600,xe">
                    <v:stroke joinstyle="miter"/>
                    <v:path gradientshapeok="t" o:connecttype="rect"/>
                  </v:shapetype>
                  <v:shape id="Casella di testo 455" o:spid="_x0000_s1028" type="#_x0000_t202" style="position:absolute;margin-left:238.45pt;margin-top:37.85pt;width:121.75pt;height:30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" fillcolor="white [3201]" strokecolor="#dde8bc [1945]" strokeweight=".5pt">
                    <v:textbox>
                      <w:txbxContent>
                        <w:p w14:paraId="5C5B0EDB" w14:textId="601DFB77" w:rsidR="009B245E" w:rsidRPr="00207886" w:rsidRDefault="009B245E" w:rsidP="00623676">
                          <w:pPr>
                            <w:jc w:val="center"/>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Luglio </w:t>
                          </w:r>
                          <w:r w:rsidRPr="00207886">
                            <w:rPr>
                              <w:rFonts w:cstheme="minorHAnsi"/>
                              <w:color w:val="DDE8BC"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2025</w:t>
                          </w:r>
                        </w:p>
                      </w:txbxContent>
                    </v:textbox>
                  </v:shape>
                </w:pict>
              </mc:Fallback>
            </mc:AlternateContent>
          </w:r>
        </w:p>
        <w:p w14:paraId="0F0B27B1" w14:textId="77777777" w:rsidR="004E445F" w:rsidRDefault="004E445F" w:rsidP="00DA38FE">
          <w:pPr>
            <w:jc w:val="left"/>
            <w:rPr>
              <w:rFonts w:cstheme="minorHAnsi"/>
              <w:color w:val="003366"/>
              <w:szCs w:val="28"/>
            </w:rPr>
            <w:sectPr w:rsidR="004E445F" w:rsidSect="00390EC3">
              <w:headerReference w:type="first" r:id="rId11"/>
              <w:footerReference w:type="first" r:id="rId12"/>
              <w:type w:val="continuous"/>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0F90F1E3" w14:textId="79CC15A0" w:rsidR="004E445F" w:rsidRPr="004E445F" w:rsidRDefault="004E445F" w:rsidP="004E445F">
          <w:pPr>
            <w:rPr>
              <w:b/>
              <w:bCs/>
              <w:color w:val="003366"/>
              <w:sz w:val="36"/>
              <w:szCs w:val="36"/>
            </w:rPr>
          </w:pPr>
          <w:r w:rsidRPr="004E445F">
            <w:rPr>
              <w:b/>
              <w:bCs/>
              <w:color w:val="003366"/>
              <w:sz w:val="36"/>
              <w:szCs w:val="36"/>
            </w:rPr>
            <w:lastRenderedPageBreak/>
            <w:t>INDICE</w:t>
          </w:r>
        </w:p>
        <w:sdt>
          <w:sdtPr>
            <w:id w:val="-1764597540"/>
            <w:docPartObj>
              <w:docPartGallery w:val="Table of Contents"/>
              <w:docPartUnique/>
            </w:docPartObj>
          </w:sdtPr>
          <w:sdtEndPr>
            <w:rPr>
              <w:b/>
              <w:bCs/>
            </w:rPr>
          </w:sdtEndPr>
          <w:sdtContent>
            <w:p w14:paraId="128FB448" w14:textId="39D8450D" w:rsidR="00691FEF" w:rsidRDefault="004E445F">
              <w:pPr>
                <w:pStyle w:val="Sommario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05213692" w:history="1">
                <w:r w:rsidR="00691FEF" w:rsidRPr="001B11AA">
                  <w:rPr>
                    <w:rStyle w:val="Collegamentoipertestuale"/>
                    <w:rFonts w:cstheme="minorHAnsi"/>
                    <w:noProof/>
                  </w:rPr>
                  <w:t>0</w:t>
                </w:r>
                <w:r w:rsidR="00691FEF">
                  <w:rPr>
                    <w:rFonts w:eastAsiaTheme="minorEastAsia"/>
                    <w:noProof/>
                    <w:kern w:val="2"/>
                    <w:sz w:val="24"/>
                    <w:szCs w:val="24"/>
                    <w14:ligatures w14:val="standardContextual"/>
                  </w:rPr>
                  <w:tab/>
                </w:r>
                <w:r w:rsidR="00691FEF" w:rsidRPr="001B11AA">
                  <w:rPr>
                    <w:rStyle w:val="Collegamentoipertestuale"/>
                    <w:rFonts w:cstheme="minorHAnsi"/>
                    <w:noProof/>
                  </w:rPr>
                  <w:t>Premessa</w:t>
                </w:r>
                <w:r w:rsidR="00691FEF">
                  <w:rPr>
                    <w:noProof/>
                    <w:webHidden/>
                  </w:rPr>
                  <w:tab/>
                </w:r>
                <w:r w:rsidR="00691FEF">
                  <w:rPr>
                    <w:noProof/>
                    <w:webHidden/>
                  </w:rPr>
                  <w:fldChar w:fldCharType="begin"/>
                </w:r>
                <w:r w:rsidR="00691FEF">
                  <w:rPr>
                    <w:noProof/>
                    <w:webHidden/>
                  </w:rPr>
                  <w:instrText xml:space="preserve"> PAGEREF _Toc205213692 \h </w:instrText>
                </w:r>
                <w:r w:rsidR="00691FEF">
                  <w:rPr>
                    <w:noProof/>
                    <w:webHidden/>
                  </w:rPr>
                </w:r>
                <w:r w:rsidR="00691FEF">
                  <w:rPr>
                    <w:noProof/>
                    <w:webHidden/>
                  </w:rPr>
                  <w:fldChar w:fldCharType="separate"/>
                </w:r>
                <w:r w:rsidR="00670903">
                  <w:rPr>
                    <w:noProof/>
                    <w:webHidden/>
                  </w:rPr>
                  <w:t>6</w:t>
                </w:r>
                <w:r w:rsidR="00691FEF">
                  <w:rPr>
                    <w:noProof/>
                    <w:webHidden/>
                  </w:rPr>
                  <w:fldChar w:fldCharType="end"/>
                </w:r>
              </w:hyperlink>
            </w:p>
            <w:p w14:paraId="2E03F7D0" w14:textId="03CB4231" w:rsidR="00691FEF" w:rsidRDefault="00691FEF">
              <w:pPr>
                <w:pStyle w:val="Sommario1"/>
                <w:rPr>
                  <w:rFonts w:eastAsiaTheme="minorEastAsia"/>
                  <w:noProof/>
                  <w:kern w:val="2"/>
                  <w:sz w:val="24"/>
                  <w:szCs w:val="24"/>
                  <w14:ligatures w14:val="standardContextual"/>
                </w:rPr>
              </w:pPr>
              <w:hyperlink w:anchor="_Toc205213693" w:history="1">
                <w:r w:rsidRPr="001B11AA">
                  <w:rPr>
                    <w:rStyle w:val="Collegamentoipertestuale"/>
                    <w:rFonts w:cstheme="minorHAnsi"/>
                    <w:noProof/>
                  </w:rPr>
                  <w:t>1</w:t>
                </w:r>
                <w:r>
                  <w:rPr>
                    <w:rFonts w:eastAsiaTheme="minorEastAsia"/>
                    <w:noProof/>
                    <w:kern w:val="2"/>
                    <w:sz w:val="24"/>
                    <w:szCs w:val="24"/>
                    <w14:ligatures w14:val="standardContextual"/>
                  </w:rPr>
                  <w:tab/>
                </w:r>
                <w:r w:rsidRPr="001B11AA">
                  <w:rPr>
                    <w:rStyle w:val="Collegamentoipertestuale"/>
                    <w:rFonts w:cstheme="minorHAnsi"/>
                    <w:noProof/>
                  </w:rPr>
                  <w:t>Quadro di riferimento normativo</w:t>
                </w:r>
                <w:r>
                  <w:rPr>
                    <w:noProof/>
                    <w:webHidden/>
                  </w:rPr>
                  <w:tab/>
                </w:r>
                <w:r>
                  <w:rPr>
                    <w:noProof/>
                    <w:webHidden/>
                  </w:rPr>
                  <w:fldChar w:fldCharType="begin"/>
                </w:r>
                <w:r>
                  <w:rPr>
                    <w:noProof/>
                    <w:webHidden/>
                  </w:rPr>
                  <w:instrText xml:space="preserve"> PAGEREF _Toc205213693 \h </w:instrText>
                </w:r>
                <w:r>
                  <w:rPr>
                    <w:noProof/>
                    <w:webHidden/>
                  </w:rPr>
                </w:r>
                <w:r>
                  <w:rPr>
                    <w:noProof/>
                    <w:webHidden/>
                  </w:rPr>
                  <w:fldChar w:fldCharType="separate"/>
                </w:r>
                <w:r w:rsidR="00670903">
                  <w:rPr>
                    <w:noProof/>
                    <w:webHidden/>
                  </w:rPr>
                  <w:t>8</w:t>
                </w:r>
                <w:r>
                  <w:rPr>
                    <w:noProof/>
                    <w:webHidden/>
                  </w:rPr>
                  <w:fldChar w:fldCharType="end"/>
                </w:r>
              </w:hyperlink>
            </w:p>
            <w:p w14:paraId="6946AF3E" w14:textId="3207B557" w:rsidR="00691FEF" w:rsidRDefault="00691FEF">
              <w:pPr>
                <w:pStyle w:val="Sommario2"/>
                <w:rPr>
                  <w:rFonts w:eastAsiaTheme="minorEastAsia"/>
                  <w:noProof/>
                  <w:kern w:val="2"/>
                  <w:sz w:val="24"/>
                  <w:szCs w:val="24"/>
                  <w14:ligatures w14:val="standardContextual"/>
                </w:rPr>
              </w:pPr>
              <w:hyperlink w:anchor="_Toc205213694" w:history="1">
                <w:r w:rsidRPr="001B11AA">
                  <w:rPr>
                    <w:rStyle w:val="Collegamentoipertestuale"/>
                    <w:rFonts w:cstheme="minorHAnsi"/>
                    <w:noProof/>
                  </w:rPr>
                  <w:t>1.1</w:t>
                </w:r>
                <w:r>
                  <w:rPr>
                    <w:rFonts w:eastAsiaTheme="minorEastAsia"/>
                    <w:noProof/>
                    <w:kern w:val="2"/>
                    <w:sz w:val="24"/>
                    <w:szCs w:val="24"/>
                    <w14:ligatures w14:val="standardContextual"/>
                  </w:rPr>
                  <w:tab/>
                </w:r>
                <w:r w:rsidRPr="001B11AA">
                  <w:rPr>
                    <w:rStyle w:val="Collegamentoipertestuale"/>
                    <w:rFonts w:cstheme="minorHAnsi"/>
                    <w:noProof/>
                  </w:rPr>
                  <w:t xml:space="preserve">Breve </w:t>
                </w:r>
                <w:r w:rsidRPr="001B11AA">
                  <w:rPr>
                    <w:rStyle w:val="Collegamentoipertestuale"/>
                    <w:rFonts w:cstheme="minorHAnsi"/>
                    <w:i/>
                    <w:noProof/>
                  </w:rPr>
                  <w:t>excursus</w:t>
                </w:r>
                <w:r w:rsidRPr="001B11AA">
                  <w:rPr>
                    <w:rStyle w:val="Collegamentoipertestuale"/>
                    <w:rFonts w:cstheme="minorHAnsi"/>
                    <w:noProof/>
                  </w:rPr>
                  <w:t xml:space="preserve"> sull’assetto normativo europeo e nazionale</w:t>
                </w:r>
                <w:r>
                  <w:rPr>
                    <w:noProof/>
                    <w:webHidden/>
                  </w:rPr>
                  <w:tab/>
                </w:r>
                <w:r>
                  <w:rPr>
                    <w:noProof/>
                    <w:webHidden/>
                  </w:rPr>
                  <w:fldChar w:fldCharType="begin"/>
                </w:r>
                <w:r>
                  <w:rPr>
                    <w:noProof/>
                    <w:webHidden/>
                  </w:rPr>
                  <w:instrText xml:space="preserve"> PAGEREF _Toc205213694 \h </w:instrText>
                </w:r>
                <w:r>
                  <w:rPr>
                    <w:noProof/>
                    <w:webHidden/>
                  </w:rPr>
                </w:r>
                <w:r>
                  <w:rPr>
                    <w:noProof/>
                    <w:webHidden/>
                  </w:rPr>
                  <w:fldChar w:fldCharType="separate"/>
                </w:r>
                <w:r w:rsidR="00670903">
                  <w:rPr>
                    <w:noProof/>
                    <w:webHidden/>
                  </w:rPr>
                  <w:t>8</w:t>
                </w:r>
                <w:r>
                  <w:rPr>
                    <w:noProof/>
                    <w:webHidden/>
                  </w:rPr>
                  <w:fldChar w:fldCharType="end"/>
                </w:r>
              </w:hyperlink>
            </w:p>
            <w:p w14:paraId="57BDBEB4" w14:textId="4B1CC6AB" w:rsidR="00691FEF" w:rsidRDefault="00691FEF">
              <w:pPr>
                <w:pStyle w:val="Sommario2"/>
                <w:rPr>
                  <w:rFonts w:eastAsiaTheme="minorEastAsia"/>
                  <w:noProof/>
                  <w:kern w:val="2"/>
                  <w:sz w:val="24"/>
                  <w:szCs w:val="24"/>
                  <w14:ligatures w14:val="standardContextual"/>
                </w:rPr>
              </w:pPr>
              <w:hyperlink w:anchor="_Toc205213695" w:history="1">
                <w:r w:rsidRPr="001B11AA">
                  <w:rPr>
                    <w:rStyle w:val="Collegamentoipertestuale"/>
                    <w:rFonts w:cstheme="minorHAnsi"/>
                    <w:noProof/>
                  </w:rPr>
                  <w:t>1.2</w:t>
                </w:r>
                <w:r>
                  <w:rPr>
                    <w:rFonts w:eastAsiaTheme="minorEastAsia"/>
                    <w:noProof/>
                    <w:kern w:val="2"/>
                    <w:sz w:val="24"/>
                    <w:szCs w:val="24"/>
                    <w14:ligatures w14:val="standardContextual"/>
                  </w:rPr>
                  <w:tab/>
                </w:r>
                <w:r w:rsidRPr="001B11AA">
                  <w:rPr>
                    <w:rStyle w:val="Collegamentoipertestuale"/>
                    <w:rFonts w:cstheme="minorHAnsi"/>
                    <w:noProof/>
                  </w:rPr>
                  <w:t>Assetto normativo regionale</w:t>
                </w:r>
                <w:r>
                  <w:rPr>
                    <w:noProof/>
                    <w:webHidden/>
                  </w:rPr>
                  <w:tab/>
                </w:r>
                <w:r>
                  <w:rPr>
                    <w:noProof/>
                    <w:webHidden/>
                  </w:rPr>
                  <w:fldChar w:fldCharType="begin"/>
                </w:r>
                <w:r>
                  <w:rPr>
                    <w:noProof/>
                    <w:webHidden/>
                  </w:rPr>
                  <w:instrText xml:space="preserve"> PAGEREF _Toc205213695 \h </w:instrText>
                </w:r>
                <w:r>
                  <w:rPr>
                    <w:noProof/>
                    <w:webHidden/>
                  </w:rPr>
                </w:r>
                <w:r>
                  <w:rPr>
                    <w:noProof/>
                    <w:webHidden/>
                  </w:rPr>
                  <w:fldChar w:fldCharType="separate"/>
                </w:r>
                <w:r w:rsidR="00670903">
                  <w:rPr>
                    <w:noProof/>
                    <w:webHidden/>
                  </w:rPr>
                  <w:t>8</w:t>
                </w:r>
                <w:r>
                  <w:rPr>
                    <w:noProof/>
                    <w:webHidden/>
                  </w:rPr>
                  <w:fldChar w:fldCharType="end"/>
                </w:r>
              </w:hyperlink>
            </w:p>
            <w:p w14:paraId="2549EFC9" w14:textId="2100CD5E" w:rsidR="00691FEF" w:rsidRDefault="00691FEF">
              <w:pPr>
                <w:pStyle w:val="Sommario3"/>
                <w:rPr>
                  <w:rFonts w:eastAsiaTheme="minorEastAsia"/>
                  <w:noProof/>
                  <w:kern w:val="2"/>
                  <w:sz w:val="24"/>
                  <w:szCs w:val="24"/>
                  <w14:ligatures w14:val="standardContextual"/>
                </w:rPr>
              </w:pPr>
              <w:hyperlink w:anchor="_Toc205213696" w:history="1">
                <w:r w:rsidRPr="001B11AA">
                  <w:rPr>
                    <w:rStyle w:val="Collegamentoipertestuale"/>
                    <w:rFonts w:cstheme="minorHAnsi"/>
                    <w:noProof/>
                  </w:rPr>
                  <w:t>1.2.1</w:t>
                </w:r>
                <w:r>
                  <w:rPr>
                    <w:rFonts w:eastAsiaTheme="minorEastAsia"/>
                    <w:noProof/>
                    <w:kern w:val="2"/>
                    <w:sz w:val="24"/>
                    <w:szCs w:val="24"/>
                    <w14:ligatures w14:val="standardContextual"/>
                  </w:rPr>
                  <w:tab/>
                </w:r>
                <w:r w:rsidRPr="001B11AA">
                  <w:rPr>
                    <w:rStyle w:val="Collegamentoipertestuale"/>
                    <w:rFonts w:cstheme="minorHAnsi"/>
                    <w:noProof/>
                  </w:rPr>
                  <w:t>Le Leggi Regionali n. 1/2000 e n. 1/2015</w:t>
                </w:r>
                <w:r>
                  <w:rPr>
                    <w:noProof/>
                    <w:webHidden/>
                  </w:rPr>
                  <w:tab/>
                </w:r>
                <w:r>
                  <w:rPr>
                    <w:noProof/>
                    <w:webHidden/>
                  </w:rPr>
                  <w:fldChar w:fldCharType="begin"/>
                </w:r>
                <w:r>
                  <w:rPr>
                    <w:noProof/>
                    <w:webHidden/>
                  </w:rPr>
                  <w:instrText xml:space="preserve"> PAGEREF _Toc205213696 \h </w:instrText>
                </w:r>
                <w:r>
                  <w:rPr>
                    <w:noProof/>
                    <w:webHidden/>
                  </w:rPr>
                </w:r>
                <w:r>
                  <w:rPr>
                    <w:noProof/>
                    <w:webHidden/>
                  </w:rPr>
                  <w:fldChar w:fldCharType="separate"/>
                </w:r>
                <w:r w:rsidR="00670903">
                  <w:rPr>
                    <w:noProof/>
                    <w:webHidden/>
                  </w:rPr>
                  <w:t>8</w:t>
                </w:r>
                <w:r>
                  <w:rPr>
                    <w:noProof/>
                    <w:webHidden/>
                  </w:rPr>
                  <w:fldChar w:fldCharType="end"/>
                </w:r>
              </w:hyperlink>
            </w:p>
            <w:p w14:paraId="2080B72E" w14:textId="64562746" w:rsidR="00691FEF" w:rsidRDefault="00691FEF">
              <w:pPr>
                <w:pStyle w:val="Sommario3"/>
                <w:rPr>
                  <w:rFonts w:eastAsiaTheme="minorEastAsia"/>
                  <w:noProof/>
                  <w:kern w:val="2"/>
                  <w:sz w:val="24"/>
                  <w:szCs w:val="24"/>
                  <w14:ligatures w14:val="standardContextual"/>
                </w:rPr>
              </w:pPr>
              <w:hyperlink w:anchor="_Toc205213697" w:history="1">
                <w:r w:rsidRPr="001B11AA">
                  <w:rPr>
                    <w:rStyle w:val="Collegamentoipertestuale"/>
                    <w:rFonts w:cstheme="minorHAnsi"/>
                    <w:noProof/>
                  </w:rPr>
                  <w:t>1.2.2</w:t>
                </w:r>
                <w:r>
                  <w:rPr>
                    <w:rFonts w:eastAsiaTheme="minorEastAsia"/>
                    <w:noProof/>
                    <w:kern w:val="2"/>
                    <w:sz w:val="24"/>
                    <w:szCs w:val="24"/>
                    <w14:ligatures w14:val="standardContextual"/>
                  </w:rPr>
                  <w:tab/>
                </w:r>
                <w:r w:rsidRPr="001B11AA">
                  <w:rPr>
                    <w:rStyle w:val="Collegamentoipertestuale"/>
                    <w:rFonts w:cstheme="minorHAnsi"/>
                    <w:noProof/>
                  </w:rPr>
                  <w:t>D.G.R. N. 17-4134/2012</w:t>
                </w:r>
                <w:r>
                  <w:rPr>
                    <w:noProof/>
                    <w:webHidden/>
                  </w:rPr>
                  <w:tab/>
                </w:r>
                <w:r>
                  <w:rPr>
                    <w:noProof/>
                    <w:webHidden/>
                  </w:rPr>
                  <w:fldChar w:fldCharType="begin"/>
                </w:r>
                <w:r>
                  <w:rPr>
                    <w:noProof/>
                    <w:webHidden/>
                  </w:rPr>
                  <w:instrText xml:space="preserve"> PAGEREF _Toc205213697 \h </w:instrText>
                </w:r>
                <w:r>
                  <w:rPr>
                    <w:noProof/>
                    <w:webHidden/>
                  </w:rPr>
                </w:r>
                <w:r>
                  <w:rPr>
                    <w:noProof/>
                    <w:webHidden/>
                  </w:rPr>
                  <w:fldChar w:fldCharType="separate"/>
                </w:r>
                <w:r w:rsidR="00670903">
                  <w:rPr>
                    <w:noProof/>
                    <w:webHidden/>
                  </w:rPr>
                  <w:t>10</w:t>
                </w:r>
                <w:r>
                  <w:rPr>
                    <w:noProof/>
                    <w:webHidden/>
                  </w:rPr>
                  <w:fldChar w:fldCharType="end"/>
                </w:r>
              </w:hyperlink>
            </w:p>
            <w:p w14:paraId="05002C4B" w14:textId="68947893" w:rsidR="00691FEF" w:rsidRDefault="00691FEF">
              <w:pPr>
                <w:pStyle w:val="Sommario3"/>
                <w:rPr>
                  <w:rFonts w:eastAsiaTheme="minorEastAsia"/>
                  <w:noProof/>
                  <w:kern w:val="2"/>
                  <w:sz w:val="24"/>
                  <w:szCs w:val="24"/>
                  <w14:ligatures w14:val="standardContextual"/>
                </w:rPr>
              </w:pPr>
              <w:hyperlink w:anchor="_Toc205213698" w:history="1">
                <w:r w:rsidRPr="001B11AA">
                  <w:rPr>
                    <w:rStyle w:val="Collegamentoipertestuale"/>
                    <w:rFonts w:cstheme="minorHAnsi"/>
                    <w:noProof/>
                  </w:rPr>
                  <w:t>1.2.3</w:t>
                </w:r>
                <w:r>
                  <w:rPr>
                    <w:rFonts w:eastAsiaTheme="minorEastAsia"/>
                    <w:noProof/>
                    <w:kern w:val="2"/>
                    <w:sz w:val="24"/>
                    <w:szCs w:val="24"/>
                    <w14:ligatures w14:val="standardContextual"/>
                  </w:rPr>
                  <w:tab/>
                </w:r>
                <w:r w:rsidRPr="001B11AA">
                  <w:rPr>
                    <w:rStyle w:val="Collegamentoipertestuale"/>
                    <w:rFonts w:cstheme="minorHAnsi"/>
                    <w:noProof/>
                  </w:rPr>
                  <w:t>D.G.R. n. 13-6608/2013</w:t>
                </w:r>
                <w:r>
                  <w:rPr>
                    <w:noProof/>
                    <w:webHidden/>
                  </w:rPr>
                  <w:tab/>
                </w:r>
                <w:r>
                  <w:rPr>
                    <w:noProof/>
                    <w:webHidden/>
                  </w:rPr>
                  <w:fldChar w:fldCharType="begin"/>
                </w:r>
                <w:r>
                  <w:rPr>
                    <w:noProof/>
                    <w:webHidden/>
                  </w:rPr>
                  <w:instrText xml:space="preserve"> PAGEREF _Toc205213698 \h </w:instrText>
                </w:r>
                <w:r>
                  <w:rPr>
                    <w:noProof/>
                    <w:webHidden/>
                  </w:rPr>
                </w:r>
                <w:r>
                  <w:rPr>
                    <w:noProof/>
                    <w:webHidden/>
                  </w:rPr>
                  <w:fldChar w:fldCharType="separate"/>
                </w:r>
                <w:r w:rsidR="00670903">
                  <w:rPr>
                    <w:noProof/>
                    <w:webHidden/>
                  </w:rPr>
                  <w:t>10</w:t>
                </w:r>
                <w:r>
                  <w:rPr>
                    <w:noProof/>
                    <w:webHidden/>
                  </w:rPr>
                  <w:fldChar w:fldCharType="end"/>
                </w:r>
              </w:hyperlink>
            </w:p>
            <w:p w14:paraId="72AFDEC8" w14:textId="6AE3D10C" w:rsidR="00691FEF" w:rsidRDefault="00691FEF">
              <w:pPr>
                <w:pStyle w:val="Sommario3"/>
                <w:rPr>
                  <w:rFonts w:eastAsiaTheme="minorEastAsia"/>
                  <w:noProof/>
                  <w:kern w:val="2"/>
                  <w:sz w:val="24"/>
                  <w:szCs w:val="24"/>
                  <w14:ligatures w14:val="standardContextual"/>
                </w:rPr>
              </w:pPr>
              <w:hyperlink w:anchor="_Toc205213699" w:history="1">
                <w:r w:rsidRPr="001B11AA">
                  <w:rPr>
                    <w:rStyle w:val="Collegamentoipertestuale"/>
                    <w:rFonts w:cstheme="minorHAnsi"/>
                    <w:noProof/>
                  </w:rPr>
                  <w:t>1.2.4</w:t>
                </w:r>
                <w:r>
                  <w:rPr>
                    <w:rFonts w:eastAsiaTheme="minorEastAsia"/>
                    <w:noProof/>
                    <w:kern w:val="2"/>
                    <w:sz w:val="24"/>
                    <w:szCs w:val="24"/>
                    <w14:ligatures w14:val="standardContextual"/>
                  </w:rPr>
                  <w:tab/>
                </w:r>
                <w:r w:rsidRPr="001B11AA">
                  <w:rPr>
                    <w:rStyle w:val="Collegamentoipertestuale"/>
                    <w:rFonts w:cstheme="minorHAnsi"/>
                    <w:noProof/>
                  </w:rPr>
                  <w:t>D.G.R. n. 7-4621/2017</w:t>
                </w:r>
                <w:r>
                  <w:rPr>
                    <w:noProof/>
                    <w:webHidden/>
                  </w:rPr>
                  <w:tab/>
                </w:r>
                <w:r>
                  <w:rPr>
                    <w:noProof/>
                    <w:webHidden/>
                  </w:rPr>
                  <w:fldChar w:fldCharType="begin"/>
                </w:r>
                <w:r>
                  <w:rPr>
                    <w:noProof/>
                    <w:webHidden/>
                  </w:rPr>
                  <w:instrText xml:space="preserve"> PAGEREF _Toc205213699 \h </w:instrText>
                </w:r>
                <w:r>
                  <w:rPr>
                    <w:noProof/>
                    <w:webHidden/>
                  </w:rPr>
                </w:r>
                <w:r>
                  <w:rPr>
                    <w:noProof/>
                    <w:webHidden/>
                  </w:rPr>
                  <w:fldChar w:fldCharType="separate"/>
                </w:r>
                <w:r w:rsidR="00670903">
                  <w:rPr>
                    <w:noProof/>
                    <w:webHidden/>
                  </w:rPr>
                  <w:t>11</w:t>
                </w:r>
                <w:r>
                  <w:rPr>
                    <w:noProof/>
                    <w:webHidden/>
                  </w:rPr>
                  <w:fldChar w:fldCharType="end"/>
                </w:r>
              </w:hyperlink>
            </w:p>
            <w:p w14:paraId="60029EEF" w14:textId="2D476E76" w:rsidR="00691FEF" w:rsidRDefault="00691FEF">
              <w:pPr>
                <w:pStyle w:val="Sommario2"/>
                <w:rPr>
                  <w:rFonts w:eastAsiaTheme="minorEastAsia"/>
                  <w:noProof/>
                  <w:kern w:val="2"/>
                  <w:sz w:val="24"/>
                  <w:szCs w:val="24"/>
                  <w14:ligatures w14:val="standardContextual"/>
                </w:rPr>
              </w:pPr>
              <w:hyperlink w:anchor="_Toc205213700" w:history="1">
                <w:r w:rsidRPr="001B11AA">
                  <w:rPr>
                    <w:rStyle w:val="Collegamentoipertestuale"/>
                    <w:rFonts w:cstheme="minorHAnsi"/>
                    <w:noProof/>
                  </w:rPr>
                  <w:t>1.3</w:t>
                </w:r>
                <w:r>
                  <w:rPr>
                    <w:rFonts w:eastAsiaTheme="minorEastAsia"/>
                    <w:noProof/>
                    <w:kern w:val="2"/>
                    <w:sz w:val="24"/>
                    <w:szCs w:val="24"/>
                    <w14:ligatures w14:val="standardContextual"/>
                  </w:rPr>
                  <w:tab/>
                </w:r>
                <w:r w:rsidRPr="001B11AA">
                  <w:rPr>
                    <w:rStyle w:val="Collegamentoipertestuale"/>
                    <w:rFonts w:cstheme="minorHAnsi"/>
                    <w:noProof/>
                  </w:rPr>
                  <w:t>Quadro di riferimento per la pianificazione del sistema di trasporto pubblico regionale</w:t>
                </w:r>
                <w:r>
                  <w:rPr>
                    <w:noProof/>
                    <w:webHidden/>
                  </w:rPr>
                  <w:tab/>
                </w:r>
                <w:r>
                  <w:rPr>
                    <w:noProof/>
                    <w:webHidden/>
                  </w:rPr>
                  <w:fldChar w:fldCharType="begin"/>
                </w:r>
                <w:r>
                  <w:rPr>
                    <w:noProof/>
                    <w:webHidden/>
                  </w:rPr>
                  <w:instrText xml:space="preserve"> PAGEREF _Toc205213700 \h </w:instrText>
                </w:r>
                <w:r>
                  <w:rPr>
                    <w:noProof/>
                    <w:webHidden/>
                  </w:rPr>
                </w:r>
                <w:r>
                  <w:rPr>
                    <w:noProof/>
                    <w:webHidden/>
                  </w:rPr>
                  <w:fldChar w:fldCharType="separate"/>
                </w:r>
                <w:r w:rsidR="00670903">
                  <w:rPr>
                    <w:noProof/>
                    <w:webHidden/>
                  </w:rPr>
                  <w:t>11</w:t>
                </w:r>
                <w:r>
                  <w:rPr>
                    <w:noProof/>
                    <w:webHidden/>
                  </w:rPr>
                  <w:fldChar w:fldCharType="end"/>
                </w:r>
              </w:hyperlink>
            </w:p>
            <w:p w14:paraId="5F980F76" w14:textId="549BC6E3" w:rsidR="00691FEF" w:rsidRDefault="00691FEF">
              <w:pPr>
                <w:pStyle w:val="Sommario3"/>
                <w:rPr>
                  <w:rFonts w:eastAsiaTheme="minorEastAsia"/>
                  <w:noProof/>
                  <w:kern w:val="2"/>
                  <w:sz w:val="24"/>
                  <w:szCs w:val="24"/>
                  <w14:ligatures w14:val="standardContextual"/>
                </w:rPr>
              </w:pPr>
              <w:hyperlink w:anchor="_Toc205213701" w:history="1">
                <w:r w:rsidRPr="001B11AA">
                  <w:rPr>
                    <w:rStyle w:val="Collegamentoipertestuale"/>
                    <w:rFonts w:cstheme="minorHAnsi"/>
                    <w:noProof/>
                  </w:rPr>
                  <w:t>1.3.1</w:t>
                </w:r>
                <w:r>
                  <w:rPr>
                    <w:rFonts w:eastAsiaTheme="minorEastAsia"/>
                    <w:noProof/>
                    <w:kern w:val="2"/>
                    <w:sz w:val="24"/>
                    <w:szCs w:val="24"/>
                    <w14:ligatures w14:val="standardContextual"/>
                  </w:rPr>
                  <w:tab/>
                </w:r>
                <w:r w:rsidRPr="001B11AA">
                  <w:rPr>
                    <w:rStyle w:val="Collegamentoipertestuale"/>
                    <w:rFonts w:cstheme="minorHAnsi"/>
                    <w:noProof/>
                  </w:rPr>
                  <w:t>Il Piano Regionale della Mobilità e dei Trasporti</w:t>
                </w:r>
                <w:r>
                  <w:rPr>
                    <w:noProof/>
                    <w:webHidden/>
                  </w:rPr>
                  <w:tab/>
                </w:r>
                <w:r>
                  <w:rPr>
                    <w:noProof/>
                    <w:webHidden/>
                  </w:rPr>
                  <w:fldChar w:fldCharType="begin"/>
                </w:r>
                <w:r>
                  <w:rPr>
                    <w:noProof/>
                    <w:webHidden/>
                  </w:rPr>
                  <w:instrText xml:space="preserve"> PAGEREF _Toc205213701 \h </w:instrText>
                </w:r>
                <w:r>
                  <w:rPr>
                    <w:noProof/>
                    <w:webHidden/>
                  </w:rPr>
                </w:r>
                <w:r>
                  <w:rPr>
                    <w:noProof/>
                    <w:webHidden/>
                  </w:rPr>
                  <w:fldChar w:fldCharType="separate"/>
                </w:r>
                <w:r w:rsidR="00670903">
                  <w:rPr>
                    <w:noProof/>
                    <w:webHidden/>
                  </w:rPr>
                  <w:t>12</w:t>
                </w:r>
                <w:r>
                  <w:rPr>
                    <w:noProof/>
                    <w:webHidden/>
                  </w:rPr>
                  <w:fldChar w:fldCharType="end"/>
                </w:r>
              </w:hyperlink>
            </w:p>
            <w:p w14:paraId="67961D7F" w14:textId="1BEE22B9" w:rsidR="00691FEF" w:rsidRDefault="00691FEF">
              <w:pPr>
                <w:pStyle w:val="Sommario3"/>
                <w:rPr>
                  <w:rFonts w:eastAsiaTheme="minorEastAsia"/>
                  <w:noProof/>
                  <w:kern w:val="2"/>
                  <w:sz w:val="24"/>
                  <w:szCs w:val="24"/>
                  <w14:ligatures w14:val="standardContextual"/>
                </w:rPr>
              </w:pPr>
              <w:hyperlink w:anchor="_Toc205213702" w:history="1">
                <w:r w:rsidRPr="001B11AA">
                  <w:rPr>
                    <w:rStyle w:val="Collegamentoipertestuale"/>
                    <w:rFonts w:cstheme="minorHAnsi"/>
                    <w:noProof/>
                  </w:rPr>
                  <w:t>1.3.2</w:t>
                </w:r>
                <w:r>
                  <w:rPr>
                    <w:rFonts w:eastAsiaTheme="minorEastAsia"/>
                    <w:noProof/>
                    <w:kern w:val="2"/>
                    <w:sz w:val="24"/>
                    <w:szCs w:val="24"/>
                    <w14:ligatures w14:val="standardContextual"/>
                  </w:rPr>
                  <w:tab/>
                </w:r>
                <w:r w:rsidRPr="001B11AA">
                  <w:rPr>
                    <w:rStyle w:val="Collegamentoipertestuale"/>
                    <w:rFonts w:cstheme="minorHAnsi"/>
                    <w:noProof/>
                  </w:rPr>
                  <w:t>I piani di settore del PRMT</w:t>
                </w:r>
                <w:r>
                  <w:rPr>
                    <w:noProof/>
                    <w:webHidden/>
                  </w:rPr>
                  <w:tab/>
                </w:r>
                <w:r>
                  <w:rPr>
                    <w:noProof/>
                    <w:webHidden/>
                  </w:rPr>
                  <w:fldChar w:fldCharType="begin"/>
                </w:r>
                <w:r>
                  <w:rPr>
                    <w:noProof/>
                    <w:webHidden/>
                  </w:rPr>
                  <w:instrText xml:space="preserve"> PAGEREF _Toc205213702 \h </w:instrText>
                </w:r>
                <w:r>
                  <w:rPr>
                    <w:noProof/>
                    <w:webHidden/>
                  </w:rPr>
                </w:r>
                <w:r>
                  <w:rPr>
                    <w:noProof/>
                    <w:webHidden/>
                  </w:rPr>
                  <w:fldChar w:fldCharType="separate"/>
                </w:r>
                <w:r w:rsidR="00670903">
                  <w:rPr>
                    <w:noProof/>
                    <w:webHidden/>
                  </w:rPr>
                  <w:t>12</w:t>
                </w:r>
                <w:r>
                  <w:rPr>
                    <w:noProof/>
                    <w:webHidden/>
                  </w:rPr>
                  <w:fldChar w:fldCharType="end"/>
                </w:r>
              </w:hyperlink>
            </w:p>
            <w:p w14:paraId="04F6861B" w14:textId="15CE23C8" w:rsidR="00691FEF" w:rsidRDefault="00691FEF">
              <w:pPr>
                <w:pStyle w:val="Sommario2"/>
                <w:rPr>
                  <w:rFonts w:eastAsiaTheme="minorEastAsia"/>
                  <w:noProof/>
                  <w:kern w:val="2"/>
                  <w:sz w:val="24"/>
                  <w:szCs w:val="24"/>
                  <w14:ligatures w14:val="standardContextual"/>
                </w:rPr>
              </w:pPr>
              <w:hyperlink w:anchor="_Toc205213703" w:history="1">
                <w:r w:rsidRPr="001B11AA">
                  <w:rPr>
                    <w:rStyle w:val="Collegamentoipertestuale"/>
                    <w:rFonts w:cstheme="minorHAnsi"/>
                    <w:noProof/>
                  </w:rPr>
                  <w:t>1.4</w:t>
                </w:r>
                <w:r>
                  <w:rPr>
                    <w:rFonts w:eastAsiaTheme="minorEastAsia"/>
                    <w:noProof/>
                    <w:kern w:val="2"/>
                    <w:sz w:val="24"/>
                    <w:szCs w:val="24"/>
                    <w14:ligatures w14:val="standardContextual"/>
                  </w:rPr>
                  <w:tab/>
                </w:r>
                <w:r w:rsidRPr="001B11AA">
                  <w:rPr>
                    <w:rStyle w:val="Collegamentoipertestuale"/>
                    <w:rFonts w:cstheme="minorHAnsi"/>
                    <w:noProof/>
                  </w:rPr>
                  <w:t>Altri strumenti di pianificazione</w:t>
                </w:r>
                <w:r>
                  <w:rPr>
                    <w:noProof/>
                    <w:webHidden/>
                  </w:rPr>
                  <w:tab/>
                </w:r>
                <w:r>
                  <w:rPr>
                    <w:noProof/>
                    <w:webHidden/>
                  </w:rPr>
                  <w:fldChar w:fldCharType="begin"/>
                </w:r>
                <w:r>
                  <w:rPr>
                    <w:noProof/>
                    <w:webHidden/>
                  </w:rPr>
                  <w:instrText xml:space="preserve"> PAGEREF _Toc205213703 \h </w:instrText>
                </w:r>
                <w:r>
                  <w:rPr>
                    <w:noProof/>
                    <w:webHidden/>
                  </w:rPr>
                </w:r>
                <w:r>
                  <w:rPr>
                    <w:noProof/>
                    <w:webHidden/>
                  </w:rPr>
                  <w:fldChar w:fldCharType="separate"/>
                </w:r>
                <w:r w:rsidR="00670903">
                  <w:rPr>
                    <w:noProof/>
                    <w:webHidden/>
                  </w:rPr>
                  <w:t>13</w:t>
                </w:r>
                <w:r>
                  <w:rPr>
                    <w:noProof/>
                    <w:webHidden/>
                  </w:rPr>
                  <w:fldChar w:fldCharType="end"/>
                </w:r>
              </w:hyperlink>
            </w:p>
            <w:p w14:paraId="00835BAE" w14:textId="3BB0D6AE" w:rsidR="00691FEF" w:rsidRDefault="00691FEF">
              <w:pPr>
                <w:pStyle w:val="Sommario2"/>
                <w:rPr>
                  <w:rFonts w:eastAsiaTheme="minorEastAsia"/>
                  <w:noProof/>
                  <w:kern w:val="2"/>
                  <w:sz w:val="24"/>
                  <w:szCs w:val="24"/>
                  <w14:ligatures w14:val="standardContextual"/>
                </w:rPr>
              </w:pPr>
              <w:hyperlink w:anchor="_Toc205213704" w:history="1">
                <w:r w:rsidRPr="001B11AA">
                  <w:rPr>
                    <w:rStyle w:val="Collegamentoipertestuale"/>
                    <w:rFonts w:cstheme="minorHAnsi"/>
                    <w:noProof/>
                  </w:rPr>
                  <w:t>1.5</w:t>
                </w:r>
                <w:r>
                  <w:rPr>
                    <w:rFonts w:eastAsiaTheme="minorEastAsia"/>
                    <w:noProof/>
                    <w:kern w:val="2"/>
                    <w:sz w:val="24"/>
                    <w:szCs w:val="24"/>
                    <w14:ligatures w14:val="standardContextual"/>
                  </w:rPr>
                  <w:tab/>
                </w:r>
                <w:r w:rsidRPr="001B11AA">
                  <w:rPr>
                    <w:rStyle w:val="Collegamentoipertestuale"/>
                    <w:rFonts w:cstheme="minorHAnsi"/>
                    <w:noProof/>
                  </w:rPr>
                  <w:t>La programmazione del sistema di trasporto pubblico piemontese</w:t>
                </w:r>
                <w:r>
                  <w:rPr>
                    <w:noProof/>
                    <w:webHidden/>
                  </w:rPr>
                  <w:tab/>
                </w:r>
                <w:r>
                  <w:rPr>
                    <w:noProof/>
                    <w:webHidden/>
                  </w:rPr>
                  <w:fldChar w:fldCharType="begin"/>
                </w:r>
                <w:r>
                  <w:rPr>
                    <w:noProof/>
                    <w:webHidden/>
                  </w:rPr>
                  <w:instrText xml:space="preserve"> PAGEREF _Toc205213704 \h </w:instrText>
                </w:r>
                <w:r>
                  <w:rPr>
                    <w:noProof/>
                    <w:webHidden/>
                  </w:rPr>
                </w:r>
                <w:r>
                  <w:rPr>
                    <w:noProof/>
                    <w:webHidden/>
                  </w:rPr>
                  <w:fldChar w:fldCharType="separate"/>
                </w:r>
                <w:r w:rsidR="00670903">
                  <w:rPr>
                    <w:noProof/>
                    <w:webHidden/>
                  </w:rPr>
                  <w:t>14</w:t>
                </w:r>
                <w:r>
                  <w:rPr>
                    <w:noProof/>
                    <w:webHidden/>
                  </w:rPr>
                  <w:fldChar w:fldCharType="end"/>
                </w:r>
              </w:hyperlink>
            </w:p>
            <w:p w14:paraId="4A60D995" w14:textId="51BBCB7C" w:rsidR="00691FEF" w:rsidRDefault="00691FEF">
              <w:pPr>
                <w:pStyle w:val="Sommario2"/>
                <w:rPr>
                  <w:rFonts w:eastAsiaTheme="minorEastAsia"/>
                  <w:noProof/>
                  <w:kern w:val="2"/>
                  <w:sz w:val="24"/>
                  <w:szCs w:val="24"/>
                  <w14:ligatures w14:val="standardContextual"/>
                </w:rPr>
              </w:pPr>
              <w:hyperlink w:anchor="_Toc205213705" w:history="1">
                <w:r w:rsidRPr="001B11AA">
                  <w:rPr>
                    <w:rStyle w:val="Collegamentoipertestuale"/>
                    <w:rFonts w:cstheme="minorHAnsi"/>
                    <w:noProof/>
                  </w:rPr>
                  <w:t>1.6</w:t>
                </w:r>
                <w:r>
                  <w:rPr>
                    <w:rFonts w:eastAsiaTheme="minorEastAsia"/>
                    <w:noProof/>
                    <w:kern w:val="2"/>
                    <w:sz w:val="24"/>
                    <w:szCs w:val="24"/>
                    <w14:ligatures w14:val="standardContextual"/>
                  </w:rPr>
                  <w:tab/>
                </w:r>
                <w:r w:rsidRPr="001B11AA">
                  <w:rPr>
                    <w:rStyle w:val="Collegamentoipertestuale"/>
                    <w:rFonts w:cstheme="minorHAnsi"/>
                    <w:noProof/>
                  </w:rPr>
                  <w:t>Indirizzi regionali a supporto dell’Agenzia della Mobilità Piemontese</w:t>
                </w:r>
                <w:r>
                  <w:rPr>
                    <w:noProof/>
                    <w:webHidden/>
                  </w:rPr>
                  <w:tab/>
                </w:r>
                <w:r>
                  <w:rPr>
                    <w:noProof/>
                    <w:webHidden/>
                  </w:rPr>
                  <w:fldChar w:fldCharType="begin"/>
                </w:r>
                <w:r>
                  <w:rPr>
                    <w:noProof/>
                    <w:webHidden/>
                  </w:rPr>
                  <w:instrText xml:space="preserve"> PAGEREF _Toc205213705 \h </w:instrText>
                </w:r>
                <w:r>
                  <w:rPr>
                    <w:noProof/>
                    <w:webHidden/>
                  </w:rPr>
                </w:r>
                <w:r>
                  <w:rPr>
                    <w:noProof/>
                    <w:webHidden/>
                  </w:rPr>
                  <w:fldChar w:fldCharType="separate"/>
                </w:r>
                <w:r w:rsidR="00670903">
                  <w:rPr>
                    <w:noProof/>
                    <w:webHidden/>
                  </w:rPr>
                  <w:t>14</w:t>
                </w:r>
                <w:r>
                  <w:rPr>
                    <w:noProof/>
                    <w:webHidden/>
                  </w:rPr>
                  <w:fldChar w:fldCharType="end"/>
                </w:r>
              </w:hyperlink>
            </w:p>
            <w:p w14:paraId="00880BE4" w14:textId="67E89BFF" w:rsidR="00691FEF" w:rsidRDefault="00691FEF">
              <w:pPr>
                <w:pStyle w:val="Sommario3"/>
                <w:rPr>
                  <w:rFonts w:eastAsiaTheme="minorEastAsia"/>
                  <w:noProof/>
                  <w:kern w:val="2"/>
                  <w:sz w:val="24"/>
                  <w:szCs w:val="24"/>
                  <w14:ligatures w14:val="standardContextual"/>
                </w:rPr>
              </w:pPr>
              <w:hyperlink w:anchor="_Toc205213706" w:history="1">
                <w:r w:rsidRPr="001B11AA">
                  <w:rPr>
                    <w:rStyle w:val="Collegamentoipertestuale"/>
                    <w:rFonts w:cs="Calibri"/>
                    <w:noProof/>
                  </w:rPr>
                  <w:t>1.6.1</w:t>
                </w:r>
                <w:r>
                  <w:rPr>
                    <w:rFonts w:eastAsiaTheme="minorEastAsia"/>
                    <w:noProof/>
                    <w:kern w:val="2"/>
                    <w:sz w:val="24"/>
                    <w:szCs w:val="24"/>
                    <w14:ligatures w14:val="standardContextual"/>
                  </w:rPr>
                  <w:tab/>
                </w:r>
                <w:r w:rsidRPr="001B11AA">
                  <w:rPr>
                    <w:rStyle w:val="Collegamentoipertestuale"/>
                    <w:rFonts w:cs="Calibri"/>
                    <w:noProof/>
                  </w:rPr>
                  <w:t>Sintesi delle Osservazioni agli Indirizzi della Regione Piemonte</w:t>
                </w:r>
                <w:r>
                  <w:rPr>
                    <w:noProof/>
                    <w:webHidden/>
                  </w:rPr>
                  <w:tab/>
                </w:r>
                <w:r>
                  <w:rPr>
                    <w:noProof/>
                    <w:webHidden/>
                  </w:rPr>
                  <w:fldChar w:fldCharType="begin"/>
                </w:r>
                <w:r>
                  <w:rPr>
                    <w:noProof/>
                    <w:webHidden/>
                  </w:rPr>
                  <w:instrText xml:space="preserve"> PAGEREF _Toc205213706 \h </w:instrText>
                </w:r>
                <w:r>
                  <w:rPr>
                    <w:noProof/>
                    <w:webHidden/>
                  </w:rPr>
                </w:r>
                <w:r>
                  <w:rPr>
                    <w:noProof/>
                    <w:webHidden/>
                  </w:rPr>
                  <w:fldChar w:fldCharType="separate"/>
                </w:r>
                <w:r w:rsidR="00670903">
                  <w:rPr>
                    <w:noProof/>
                    <w:webHidden/>
                  </w:rPr>
                  <w:t>15</w:t>
                </w:r>
                <w:r>
                  <w:rPr>
                    <w:noProof/>
                    <w:webHidden/>
                  </w:rPr>
                  <w:fldChar w:fldCharType="end"/>
                </w:r>
              </w:hyperlink>
            </w:p>
            <w:p w14:paraId="7E3CD1D6" w14:textId="06A0D70C" w:rsidR="00691FEF" w:rsidRDefault="00691FEF">
              <w:pPr>
                <w:pStyle w:val="Sommario1"/>
                <w:rPr>
                  <w:rFonts w:eastAsiaTheme="minorEastAsia"/>
                  <w:noProof/>
                  <w:kern w:val="2"/>
                  <w:sz w:val="24"/>
                  <w:szCs w:val="24"/>
                  <w14:ligatures w14:val="standardContextual"/>
                </w:rPr>
              </w:pPr>
              <w:hyperlink w:anchor="_Toc205213707" w:history="1">
                <w:r w:rsidRPr="001B11AA">
                  <w:rPr>
                    <w:rStyle w:val="Collegamentoipertestuale"/>
                    <w:rFonts w:cstheme="minorHAnsi"/>
                    <w:noProof/>
                  </w:rPr>
                  <w:t>2</w:t>
                </w:r>
                <w:r>
                  <w:rPr>
                    <w:rFonts w:eastAsiaTheme="minorEastAsia"/>
                    <w:noProof/>
                    <w:kern w:val="2"/>
                    <w:sz w:val="24"/>
                    <w:szCs w:val="24"/>
                    <w14:ligatures w14:val="standardContextual"/>
                  </w:rPr>
                  <w:tab/>
                </w:r>
                <w:r w:rsidRPr="001B11AA">
                  <w:rPr>
                    <w:rStyle w:val="Collegamentoipertestuale"/>
                    <w:rFonts w:cstheme="minorHAnsi"/>
                    <w:noProof/>
                  </w:rPr>
                  <w:t>Quadro di riferimento attuale degli affidamenti del Bacino Sud Est</w:t>
                </w:r>
                <w:r>
                  <w:rPr>
                    <w:noProof/>
                    <w:webHidden/>
                  </w:rPr>
                  <w:tab/>
                </w:r>
                <w:r>
                  <w:rPr>
                    <w:noProof/>
                    <w:webHidden/>
                  </w:rPr>
                  <w:fldChar w:fldCharType="begin"/>
                </w:r>
                <w:r>
                  <w:rPr>
                    <w:noProof/>
                    <w:webHidden/>
                  </w:rPr>
                  <w:instrText xml:space="preserve"> PAGEREF _Toc205213707 \h </w:instrText>
                </w:r>
                <w:r>
                  <w:rPr>
                    <w:noProof/>
                    <w:webHidden/>
                  </w:rPr>
                </w:r>
                <w:r>
                  <w:rPr>
                    <w:noProof/>
                    <w:webHidden/>
                  </w:rPr>
                  <w:fldChar w:fldCharType="separate"/>
                </w:r>
                <w:r w:rsidR="00670903">
                  <w:rPr>
                    <w:noProof/>
                    <w:webHidden/>
                  </w:rPr>
                  <w:t>18</w:t>
                </w:r>
                <w:r>
                  <w:rPr>
                    <w:noProof/>
                    <w:webHidden/>
                  </w:rPr>
                  <w:fldChar w:fldCharType="end"/>
                </w:r>
              </w:hyperlink>
            </w:p>
            <w:p w14:paraId="7E4AFECB" w14:textId="7293D24F" w:rsidR="00691FEF" w:rsidRDefault="00691FEF">
              <w:pPr>
                <w:pStyle w:val="Sommario2"/>
                <w:rPr>
                  <w:rFonts w:eastAsiaTheme="minorEastAsia"/>
                  <w:noProof/>
                  <w:kern w:val="2"/>
                  <w:sz w:val="24"/>
                  <w:szCs w:val="24"/>
                  <w14:ligatures w14:val="standardContextual"/>
                </w:rPr>
              </w:pPr>
              <w:hyperlink w:anchor="_Toc205213708" w:history="1">
                <w:r w:rsidRPr="001B11AA">
                  <w:rPr>
                    <w:rStyle w:val="Collegamentoipertestuale"/>
                    <w:rFonts w:cstheme="minorHAnsi"/>
                    <w:noProof/>
                  </w:rPr>
                  <w:t>2.1</w:t>
                </w:r>
                <w:r>
                  <w:rPr>
                    <w:rFonts w:eastAsiaTheme="minorEastAsia"/>
                    <w:noProof/>
                    <w:kern w:val="2"/>
                    <w:sz w:val="24"/>
                    <w:szCs w:val="24"/>
                    <w14:ligatures w14:val="standardContextual"/>
                  </w:rPr>
                  <w:tab/>
                </w:r>
                <w:r w:rsidRPr="001B11AA">
                  <w:rPr>
                    <w:rStyle w:val="Collegamentoipertestuale"/>
                    <w:rFonts w:cstheme="minorHAnsi"/>
                    <w:noProof/>
                  </w:rPr>
                  <w:t>Modalità di affidamento del «Servizio»</w:t>
                </w:r>
                <w:r>
                  <w:rPr>
                    <w:noProof/>
                    <w:webHidden/>
                  </w:rPr>
                  <w:tab/>
                </w:r>
                <w:r>
                  <w:rPr>
                    <w:noProof/>
                    <w:webHidden/>
                  </w:rPr>
                  <w:fldChar w:fldCharType="begin"/>
                </w:r>
                <w:r>
                  <w:rPr>
                    <w:noProof/>
                    <w:webHidden/>
                  </w:rPr>
                  <w:instrText xml:space="preserve"> PAGEREF _Toc205213708 \h </w:instrText>
                </w:r>
                <w:r>
                  <w:rPr>
                    <w:noProof/>
                    <w:webHidden/>
                  </w:rPr>
                </w:r>
                <w:r>
                  <w:rPr>
                    <w:noProof/>
                    <w:webHidden/>
                  </w:rPr>
                  <w:fldChar w:fldCharType="separate"/>
                </w:r>
                <w:r w:rsidR="00670903">
                  <w:rPr>
                    <w:noProof/>
                    <w:webHidden/>
                  </w:rPr>
                  <w:t>18</w:t>
                </w:r>
                <w:r>
                  <w:rPr>
                    <w:noProof/>
                    <w:webHidden/>
                  </w:rPr>
                  <w:fldChar w:fldCharType="end"/>
                </w:r>
              </w:hyperlink>
            </w:p>
            <w:p w14:paraId="1E1DA776" w14:textId="65AEF6B8" w:rsidR="00691FEF" w:rsidRDefault="00691FEF">
              <w:pPr>
                <w:pStyle w:val="Sommario2"/>
                <w:rPr>
                  <w:rFonts w:eastAsiaTheme="minorEastAsia"/>
                  <w:noProof/>
                  <w:kern w:val="2"/>
                  <w:sz w:val="24"/>
                  <w:szCs w:val="24"/>
                  <w14:ligatures w14:val="standardContextual"/>
                </w:rPr>
              </w:pPr>
              <w:hyperlink w:anchor="_Toc205213709" w:history="1">
                <w:r w:rsidRPr="001B11AA">
                  <w:rPr>
                    <w:rStyle w:val="Collegamentoipertestuale"/>
                    <w:rFonts w:cstheme="minorHAnsi"/>
                    <w:noProof/>
                  </w:rPr>
                  <w:t>2.2</w:t>
                </w:r>
                <w:r>
                  <w:rPr>
                    <w:rFonts w:eastAsiaTheme="minorEastAsia"/>
                    <w:noProof/>
                    <w:kern w:val="2"/>
                    <w:sz w:val="24"/>
                    <w:szCs w:val="24"/>
                    <w14:ligatures w14:val="standardContextual"/>
                  </w:rPr>
                  <w:tab/>
                </w:r>
                <w:r w:rsidRPr="001B11AA">
                  <w:rPr>
                    <w:rStyle w:val="Collegamentoipertestuale"/>
                    <w:rFonts w:cstheme="minorHAnsi"/>
                    <w:noProof/>
                  </w:rPr>
                  <w:t>Accordi di programma del Bacino Sud Est</w:t>
                </w:r>
                <w:r>
                  <w:rPr>
                    <w:noProof/>
                    <w:webHidden/>
                  </w:rPr>
                  <w:tab/>
                </w:r>
                <w:r>
                  <w:rPr>
                    <w:noProof/>
                    <w:webHidden/>
                  </w:rPr>
                  <w:fldChar w:fldCharType="begin"/>
                </w:r>
                <w:r>
                  <w:rPr>
                    <w:noProof/>
                    <w:webHidden/>
                  </w:rPr>
                  <w:instrText xml:space="preserve"> PAGEREF _Toc205213709 \h </w:instrText>
                </w:r>
                <w:r>
                  <w:rPr>
                    <w:noProof/>
                    <w:webHidden/>
                  </w:rPr>
                </w:r>
                <w:r>
                  <w:rPr>
                    <w:noProof/>
                    <w:webHidden/>
                  </w:rPr>
                  <w:fldChar w:fldCharType="separate"/>
                </w:r>
                <w:r w:rsidR="00670903">
                  <w:rPr>
                    <w:noProof/>
                    <w:webHidden/>
                  </w:rPr>
                  <w:t>24</w:t>
                </w:r>
                <w:r>
                  <w:rPr>
                    <w:noProof/>
                    <w:webHidden/>
                  </w:rPr>
                  <w:fldChar w:fldCharType="end"/>
                </w:r>
              </w:hyperlink>
            </w:p>
            <w:p w14:paraId="72AE1B21" w14:textId="085F24C5" w:rsidR="00691FEF" w:rsidRDefault="00691FEF">
              <w:pPr>
                <w:pStyle w:val="Sommario1"/>
                <w:rPr>
                  <w:rFonts w:eastAsiaTheme="minorEastAsia"/>
                  <w:noProof/>
                  <w:kern w:val="2"/>
                  <w:sz w:val="24"/>
                  <w:szCs w:val="24"/>
                  <w14:ligatures w14:val="standardContextual"/>
                </w:rPr>
              </w:pPr>
              <w:hyperlink w:anchor="_Toc205213710" w:history="1">
                <w:r w:rsidRPr="001B11AA">
                  <w:rPr>
                    <w:rStyle w:val="Collegamentoipertestuale"/>
                    <w:rFonts w:cstheme="minorHAnsi"/>
                    <w:noProof/>
                  </w:rPr>
                  <w:t>3</w:t>
                </w:r>
                <w:r>
                  <w:rPr>
                    <w:rFonts w:eastAsiaTheme="minorEastAsia"/>
                    <w:noProof/>
                    <w:kern w:val="2"/>
                    <w:sz w:val="24"/>
                    <w:szCs w:val="24"/>
                    <w14:ligatures w14:val="standardContextual"/>
                  </w:rPr>
                  <w:tab/>
                </w:r>
                <w:r w:rsidRPr="001B11AA">
                  <w:rPr>
                    <w:rStyle w:val="Collegamentoipertestuale"/>
                    <w:rFonts w:cstheme="minorHAnsi"/>
                    <w:noProof/>
                  </w:rPr>
                  <w:t>Analisi della domanda effettiva, potenziale e debole del Bacino Sud Est</w:t>
                </w:r>
                <w:r>
                  <w:rPr>
                    <w:noProof/>
                    <w:webHidden/>
                  </w:rPr>
                  <w:tab/>
                </w:r>
                <w:r>
                  <w:rPr>
                    <w:noProof/>
                    <w:webHidden/>
                  </w:rPr>
                  <w:fldChar w:fldCharType="begin"/>
                </w:r>
                <w:r>
                  <w:rPr>
                    <w:noProof/>
                    <w:webHidden/>
                  </w:rPr>
                  <w:instrText xml:space="preserve"> PAGEREF _Toc205213710 \h </w:instrText>
                </w:r>
                <w:r>
                  <w:rPr>
                    <w:noProof/>
                    <w:webHidden/>
                  </w:rPr>
                </w:r>
                <w:r>
                  <w:rPr>
                    <w:noProof/>
                    <w:webHidden/>
                  </w:rPr>
                  <w:fldChar w:fldCharType="separate"/>
                </w:r>
                <w:r w:rsidR="00670903">
                  <w:rPr>
                    <w:noProof/>
                    <w:webHidden/>
                  </w:rPr>
                  <w:t>26</w:t>
                </w:r>
                <w:r>
                  <w:rPr>
                    <w:noProof/>
                    <w:webHidden/>
                  </w:rPr>
                  <w:fldChar w:fldCharType="end"/>
                </w:r>
              </w:hyperlink>
            </w:p>
            <w:p w14:paraId="1C53A2D9" w14:textId="6C3BF87B" w:rsidR="00691FEF" w:rsidRDefault="00691FEF">
              <w:pPr>
                <w:pStyle w:val="Sommario2"/>
                <w:rPr>
                  <w:rFonts w:eastAsiaTheme="minorEastAsia"/>
                  <w:noProof/>
                  <w:kern w:val="2"/>
                  <w:sz w:val="24"/>
                  <w:szCs w:val="24"/>
                  <w14:ligatures w14:val="standardContextual"/>
                </w:rPr>
              </w:pPr>
              <w:hyperlink w:anchor="_Toc205213711" w:history="1">
                <w:r w:rsidRPr="001B11AA">
                  <w:rPr>
                    <w:rStyle w:val="Collegamentoipertestuale"/>
                    <w:rFonts w:cstheme="minorHAnsi"/>
                    <w:noProof/>
                  </w:rPr>
                  <w:t>3.1</w:t>
                </w:r>
                <w:r>
                  <w:rPr>
                    <w:rFonts w:eastAsiaTheme="minorEastAsia"/>
                    <w:noProof/>
                    <w:kern w:val="2"/>
                    <w:sz w:val="24"/>
                    <w:szCs w:val="24"/>
                    <w14:ligatures w14:val="standardContextual"/>
                  </w:rPr>
                  <w:tab/>
                </w:r>
                <w:r w:rsidRPr="001B11AA">
                  <w:rPr>
                    <w:rStyle w:val="Collegamentoipertestuale"/>
                    <w:rFonts w:cstheme="minorHAnsi"/>
                    <w:noProof/>
                  </w:rPr>
                  <w:t>Indagini statistiche sulla mobilità delle persone</w:t>
                </w:r>
                <w:r>
                  <w:rPr>
                    <w:noProof/>
                    <w:webHidden/>
                  </w:rPr>
                  <w:tab/>
                </w:r>
                <w:r>
                  <w:rPr>
                    <w:noProof/>
                    <w:webHidden/>
                  </w:rPr>
                  <w:fldChar w:fldCharType="begin"/>
                </w:r>
                <w:r>
                  <w:rPr>
                    <w:noProof/>
                    <w:webHidden/>
                  </w:rPr>
                  <w:instrText xml:space="preserve"> PAGEREF _Toc205213711 \h </w:instrText>
                </w:r>
                <w:r>
                  <w:rPr>
                    <w:noProof/>
                    <w:webHidden/>
                  </w:rPr>
                </w:r>
                <w:r>
                  <w:rPr>
                    <w:noProof/>
                    <w:webHidden/>
                  </w:rPr>
                  <w:fldChar w:fldCharType="separate"/>
                </w:r>
                <w:r w:rsidR="00670903">
                  <w:rPr>
                    <w:noProof/>
                    <w:webHidden/>
                  </w:rPr>
                  <w:t>26</w:t>
                </w:r>
                <w:r>
                  <w:rPr>
                    <w:noProof/>
                    <w:webHidden/>
                  </w:rPr>
                  <w:fldChar w:fldCharType="end"/>
                </w:r>
              </w:hyperlink>
            </w:p>
            <w:p w14:paraId="4F9B1B00" w14:textId="6888EABB" w:rsidR="00691FEF" w:rsidRDefault="00691FEF">
              <w:pPr>
                <w:pStyle w:val="Sommario2"/>
                <w:rPr>
                  <w:rFonts w:eastAsiaTheme="minorEastAsia"/>
                  <w:noProof/>
                  <w:kern w:val="2"/>
                  <w:sz w:val="24"/>
                  <w:szCs w:val="24"/>
                  <w14:ligatures w14:val="standardContextual"/>
                </w:rPr>
              </w:pPr>
              <w:hyperlink w:anchor="_Toc205213712" w:history="1">
                <w:r w:rsidRPr="001B11AA">
                  <w:rPr>
                    <w:rStyle w:val="Collegamentoipertestuale"/>
                    <w:rFonts w:cstheme="minorHAnsi"/>
                    <w:noProof/>
                  </w:rPr>
                  <w:t>3.2</w:t>
                </w:r>
                <w:r>
                  <w:rPr>
                    <w:rFonts w:eastAsiaTheme="minorEastAsia"/>
                    <w:noProof/>
                    <w:kern w:val="2"/>
                    <w:sz w:val="24"/>
                    <w:szCs w:val="24"/>
                    <w14:ligatures w14:val="standardContextual"/>
                  </w:rPr>
                  <w:tab/>
                </w:r>
                <w:r w:rsidRPr="001B11AA">
                  <w:rPr>
                    <w:rStyle w:val="Collegamentoipertestuale"/>
                    <w:rFonts w:cstheme="minorHAnsi"/>
                    <w:noProof/>
                  </w:rPr>
                  <w:t>Aree a domanda debole</w:t>
                </w:r>
                <w:r>
                  <w:rPr>
                    <w:noProof/>
                    <w:webHidden/>
                  </w:rPr>
                  <w:tab/>
                </w:r>
                <w:r>
                  <w:rPr>
                    <w:noProof/>
                    <w:webHidden/>
                  </w:rPr>
                  <w:fldChar w:fldCharType="begin"/>
                </w:r>
                <w:r>
                  <w:rPr>
                    <w:noProof/>
                    <w:webHidden/>
                  </w:rPr>
                  <w:instrText xml:space="preserve"> PAGEREF _Toc205213712 \h </w:instrText>
                </w:r>
                <w:r>
                  <w:rPr>
                    <w:noProof/>
                    <w:webHidden/>
                  </w:rPr>
                </w:r>
                <w:r>
                  <w:rPr>
                    <w:noProof/>
                    <w:webHidden/>
                  </w:rPr>
                  <w:fldChar w:fldCharType="separate"/>
                </w:r>
                <w:r w:rsidR="00670903">
                  <w:rPr>
                    <w:noProof/>
                    <w:webHidden/>
                  </w:rPr>
                  <w:t>32</w:t>
                </w:r>
                <w:r>
                  <w:rPr>
                    <w:noProof/>
                    <w:webHidden/>
                  </w:rPr>
                  <w:fldChar w:fldCharType="end"/>
                </w:r>
              </w:hyperlink>
            </w:p>
            <w:p w14:paraId="0C67A35F" w14:textId="4B0E3BB1" w:rsidR="00691FEF" w:rsidRDefault="00691FEF">
              <w:pPr>
                <w:pStyle w:val="Sommario2"/>
                <w:rPr>
                  <w:rFonts w:eastAsiaTheme="minorEastAsia"/>
                  <w:noProof/>
                  <w:kern w:val="2"/>
                  <w:sz w:val="24"/>
                  <w:szCs w:val="24"/>
                  <w14:ligatures w14:val="standardContextual"/>
                </w:rPr>
              </w:pPr>
              <w:hyperlink w:anchor="_Toc205213713" w:history="1">
                <w:r w:rsidRPr="001B11AA">
                  <w:rPr>
                    <w:rStyle w:val="Collegamentoipertestuale"/>
                    <w:rFonts w:cstheme="minorHAnsi"/>
                    <w:noProof/>
                  </w:rPr>
                  <w:t>3.3</w:t>
                </w:r>
                <w:r>
                  <w:rPr>
                    <w:rFonts w:eastAsiaTheme="minorEastAsia"/>
                    <w:noProof/>
                    <w:kern w:val="2"/>
                    <w:sz w:val="24"/>
                    <w:szCs w:val="24"/>
                    <w14:ligatures w14:val="standardContextual"/>
                  </w:rPr>
                  <w:tab/>
                </w:r>
                <w:r w:rsidRPr="001B11AA">
                  <w:rPr>
                    <w:rStyle w:val="Collegamentoipertestuale"/>
                    <w:rFonts w:cstheme="minorHAnsi"/>
                    <w:noProof/>
                  </w:rPr>
                  <w:t>Analisi dell’autocontenimento della domanda</w:t>
                </w:r>
                <w:r>
                  <w:rPr>
                    <w:noProof/>
                    <w:webHidden/>
                  </w:rPr>
                  <w:tab/>
                </w:r>
                <w:r>
                  <w:rPr>
                    <w:noProof/>
                    <w:webHidden/>
                  </w:rPr>
                  <w:fldChar w:fldCharType="begin"/>
                </w:r>
                <w:r>
                  <w:rPr>
                    <w:noProof/>
                    <w:webHidden/>
                  </w:rPr>
                  <w:instrText xml:space="preserve"> PAGEREF _Toc205213713 \h </w:instrText>
                </w:r>
                <w:r>
                  <w:rPr>
                    <w:noProof/>
                    <w:webHidden/>
                  </w:rPr>
                </w:r>
                <w:r>
                  <w:rPr>
                    <w:noProof/>
                    <w:webHidden/>
                  </w:rPr>
                  <w:fldChar w:fldCharType="separate"/>
                </w:r>
                <w:r w:rsidR="00670903">
                  <w:rPr>
                    <w:noProof/>
                    <w:webHidden/>
                  </w:rPr>
                  <w:t>36</w:t>
                </w:r>
                <w:r>
                  <w:rPr>
                    <w:noProof/>
                    <w:webHidden/>
                  </w:rPr>
                  <w:fldChar w:fldCharType="end"/>
                </w:r>
              </w:hyperlink>
            </w:p>
            <w:p w14:paraId="7EF33B37" w14:textId="472A34EE" w:rsidR="00691FEF" w:rsidRDefault="00691FEF">
              <w:pPr>
                <w:pStyle w:val="Sommario2"/>
                <w:rPr>
                  <w:rFonts w:eastAsiaTheme="minorEastAsia"/>
                  <w:noProof/>
                  <w:kern w:val="2"/>
                  <w:sz w:val="24"/>
                  <w:szCs w:val="24"/>
                  <w14:ligatures w14:val="standardContextual"/>
                </w:rPr>
              </w:pPr>
              <w:hyperlink w:anchor="_Toc205213714" w:history="1">
                <w:r w:rsidRPr="001B11AA">
                  <w:rPr>
                    <w:rStyle w:val="Collegamentoipertestuale"/>
                    <w:rFonts w:cstheme="minorHAnsi"/>
                    <w:noProof/>
                  </w:rPr>
                  <w:t>3.4</w:t>
                </w:r>
                <w:r>
                  <w:rPr>
                    <w:rFonts w:eastAsiaTheme="minorEastAsia"/>
                    <w:noProof/>
                    <w:kern w:val="2"/>
                    <w:sz w:val="24"/>
                    <w:szCs w:val="24"/>
                    <w14:ligatures w14:val="standardContextual"/>
                  </w:rPr>
                  <w:tab/>
                </w:r>
                <w:r w:rsidRPr="001B11AA">
                  <w:rPr>
                    <w:rStyle w:val="Collegamentoipertestuale"/>
                    <w:rFonts w:cstheme="minorHAnsi"/>
                    <w:noProof/>
                  </w:rPr>
                  <w:t>Analisi di mobilità su dati provenienti da piattaforme Big Data di operatori telefonici</w:t>
                </w:r>
                <w:r>
                  <w:rPr>
                    <w:noProof/>
                    <w:webHidden/>
                  </w:rPr>
                  <w:tab/>
                </w:r>
                <w:r>
                  <w:rPr>
                    <w:noProof/>
                    <w:webHidden/>
                  </w:rPr>
                  <w:fldChar w:fldCharType="begin"/>
                </w:r>
                <w:r>
                  <w:rPr>
                    <w:noProof/>
                    <w:webHidden/>
                  </w:rPr>
                  <w:instrText xml:space="preserve"> PAGEREF _Toc205213714 \h </w:instrText>
                </w:r>
                <w:r>
                  <w:rPr>
                    <w:noProof/>
                    <w:webHidden/>
                  </w:rPr>
                </w:r>
                <w:r>
                  <w:rPr>
                    <w:noProof/>
                    <w:webHidden/>
                  </w:rPr>
                  <w:fldChar w:fldCharType="separate"/>
                </w:r>
                <w:r w:rsidR="00670903">
                  <w:rPr>
                    <w:noProof/>
                    <w:webHidden/>
                  </w:rPr>
                  <w:t>39</w:t>
                </w:r>
                <w:r>
                  <w:rPr>
                    <w:noProof/>
                    <w:webHidden/>
                  </w:rPr>
                  <w:fldChar w:fldCharType="end"/>
                </w:r>
              </w:hyperlink>
            </w:p>
            <w:p w14:paraId="5433A6AA" w14:textId="0216B7D3" w:rsidR="00691FEF" w:rsidRDefault="00691FEF">
              <w:pPr>
                <w:pStyle w:val="Sommario3"/>
                <w:rPr>
                  <w:rFonts w:eastAsiaTheme="minorEastAsia"/>
                  <w:noProof/>
                  <w:kern w:val="2"/>
                  <w:sz w:val="24"/>
                  <w:szCs w:val="24"/>
                  <w14:ligatures w14:val="standardContextual"/>
                </w:rPr>
              </w:pPr>
              <w:hyperlink w:anchor="_Toc205213715" w:history="1">
                <w:r w:rsidRPr="001B11AA">
                  <w:rPr>
                    <w:rStyle w:val="Collegamentoipertestuale"/>
                    <w:rFonts w:cstheme="minorHAnsi"/>
                    <w:noProof/>
                  </w:rPr>
                  <w:t>3.4.1</w:t>
                </w:r>
                <w:r>
                  <w:rPr>
                    <w:rFonts w:eastAsiaTheme="minorEastAsia"/>
                    <w:noProof/>
                    <w:kern w:val="2"/>
                    <w:sz w:val="24"/>
                    <w:szCs w:val="24"/>
                    <w14:ligatures w14:val="standardContextual"/>
                  </w:rPr>
                  <w:tab/>
                </w:r>
                <w:r w:rsidRPr="001B11AA">
                  <w:rPr>
                    <w:rStyle w:val="Collegamentoipertestuale"/>
                    <w:rFonts w:cstheme="minorHAnsi"/>
                    <w:noProof/>
                  </w:rPr>
                  <w:t>Analisi della domanda tramite i dati della piattaforma Windtre</w:t>
                </w:r>
                <w:r>
                  <w:rPr>
                    <w:noProof/>
                    <w:webHidden/>
                  </w:rPr>
                  <w:tab/>
                </w:r>
                <w:r>
                  <w:rPr>
                    <w:noProof/>
                    <w:webHidden/>
                  </w:rPr>
                  <w:fldChar w:fldCharType="begin"/>
                </w:r>
                <w:r>
                  <w:rPr>
                    <w:noProof/>
                    <w:webHidden/>
                  </w:rPr>
                  <w:instrText xml:space="preserve"> PAGEREF _Toc205213715 \h </w:instrText>
                </w:r>
                <w:r>
                  <w:rPr>
                    <w:noProof/>
                    <w:webHidden/>
                  </w:rPr>
                </w:r>
                <w:r>
                  <w:rPr>
                    <w:noProof/>
                    <w:webHidden/>
                  </w:rPr>
                  <w:fldChar w:fldCharType="separate"/>
                </w:r>
                <w:r w:rsidR="00670903">
                  <w:rPr>
                    <w:noProof/>
                    <w:webHidden/>
                  </w:rPr>
                  <w:t>40</w:t>
                </w:r>
                <w:r>
                  <w:rPr>
                    <w:noProof/>
                    <w:webHidden/>
                  </w:rPr>
                  <w:fldChar w:fldCharType="end"/>
                </w:r>
              </w:hyperlink>
            </w:p>
            <w:p w14:paraId="5C8DA0FF" w14:textId="7ED28D79" w:rsidR="00691FEF" w:rsidRDefault="00691FEF">
              <w:pPr>
                <w:pStyle w:val="Sommario3"/>
                <w:rPr>
                  <w:rFonts w:eastAsiaTheme="minorEastAsia"/>
                  <w:noProof/>
                  <w:kern w:val="2"/>
                  <w:sz w:val="24"/>
                  <w:szCs w:val="24"/>
                  <w14:ligatures w14:val="standardContextual"/>
                </w:rPr>
              </w:pPr>
              <w:hyperlink w:anchor="_Toc205213716" w:history="1">
                <w:r w:rsidRPr="001B11AA">
                  <w:rPr>
                    <w:rStyle w:val="Collegamentoipertestuale"/>
                    <w:rFonts w:cstheme="minorHAnsi"/>
                    <w:noProof/>
                  </w:rPr>
                  <w:t>3.4.2</w:t>
                </w:r>
                <w:r>
                  <w:rPr>
                    <w:rFonts w:eastAsiaTheme="minorEastAsia"/>
                    <w:noProof/>
                    <w:kern w:val="2"/>
                    <w:sz w:val="24"/>
                    <w:szCs w:val="24"/>
                    <w14:ligatures w14:val="standardContextual"/>
                  </w:rPr>
                  <w:tab/>
                </w:r>
                <w:r w:rsidRPr="001B11AA">
                  <w:rPr>
                    <w:rStyle w:val="Collegamentoipertestuale"/>
                    <w:rFonts w:cstheme="minorHAnsi"/>
                    <w:noProof/>
                  </w:rPr>
                  <w:t>Analisi della domanda debole tramite i dati della piattaforma Windtre</w:t>
                </w:r>
                <w:r>
                  <w:rPr>
                    <w:noProof/>
                    <w:webHidden/>
                  </w:rPr>
                  <w:tab/>
                </w:r>
                <w:r>
                  <w:rPr>
                    <w:noProof/>
                    <w:webHidden/>
                  </w:rPr>
                  <w:fldChar w:fldCharType="begin"/>
                </w:r>
                <w:r>
                  <w:rPr>
                    <w:noProof/>
                    <w:webHidden/>
                  </w:rPr>
                  <w:instrText xml:space="preserve"> PAGEREF _Toc205213716 \h </w:instrText>
                </w:r>
                <w:r>
                  <w:rPr>
                    <w:noProof/>
                    <w:webHidden/>
                  </w:rPr>
                </w:r>
                <w:r>
                  <w:rPr>
                    <w:noProof/>
                    <w:webHidden/>
                  </w:rPr>
                  <w:fldChar w:fldCharType="separate"/>
                </w:r>
                <w:r w:rsidR="00670903">
                  <w:rPr>
                    <w:noProof/>
                    <w:webHidden/>
                  </w:rPr>
                  <w:t>42</w:t>
                </w:r>
                <w:r>
                  <w:rPr>
                    <w:noProof/>
                    <w:webHidden/>
                  </w:rPr>
                  <w:fldChar w:fldCharType="end"/>
                </w:r>
              </w:hyperlink>
            </w:p>
            <w:p w14:paraId="40663D4A" w14:textId="4A45C355" w:rsidR="00691FEF" w:rsidRDefault="00691FEF">
              <w:pPr>
                <w:pStyle w:val="Sommario3"/>
                <w:rPr>
                  <w:rFonts w:eastAsiaTheme="minorEastAsia"/>
                  <w:noProof/>
                  <w:kern w:val="2"/>
                  <w:sz w:val="24"/>
                  <w:szCs w:val="24"/>
                  <w14:ligatures w14:val="standardContextual"/>
                </w:rPr>
              </w:pPr>
              <w:hyperlink w:anchor="_Toc205213717" w:history="1">
                <w:r w:rsidRPr="001B11AA">
                  <w:rPr>
                    <w:rStyle w:val="Collegamentoipertestuale"/>
                    <w:rFonts w:cstheme="minorHAnsi"/>
                    <w:noProof/>
                  </w:rPr>
                  <w:t>3.4.3</w:t>
                </w:r>
                <w:r>
                  <w:rPr>
                    <w:rFonts w:eastAsiaTheme="minorEastAsia"/>
                    <w:noProof/>
                    <w:kern w:val="2"/>
                    <w:sz w:val="24"/>
                    <w:szCs w:val="24"/>
                    <w14:ligatures w14:val="standardContextual"/>
                  </w:rPr>
                  <w:tab/>
                </w:r>
                <w:r w:rsidRPr="001B11AA">
                  <w:rPr>
                    <w:rStyle w:val="Collegamentoipertestuale"/>
                    <w:rFonts w:cstheme="minorHAnsi"/>
                    <w:noProof/>
                  </w:rPr>
                  <w:t>Osservazioni generali sull’interpretazione dei dati da piattaforme Big Data</w:t>
                </w:r>
                <w:r>
                  <w:rPr>
                    <w:noProof/>
                    <w:webHidden/>
                  </w:rPr>
                  <w:tab/>
                </w:r>
                <w:r>
                  <w:rPr>
                    <w:noProof/>
                    <w:webHidden/>
                  </w:rPr>
                  <w:fldChar w:fldCharType="begin"/>
                </w:r>
                <w:r>
                  <w:rPr>
                    <w:noProof/>
                    <w:webHidden/>
                  </w:rPr>
                  <w:instrText xml:space="preserve"> PAGEREF _Toc205213717 \h </w:instrText>
                </w:r>
                <w:r>
                  <w:rPr>
                    <w:noProof/>
                    <w:webHidden/>
                  </w:rPr>
                </w:r>
                <w:r>
                  <w:rPr>
                    <w:noProof/>
                    <w:webHidden/>
                  </w:rPr>
                  <w:fldChar w:fldCharType="separate"/>
                </w:r>
                <w:r w:rsidR="00670903">
                  <w:rPr>
                    <w:noProof/>
                    <w:webHidden/>
                  </w:rPr>
                  <w:t>44</w:t>
                </w:r>
                <w:r>
                  <w:rPr>
                    <w:noProof/>
                    <w:webHidden/>
                  </w:rPr>
                  <w:fldChar w:fldCharType="end"/>
                </w:r>
              </w:hyperlink>
            </w:p>
            <w:p w14:paraId="2D4A13E1" w14:textId="0E30009F" w:rsidR="00691FEF" w:rsidRDefault="00691FEF">
              <w:pPr>
                <w:pStyle w:val="Sommario2"/>
                <w:rPr>
                  <w:rFonts w:eastAsiaTheme="minorEastAsia"/>
                  <w:noProof/>
                  <w:kern w:val="2"/>
                  <w:sz w:val="24"/>
                  <w:szCs w:val="24"/>
                  <w14:ligatures w14:val="standardContextual"/>
                </w:rPr>
              </w:pPr>
              <w:hyperlink w:anchor="_Toc205213718" w:history="1">
                <w:r w:rsidRPr="001B11AA">
                  <w:rPr>
                    <w:rStyle w:val="Collegamentoipertestuale"/>
                    <w:noProof/>
                  </w:rPr>
                  <w:t>3.5</w:t>
                </w:r>
                <w:r>
                  <w:rPr>
                    <w:rFonts w:eastAsiaTheme="minorEastAsia"/>
                    <w:noProof/>
                    <w:kern w:val="2"/>
                    <w:sz w:val="24"/>
                    <w:szCs w:val="24"/>
                    <w14:ligatures w14:val="standardContextual"/>
                  </w:rPr>
                  <w:tab/>
                </w:r>
                <w:r w:rsidRPr="001B11AA">
                  <w:rPr>
                    <w:rStyle w:val="Collegamentoipertestuale"/>
                    <w:noProof/>
                  </w:rPr>
                  <w:t>Frequentazioni del sistema di TPL del Bacino Sud Est</w:t>
                </w:r>
                <w:r>
                  <w:rPr>
                    <w:noProof/>
                    <w:webHidden/>
                  </w:rPr>
                  <w:tab/>
                </w:r>
                <w:r>
                  <w:rPr>
                    <w:noProof/>
                    <w:webHidden/>
                  </w:rPr>
                  <w:fldChar w:fldCharType="begin"/>
                </w:r>
                <w:r>
                  <w:rPr>
                    <w:noProof/>
                    <w:webHidden/>
                  </w:rPr>
                  <w:instrText xml:space="preserve"> PAGEREF _Toc205213718 \h </w:instrText>
                </w:r>
                <w:r>
                  <w:rPr>
                    <w:noProof/>
                    <w:webHidden/>
                  </w:rPr>
                </w:r>
                <w:r>
                  <w:rPr>
                    <w:noProof/>
                    <w:webHidden/>
                  </w:rPr>
                  <w:fldChar w:fldCharType="separate"/>
                </w:r>
                <w:r w:rsidR="00670903">
                  <w:rPr>
                    <w:noProof/>
                    <w:webHidden/>
                  </w:rPr>
                  <w:t>45</w:t>
                </w:r>
                <w:r>
                  <w:rPr>
                    <w:noProof/>
                    <w:webHidden/>
                  </w:rPr>
                  <w:fldChar w:fldCharType="end"/>
                </w:r>
              </w:hyperlink>
            </w:p>
            <w:p w14:paraId="0DE969F8" w14:textId="7A5C5B11" w:rsidR="00691FEF" w:rsidRDefault="00691FEF">
              <w:pPr>
                <w:pStyle w:val="Sommario2"/>
                <w:rPr>
                  <w:rFonts w:eastAsiaTheme="minorEastAsia"/>
                  <w:noProof/>
                  <w:kern w:val="2"/>
                  <w:sz w:val="24"/>
                  <w:szCs w:val="24"/>
                  <w14:ligatures w14:val="standardContextual"/>
                </w:rPr>
              </w:pPr>
              <w:hyperlink w:anchor="_Toc205213719" w:history="1">
                <w:r w:rsidRPr="001B11AA">
                  <w:rPr>
                    <w:rStyle w:val="Collegamentoipertestuale"/>
                    <w:noProof/>
                  </w:rPr>
                  <w:t>3.6</w:t>
                </w:r>
                <w:r>
                  <w:rPr>
                    <w:rFonts w:eastAsiaTheme="minorEastAsia"/>
                    <w:noProof/>
                    <w:kern w:val="2"/>
                    <w:sz w:val="24"/>
                    <w:szCs w:val="24"/>
                    <w14:ligatures w14:val="standardContextual"/>
                  </w:rPr>
                  <w:tab/>
                </w:r>
                <w:r w:rsidRPr="001B11AA">
                  <w:rPr>
                    <w:rStyle w:val="Collegamentoipertestuale"/>
                    <w:noProof/>
                  </w:rPr>
                  <w:t>Distribuzione della popolazione scolastica</w:t>
                </w:r>
                <w:r>
                  <w:rPr>
                    <w:noProof/>
                    <w:webHidden/>
                  </w:rPr>
                  <w:tab/>
                </w:r>
                <w:r>
                  <w:rPr>
                    <w:noProof/>
                    <w:webHidden/>
                  </w:rPr>
                  <w:fldChar w:fldCharType="begin"/>
                </w:r>
                <w:r>
                  <w:rPr>
                    <w:noProof/>
                    <w:webHidden/>
                  </w:rPr>
                  <w:instrText xml:space="preserve"> PAGEREF _Toc205213719 \h </w:instrText>
                </w:r>
                <w:r>
                  <w:rPr>
                    <w:noProof/>
                    <w:webHidden/>
                  </w:rPr>
                </w:r>
                <w:r>
                  <w:rPr>
                    <w:noProof/>
                    <w:webHidden/>
                  </w:rPr>
                  <w:fldChar w:fldCharType="separate"/>
                </w:r>
                <w:r w:rsidR="00670903">
                  <w:rPr>
                    <w:noProof/>
                    <w:webHidden/>
                  </w:rPr>
                  <w:t>52</w:t>
                </w:r>
                <w:r>
                  <w:rPr>
                    <w:noProof/>
                    <w:webHidden/>
                  </w:rPr>
                  <w:fldChar w:fldCharType="end"/>
                </w:r>
              </w:hyperlink>
            </w:p>
            <w:p w14:paraId="4E9310A8" w14:textId="630E0313" w:rsidR="00691FEF" w:rsidRDefault="00691FEF">
              <w:pPr>
                <w:pStyle w:val="Sommario2"/>
                <w:rPr>
                  <w:rFonts w:eastAsiaTheme="minorEastAsia"/>
                  <w:noProof/>
                  <w:kern w:val="2"/>
                  <w:sz w:val="24"/>
                  <w:szCs w:val="24"/>
                  <w14:ligatures w14:val="standardContextual"/>
                </w:rPr>
              </w:pPr>
              <w:hyperlink w:anchor="_Toc205213720" w:history="1">
                <w:r w:rsidRPr="001B11AA">
                  <w:rPr>
                    <w:rStyle w:val="Collegamentoipertestuale"/>
                    <w:noProof/>
                  </w:rPr>
                  <w:t>3.7</w:t>
                </w:r>
                <w:r>
                  <w:rPr>
                    <w:rFonts w:eastAsiaTheme="minorEastAsia"/>
                    <w:noProof/>
                    <w:kern w:val="2"/>
                    <w:sz w:val="24"/>
                    <w:szCs w:val="24"/>
                    <w14:ligatures w14:val="standardContextual"/>
                  </w:rPr>
                  <w:tab/>
                </w:r>
                <w:r w:rsidRPr="001B11AA">
                  <w:rPr>
                    <w:rStyle w:val="Collegamentoipertestuale"/>
                    <w:noProof/>
                  </w:rPr>
                  <w:t>Ulteriori elementi della domanda sistematica</w:t>
                </w:r>
                <w:r>
                  <w:rPr>
                    <w:noProof/>
                    <w:webHidden/>
                  </w:rPr>
                  <w:tab/>
                </w:r>
                <w:r>
                  <w:rPr>
                    <w:noProof/>
                    <w:webHidden/>
                  </w:rPr>
                  <w:fldChar w:fldCharType="begin"/>
                </w:r>
                <w:r>
                  <w:rPr>
                    <w:noProof/>
                    <w:webHidden/>
                  </w:rPr>
                  <w:instrText xml:space="preserve"> PAGEREF _Toc205213720 \h </w:instrText>
                </w:r>
                <w:r>
                  <w:rPr>
                    <w:noProof/>
                    <w:webHidden/>
                  </w:rPr>
                </w:r>
                <w:r>
                  <w:rPr>
                    <w:noProof/>
                    <w:webHidden/>
                  </w:rPr>
                  <w:fldChar w:fldCharType="separate"/>
                </w:r>
                <w:r w:rsidR="00670903">
                  <w:rPr>
                    <w:noProof/>
                    <w:webHidden/>
                  </w:rPr>
                  <w:t>55</w:t>
                </w:r>
                <w:r>
                  <w:rPr>
                    <w:noProof/>
                    <w:webHidden/>
                  </w:rPr>
                  <w:fldChar w:fldCharType="end"/>
                </w:r>
              </w:hyperlink>
            </w:p>
            <w:p w14:paraId="7AF2D465" w14:textId="1F8EAF0D" w:rsidR="00691FEF" w:rsidRDefault="00691FEF">
              <w:pPr>
                <w:pStyle w:val="Sommario2"/>
                <w:rPr>
                  <w:rFonts w:eastAsiaTheme="minorEastAsia"/>
                  <w:noProof/>
                  <w:kern w:val="2"/>
                  <w:sz w:val="24"/>
                  <w:szCs w:val="24"/>
                  <w14:ligatures w14:val="standardContextual"/>
                </w:rPr>
              </w:pPr>
              <w:hyperlink w:anchor="_Toc205213721" w:history="1">
                <w:r w:rsidRPr="001B11AA">
                  <w:rPr>
                    <w:rStyle w:val="Collegamentoipertestuale"/>
                    <w:noProof/>
                  </w:rPr>
                  <w:t>3.8</w:t>
                </w:r>
                <w:r>
                  <w:rPr>
                    <w:rFonts w:eastAsiaTheme="minorEastAsia"/>
                    <w:noProof/>
                    <w:kern w:val="2"/>
                    <w:sz w:val="24"/>
                    <w:szCs w:val="24"/>
                    <w14:ligatures w14:val="standardContextual"/>
                  </w:rPr>
                  <w:tab/>
                </w:r>
                <w:r w:rsidRPr="001B11AA">
                  <w:rPr>
                    <w:rStyle w:val="Collegamentoipertestuale"/>
                    <w:noProof/>
                  </w:rPr>
                  <w:t>Domanda Turistica</w:t>
                </w:r>
                <w:r>
                  <w:rPr>
                    <w:noProof/>
                    <w:webHidden/>
                  </w:rPr>
                  <w:tab/>
                </w:r>
                <w:r>
                  <w:rPr>
                    <w:noProof/>
                    <w:webHidden/>
                  </w:rPr>
                  <w:fldChar w:fldCharType="begin"/>
                </w:r>
                <w:r>
                  <w:rPr>
                    <w:noProof/>
                    <w:webHidden/>
                  </w:rPr>
                  <w:instrText xml:space="preserve"> PAGEREF _Toc205213721 \h </w:instrText>
                </w:r>
                <w:r>
                  <w:rPr>
                    <w:noProof/>
                    <w:webHidden/>
                  </w:rPr>
                </w:r>
                <w:r>
                  <w:rPr>
                    <w:noProof/>
                    <w:webHidden/>
                  </w:rPr>
                  <w:fldChar w:fldCharType="separate"/>
                </w:r>
                <w:r w:rsidR="00670903">
                  <w:rPr>
                    <w:noProof/>
                    <w:webHidden/>
                  </w:rPr>
                  <w:t>56</w:t>
                </w:r>
                <w:r>
                  <w:rPr>
                    <w:noProof/>
                    <w:webHidden/>
                  </w:rPr>
                  <w:fldChar w:fldCharType="end"/>
                </w:r>
              </w:hyperlink>
            </w:p>
            <w:p w14:paraId="50CB1EF3" w14:textId="4DDD2D53" w:rsidR="00691FEF" w:rsidRDefault="00691FEF">
              <w:pPr>
                <w:pStyle w:val="Sommario2"/>
                <w:rPr>
                  <w:rFonts w:eastAsiaTheme="minorEastAsia"/>
                  <w:noProof/>
                  <w:kern w:val="2"/>
                  <w:sz w:val="24"/>
                  <w:szCs w:val="24"/>
                  <w14:ligatures w14:val="standardContextual"/>
                </w:rPr>
              </w:pPr>
              <w:hyperlink w:anchor="_Toc205213722" w:history="1">
                <w:r w:rsidRPr="001B11AA">
                  <w:rPr>
                    <w:rStyle w:val="Collegamentoipertestuale"/>
                    <w:noProof/>
                  </w:rPr>
                  <w:t>3.9</w:t>
                </w:r>
                <w:r>
                  <w:rPr>
                    <w:rFonts w:eastAsiaTheme="minorEastAsia"/>
                    <w:noProof/>
                    <w:kern w:val="2"/>
                    <w:sz w:val="24"/>
                    <w:szCs w:val="24"/>
                    <w14:ligatures w14:val="standardContextual"/>
                  </w:rPr>
                  <w:tab/>
                </w:r>
                <w:r w:rsidRPr="001B11AA">
                  <w:rPr>
                    <w:rStyle w:val="Collegamentoipertestuale"/>
                    <w:noProof/>
                  </w:rPr>
                  <w:t>Domanda di trasporto-Sviluppi</w:t>
                </w:r>
                <w:r>
                  <w:rPr>
                    <w:noProof/>
                    <w:webHidden/>
                  </w:rPr>
                  <w:tab/>
                </w:r>
                <w:r>
                  <w:rPr>
                    <w:noProof/>
                    <w:webHidden/>
                  </w:rPr>
                  <w:fldChar w:fldCharType="begin"/>
                </w:r>
                <w:r>
                  <w:rPr>
                    <w:noProof/>
                    <w:webHidden/>
                  </w:rPr>
                  <w:instrText xml:space="preserve"> PAGEREF _Toc205213722 \h </w:instrText>
                </w:r>
                <w:r>
                  <w:rPr>
                    <w:noProof/>
                    <w:webHidden/>
                  </w:rPr>
                </w:r>
                <w:r>
                  <w:rPr>
                    <w:noProof/>
                    <w:webHidden/>
                  </w:rPr>
                  <w:fldChar w:fldCharType="separate"/>
                </w:r>
                <w:r w:rsidR="00670903">
                  <w:rPr>
                    <w:noProof/>
                    <w:webHidden/>
                  </w:rPr>
                  <w:t>58</w:t>
                </w:r>
                <w:r>
                  <w:rPr>
                    <w:noProof/>
                    <w:webHidden/>
                  </w:rPr>
                  <w:fldChar w:fldCharType="end"/>
                </w:r>
              </w:hyperlink>
            </w:p>
            <w:p w14:paraId="1B6F3EA6" w14:textId="35199070" w:rsidR="00691FEF" w:rsidRDefault="00691FEF">
              <w:pPr>
                <w:pStyle w:val="Sommario1"/>
                <w:rPr>
                  <w:rFonts w:eastAsiaTheme="minorEastAsia"/>
                  <w:noProof/>
                  <w:kern w:val="2"/>
                  <w:sz w:val="24"/>
                  <w:szCs w:val="24"/>
                  <w14:ligatures w14:val="standardContextual"/>
                </w:rPr>
              </w:pPr>
              <w:hyperlink w:anchor="_Toc205213723" w:history="1">
                <w:r w:rsidRPr="001B11AA">
                  <w:rPr>
                    <w:rStyle w:val="Collegamentoipertestuale"/>
                    <w:noProof/>
                  </w:rPr>
                  <w:t>4</w:t>
                </w:r>
                <w:r>
                  <w:rPr>
                    <w:rFonts w:eastAsiaTheme="minorEastAsia"/>
                    <w:noProof/>
                    <w:kern w:val="2"/>
                    <w:sz w:val="24"/>
                    <w:szCs w:val="24"/>
                    <w14:ligatures w14:val="standardContextual"/>
                  </w:rPr>
                  <w:tab/>
                </w:r>
                <w:r w:rsidRPr="001B11AA">
                  <w:rPr>
                    <w:rStyle w:val="Collegamentoipertestuale"/>
                    <w:noProof/>
                  </w:rPr>
                  <w:t>Analisi offerta di trasporto del Bacino Sud Est</w:t>
                </w:r>
                <w:r>
                  <w:rPr>
                    <w:noProof/>
                    <w:webHidden/>
                  </w:rPr>
                  <w:tab/>
                </w:r>
                <w:r>
                  <w:rPr>
                    <w:noProof/>
                    <w:webHidden/>
                  </w:rPr>
                  <w:fldChar w:fldCharType="begin"/>
                </w:r>
                <w:r>
                  <w:rPr>
                    <w:noProof/>
                    <w:webHidden/>
                  </w:rPr>
                  <w:instrText xml:space="preserve"> PAGEREF _Toc205213723 \h </w:instrText>
                </w:r>
                <w:r>
                  <w:rPr>
                    <w:noProof/>
                    <w:webHidden/>
                  </w:rPr>
                </w:r>
                <w:r>
                  <w:rPr>
                    <w:noProof/>
                    <w:webHidden/>
                  </w:rPr>
                  <w:fldChar w:fldCharType="separate"/>
                </w:r>
                <w:r w:rsidR="00670903">
                  <w:rPr>
                    <w:noProof/>
                    <w:webHidden/>
                  </w:rPr>
                  <w:t>61</w:t>
                </w:r>
                <w:r>
                  <w:rPr>
                    <w:noProof/>
                    <w:webHidden/>
                  </w:rPr>
                  <w:fldChar w:fldCharType="end"/>
                </w:r>
              </w:hyperlink>
            </w:p>
            <w:p w14:paraId="15C32F23" w14:textId="5808BC9B" w:rsidR="00691FEF" w:rsidRDefault="00691FEF">
              <w:pPr>
                <w:pStyle w:val="Sommario2"/>
                <w:rPr>
                  <w:rFonts w:eastAsiaTheme="minorEastAsia"/>
                  <w:noProof/>
                  <w:kern w:val="2"/>
                  <w:sz w:val="24"/>
                  <w:szCs w:val="24"/>
                  <w14:ligatures w14:val="standardContextual"/>
                </w:rPr>
              </w:pPr>
              <w:hyperlink w:anchor="_Toc205213724" w:history="1">
                <w:r w:rsidRPr="001B11AA">
                  <w:rPr>
                    <w:rStyle w:val="Collegamentoipertestuale"/>
                    <w:noProof/>
                  </w:rPr>
                  <w:t>4.1</w:t>
                </w:r>
                <w:r>
                  <w:rPr>
                    <w:rFonts w:eastAsiaTheme="minorEastAsia"/>
                    <w:noProof/>
                    <w:kern w:val="2"/>
                    <w:sz w:val="24"/>
                    <w:szCs w:val="24"/>
                    <w14:ligatures w14:val="standardContextual"/>
                  </w:rPr>
                  <w:tab/>
                </w:r>
                <w:r w:rsidRPr="001B11AA">
                  <w:rPr>
                    <w:rStyle w:val="Collegamentoipertestuale"/>
                    <w:noProof/>
                  </w:rPr>
                  <w:t>Offerta di trasporto attuale</w:t>
                </w:r>
                <w:r>
                  <w:rPr>
                    <w:noProof/>
                    <w:webHidden/>
                  </w:rPr>
                  <w:tab/>
                </w:r>
                <w:r>
                  <w:rPr>
                    <w:noProof/>
                    <w:webHidden/>
                  </w:rPr>
                  <w:fldChar w:fldCharType="begin"/>
                </w:r>
                <w:r>
                  <w:rPr>
                    <w:noProof/>
                    <w:webHidden/>
                  </w:rPr>
                  <w:instrText xml:space="preserve"> PAGEREF _Toc205213724 \h </w:instrText>
                </w:r>
                <w:r>
                  <w:rPr>
                    <w:noProof/>
                    <w:webHidden/>
                  </w:rPr>
                </w:r>
                <w:r>
                  <w:rPr>
                    <w:noProof/>
                    <w:webHidden/>
                  </w:rPr>
                  <w:fldChar w:fldCharType="separate"/>
                </w:r>
                <w:r w:rsidR="00670903">
                  <w:rPr>
                    <w:noProof/>
                    <w:webHidden/>
                  </w:rPr>
                  <w:t>61</w:t>
                </w:r>
                <w:r>
                  <w:rPr>
                    <w:noProof/>
                    <w:webHidden/>
                  </w:rPr>
                  <w:fldChar w:fldCharType="end"/>
                </w:r>
              </w:hyperlink>
            </w:p>
            <w:p w14:paraId="7BF41A78" w14:textId="2A76A4D4" w:rsidR="00691FEF" w:rsidRDefault="00691FEF">
              <w:pPr>
                <w:pStyle w:val="Sommario3"/>
                <w:rPr>
                  <w:rFonts w:eastAsiaTheme="minorEastAsia"/>
                  <w:noProof/>
                  <w:kern w:val="2"/>
                  <w:sz w:val="24"/>
                  <w:szCs w:val="24"/>
                  <w14:ligatures w14:val="standardContextual"/>
                </w:rPr>
              </w:pPr>
              <w:hyperlink w:anchor="_Toc205213725" w:history="1">
                <w:r w:rsidRPr="001B11AA">
                  <w:rPr>
                    <w:rStyle w:val="Collegamentoipertestuale"/>
                    <w:noProof/>
                  </w:rPr>
                  <w:t>4.1.1</w:t>
                </w:r>
                <w:r>
                  <w:rPr>
                    <w:rFonts w:eastAsiaTheme="minorEastAsia"/>
                    <w:noProof/>
                    <w:kern w:val="2"/>
                    <w:sz w:val="24"/>
                    <w:szCs w:val="24"/>
                    <w14:ligatures w14:val="standardContextual"/>
                  </w:rPr>
                  <w:tab/>
                </w:r>
                <w:r w:rsidRPr="001B11AA">
                  <w:rPr>
                    <w:rStyle w:val="Collegamentoipertestuale"/>
                    <w:noProof/>
                  </w:rPr>
                  <w:t>Servizi ferroviari</w:t>
                </w:r>
                <w:r>
                  <w:rPr>
                    <w:noProof/>
                    <w:webHidden/>
                  </w:rPr>
                  <w:tab/>
                </w:r>
                <w:r>
                  <w:rPr>
                    <w:noProof/>
                    <w:webHidden/>
                  </w:rPr>
                  <w:fldChar w:fldCharType="begin"/>
                </w:r>
                <w:r>
                  <w:rPr>
                    <w:noProof/>
                    <w:webHidden/>
                  </w:rPr>
                  <w:instrText xml:space="preserve"> PAGEREF _Toc205213725 \h </w:instrText>
                </w:r>
                <w:r>
                  <w:rPr>
                    <w:noProof/>
                    <w:webHidden/>
                  </w:rPr>
                </w:r>
                <w:r>
                  <w:rPr>
                    <w:noProof/>
                    <w:webHidden/>
                  </w:rPr>
                  <w:fldChar w:fldCharType="separate"/>
                </w:r>
                <w:r w:rsidR="00670903">
                  <w:rPr>
                    <w:noProof/>
                    <w:webHidden/>
                  </w:rPr>
                  <w:t>61</w:t>
                </w:r>
                <w:r>
                  <w:rPr>
                    <w:noProof/>
                    <w:webHidden/>
                  </w:rPr>
                  <w:fldChar w:fldCharType="end"/>
                </w:r>
              </w:hyperlink>
            </w:p>
            <w:p w14:paraId="5EA855BE" w14:textId="615D0C65" w:rsidR="00691FEF" w:rsidRDefault="00691FEF">
              <w:pPr>
                <w:pStyle w:val="Sommario3"/>
                <w:rPr>
                  <w:rFonts w:eastAsiaTheme="minorEastAsia"/>
                  <w:noProof/>
                  <w:kern w:val="2"/>
                  <w:sz w:val="24"/>
                  <w:szCs w:val="24"/>
                  <w14:ligatures w14:val="standardContextual"/>
                </w:rPr>
              </w:pPr>
              <w:hyperlink w:anchor="_Toc205213726" w:history="1">
                <w:r w:rsidRPr="001B11AA">
                  <w:rPr>
                    <w:rStyle w:val="Collegamentoipertestuale"/>
                    <w:noProof/>
                  </w:rPr>
                  <w:t>4.1.2</w:t>
                </w:r>
                <w:r>
                  <w:rPr>
                    <w:rFonts w:eastAsiaTheme="minorEastAsia"/>
                    <w:noProof/>
                    <w:kern w:val="2"/>
                    <w:sz w:val="24"/>
                    <w:szCs w:val="24"/>
                    <w14:ligatures w14:val="standardContextual"/>
                  </w:rPr>
                  <w:tab/>
                </w:r>
                <w:r w:rsidRPr="001B11AA">
                  <w:rPr>
                    <w:rStyle w:val="Collegamentoipertestuale"/>
                    <w:noProof/>
                  </w:rPr>
                  <w:t>Servizi automobilistici di TPL urbano ed extraurbano del Bacino Sud Est</w:t>
                </w:r>
                <w:r>
                  <w:rPr>
                    <w:noProof/>
                    <w:webHidden/>
                  </w:rPr>
                  <w:tab/>
                </w:r>
                <w:r>
                  <w:rPr>
                    <w:noProof/>
                    <w:webHidden/>
                  </w:rPr>
                  <w:fldChar w:fldCharType="begin"/>
                </w:r>
                <w:r>
                  <w:rPr>
                    <w:noProof/>
                    <w:webHidden/>
                  </w:rPr>
                  <w:instrText xml:space="preserve"> PAGEREF _Toc205213726 \h </w:instrText>
                </w:r>
                <w:r>
                  <w:rPr>
                    <w:noProof/>
                    <w:webHidden/>
                  </w:rPr>
                </w:r>
                <w:r>
                  <w:rPr>
                    <w:noProof/>
                    <w:webHidden/>
                  </w:rPr>
                  <w:fldChar w:fldCharType="separate"/>
                </w:r>
                <w:r w:rsidR="00670903">
                  <w:rPr>
                    <w:noProof/>
                    <w:webHidden/>
                  </w:rPr>
                  <w:t>63</w:t>
                </w:r>
                <w:r>
                  <w:rPr>
                    <w:noProof/>
                    <w:webHidden/>
                  </w:rPr>
                  <w:fldChar w:fldCharType="end"/>
                </w:r>
              </w:hyperlink>
            </w:p>
            <w:p w14:paraId="7AEE4671" w14:textId="38A8D103" w:rsidR="00691FEF" w:rsidRDefault="00691FEF">
              <w:pPr>
                <w:pStyle w:val="Sommario3"/>
                <w:rPr>
                  <w:rFonts w:eastAsiaTheme="minorEastAsia"/>
                  <w:noProof/>
                  <w:kern w:val="2"/>
                  <w:sz w:val="24"/>
                  <w:szCs w:val="24"/>
                  <w14:ligatures w14:val="standardContextual"/>
                </w:rPr>
              </w:pPr>
              <w:hyperlink w:anchor="_Toc205213727" w:history="1">
                <w:r w:rsidRPr="001B11AA">
                  <w:rPr>
                    <w:rStyle w:val="Collegamentoipertestuale"/>
                    <w:noProof/>
                  </w:rPr>
                  <w:t>4.1.3</w:t>
                </w:r>
                <w:r>
                  <w:rPr>
                    <w:rFonts w:eastAsiaTheme="minorEastAsia"/>
                    <w:noProof/>
                    <w:kern w:val="2"/>
                    <w:sz w:val="24"/>
                    <w:szCs w:val="24"/>
                    <w14:ligatures w14:val="standardContextual"/>
                  </w:rPr>
                  <w:tab/>
                </w:r>
                <w:r w:rsidRPr="001B11AA">
                  <w:rPr>
                    <w:rStyle w:val="Collegamentoipertestuale"/>
                    <w:noProof/>
                  </w:rPr>
                  <w:t>Servizi in aree interne</w:t>
                </w:r>
                <w:r>
                  <w:rPr>
                    <w:noProof/>
                    <w:webHidden/>
                  </w:rPr>
                  <w:tab/>
                </w:r>
                <w:r>
                  <w:rPr>
                    <w:noProof/>
                    <w:webHidden/>
                  </w:rPr>
                  <w:fldChar w:fldCharType="begin"/>
                </w:r>
                <w:r>
                  <w:rPr>
                    <w:noProof/>
                    <w:webHidden/>
                  </w:rPr>
                  <w:instrText xml:space="preserve"> PAGEREF _Toc205213727 \h </w:instrText>
                </w:r>
                <w:r>
                  <w:rPr>
                    <w:noProof/>
                    <w:webHidden/>
                  </w:rPr>
                </w:r>
                <w:r>
                  <w:rPr>
                    <w:noProof/>
                    <w:webHidden/>
                  </w:rPr>
                  <w:fldChar w:fldCharType="separate"/>
                </w:r>
                <w:r w:rsidR="00670903">
                  <w:rPr>
                    <w:noProof/>
                    <w:webHidden/>
                  </w:rPr>
                  <w:t>70</w:t>
                </w:r>
                <w:r>
                  <w:rPr>
                    <w:noProof/>
                    <w:webHidden/>
                  </w:rPr>
                  <w:fldChar w:fldCharType="end"/>
                </w:r>
              </w:hyperlink>
            </w:p>
            <w:p w14:paraId="221156E3" w14:textId="74BEE14C" w:rsidR="00691FEF" w:rsidRDefault="00691FEF">
              <w:pPr>
                <w:pStyle w:val="Sommario2"/>
                <w:rPr>
                  <w:rFonts w:eastAsiaTheme="minorEastAsia"/>
                  <w:noProof/>
                  <w:kern w:val="2"/>
                  <w:sz w:val="24"/>
                  <w:szCs w:val="24"/>
                  <w14:ligatures w14:val="standardContextual"/>
                </w:rPr>
              </w:pPr>
              <w:hyperlink w:anchor="_Toc205213728" w:history="1">
                <w:r w:rsidRPr="001B11AA">
                  <w:rPr>
                    <w:rStyle w:val="Collegamentoipertestuale"/>
                    <w:noProof/>
                  </w:rPr>
                  <w:t>4.2</w:t>
                </w:r>
                <w:r>
                  <w:rPr>
                    <w:rFonts w:eastAsiaTheme="minorEastAsia"/>
                    <w:noProof/>
                    <w:kern w:val="2"/>
                    <w:sz w:val="24"/>
                    <w:szCs w:val="24"/>
                    <w14:ligatures w14:val="standardContextual"/>
                  </w:rPr>
                  <w:tab/>
                </w:r>
                <w:r w:rsidRPr="001B11AA">
                  <w:rPr>
                    <w:rStyle w:val="Collegamentoipertestuale"/>
                    <w:noProof/>
                  </w:rPr>
                  <w:t>Infrastrutture a servizio del trasporto pubblico locale</w:t>
                </w:r>
                <w:r>
                  <w:rPr>
                    <w:noProof/>
                    <w:webHidden/>
                  </w:rPr>
                  <w:tab/>
                </w:r>
                <w:r>
                  <w:rPr>
                    <w:noProof/>
                    <w:webHidden/>
                  </w:rPr>
                  <w:fldChar w:fldCharType="begin"/>
                </w:r>
                <w:r>
                  <w:rPr>
                    <w:noProof/>
                    <w:webHidden/>
                  </w:rPr>
                  <w:instrText xml:space="preserve"> PAGEREF _Toc205213728 \h </w:instrText>
                </w:r>
                <w:r>
                  <w:rPr>
                    <w:noProof/>
                    <w:webHidden/>
                  </w:rPr>
                </w:r>
                <w:r>
                  <w:rPr>
                    <w:noProof/>
                    <w:webHidden/>
                  </w:rPr>
                  <w:fldChar w:fldCharType="separate"/>
                </w:r>
                <w:r w:rsidR="00670903">
                  <w:rPr>
                    <w:noProof/>
                    <w:webHidden/>
                  </w:rPr>
                  <w:t>74</w:t>
                </w:r>
                <w:r>
                  <w:rPr>
                    <w:noProof/>
                    <w:webHidden/>
                  </w:rPr>
                  <w:fldChar w:fldCharType="end"/>
                </w:r>
              </w:hyperlink>
            </w:p>
            <w:p w14:paraId="0E3F036E" w14:textId="035A23E8" w:rsidR="00691FEF" w:rsidRDefault="00691FEF">
              <w:pPr>
                <w:pStyle w:val="Sommario3"/>
                <w:rPr>
                  <w:rFonts w:eastAsiaTheme="minorEastAsia"/>
                  <w:noProof/>
                  <w:kern w:val="2"/>
                  <w:sz w:val="24"/>
                  <w:szCs w:val="24"/>
                  <w14:ligatures w14:val="standardContextual"/>
                </w:rPr>
              </w:pPr>
              <w:hyperlink w:anchor="_Toc205213729" w:history="1">
                <w:r w:rsidRPr="001B11AA">
                  <w:rPr>
                    <w:rStyle w:val="Collegamentoipertestuale"/>
                    <w:noProof/>
                  </w:rPr>
                  <w:t>4.2.1</w:t>
                </w:r>
                <w:r>
                  <w:rPr>
                    <w:rFonts w:eastAsiaTheme="minorEastAsia"/>
                    <w:noProof/>
                    <w:kern w:val="2"/>
                    <w:sz w:val="24"/>
                    <w:szCs w:val="24"/>
                    <w14:ligatures w14:val="standardContextual"/>
                  </w:rPr>
                  <w:tab/>
                </w:r>
                <w:r w:rsidRPr="001B11AA">
                  <w:rPr>
                    <w:rStyle w:val="Collegamentoipertestuale"/>
                    <w:noProof/>
                    <w:shd w:val="clear" w:color="auto" w:fill="FAFAFA"/>
                  </w:rPr>
                  <w:t>Nodi d’interscambio</w:t>
                </w:r>
                <w:r>
                  <w:rPr>
                    <w:noProof/>
                    <w:webHidden/>
                  </w:rPr>
                  <w:tab/>
                </w:r>
                <w:r>
                  <w:rPr>
                    <w:noProof/>
                    <w:webHidden/>
                  </w:rPr>
                  <w:fldChar w:fldCharType="begin"/>
                </w:r>
                <w:r>
                  <w:rPr>
                    <w:noProof/>
                    <w:webHidden/>
                  </w:rPr>
                  <w:instrText xml:space="preserve"> PAGEREF _Toc205213729 \h </w:instrText>
                </w:r>
                <w:r>
                  <w:rPr>
                    <w:noProof/>
                    <w:webHidden/>
                  </w:rPr>
                </w:r>
                <w:r>
                  <w:rPr>
                    <w:noProof/>
                    <w:webHidden/>
                  </w:rPr>
                  <w:fldChar w:fldCharType="separate"/>
                </w:r>
                <w:r w:rsidR="00670903">
                  <w:rPr>
                    <w:noProof/>
                    <w:webHidden/>
                  </w:rPr>
                  <w:t>74</w:t>
                </w:r>
                <w:r>
                  <w:rPr>
                    <w:noProof/>
                    <w:webHidden/>
                  </w:rPr>
                  <w:fldChar w:fldCharType="end"/>
                </w:r>
              </w:hyperlink>
            </w:p>
            <w:p w14:paraId="227358F2" w14:textId="524CB309" w:rsidR="00691FEF" w:rsidRDefault="00691FEF">
              <w:pPr>
                <w:pStyle w:val="Sommario2"/>
                <w:rPr>
                  <w:rFonts w:eastAsiaTheme="minorEastAsia"/>
                  <w:noProof/>
                  <w:kern w:val="2"/>
                  <w:sz w:val="24"/>
                  <w:szCs w:val="24"/>
                  <w14:ligatures w14:val="standardContextual"/>
                </w:rPr>
              </w:pPr>
              <w:hyperlink w:anchor="_Toc205213730" w:history="1">
                <w:r w:rsidRPr="001B11AA">
                  <w:rPr>
                    <w:rStyle w:val="Collegamentoipertestuale"/>
                    <w:noProof/>
                  </w:rPr>
                  <w:t>4.3</w:t>
                </w:r>
                <w:r>
                  <w:rPr>
                    <w:rFonts w:eastAsiaTheme="minorEastAsia"/>
                    <w:noProof/>
                    <w:kern w:val="2"/>
                    <w:sz w:val="24"/>
                    <w:szCs w:val="24"/>
                    <w14:ligatures w14:val="standardContextual"/>
                  </w:rPr>
                  <w:tab/>
                </w:r>
                <w:r w:rsidRPr="001B11AA">
                  <w:rPr>
                    <w:rStyle w:val="Collegamentoipertestuale"/>
                    <w:noProof/>
                  </w:rPr>
                  <w:t>Offerta di trasporto - Sviluppi</w:t>
                </w:r>
                <w:r>
                  <w:rPr>
                    <w:noProof/>
                    <w:webHidden/>
                  </w:rPr>
                  <w:tab/>
                </w:r>
                <w:r>
                  <w:rPr>
                    <w:noProof/>
                    <w:webHidden/>
                  </w:rPr>
                  <w:fldChar w:fldCharType="begin"/>
                </w:r>
                <w:r>
                  <w:rPr>
                    <w:noProof/>
                    <w:webHidden/>
                  </w:rPr>
                  <w:instrText xml:space="preserve"> PAGEREF _Toc205213730 \h </w:instrText>
                </w:r>
                <w:r>
                  <w:rPr>
                    <w:noProof/>
                    <w:webHidden/>
                  </w:rPr>
                </w:r>
                <w:r>
                  <w:rPr>
                    <w:noProof/>
                    <w:webHidden/>
                  </w:rPr>
                  <w:fldChar w:fldCharType="separate"/>
                </w:r>
                <w:r w:rsidR="00670903">
                  <w:rPr>
                    <w:noProof/>
                    <w:webHidden/>
                  </w:rPr>
                  <w:t>77</w:t>
                </w:r>
                <w:r>
                  <w:rPr>
                    <w:noProof/>
                    <w:webHidden/>
                  </w:rPr>
                  <w:fldChar w:fldCharType="end"/>
                </w:r>
              </w:hyperlink>
            </w:p>
            <w:p w14:paraId="3E28086B" w14:textId="56A0F08A" w:rsidR="00691FEF" w:rsidRDefault="00691FEF">
              <w:pPr>
                <w:pStyle w:val="Sommario2"/>
                <w:rPr>
                  <w:rFonts w:eastAsiaTheme="minorEastAsia"/>
                  <w:noProof/>
                  <w:kern w:val="2"/>
                  <w:sz w:val="24"/>
                  <w:szCs w:val="24"/>
                  <w14:ligatures w14:val="standardContextual"/>
                </w:rPr>
              </w:pPr>
              <w:hyperlink w:anchor="_Toc205213731" w:history="1">
                <w:r w:rsidRPr="001B11AA">
                  <w:rPr>
                    <w:rStyle w:val="Collegamentoipertestuale"/>
                    <w:noProof/>
                  </w:rPr>
                  <w:t>4.4</w:t>
                </w:r>
                <w:r>
                  <w:rPr>
                    <w:rFonts w:eastAsiaTheme="minorEastAsia"/>
                    <w:noProof/>
                    <w:kern w:val="2"/>
                    <w:sz w:val="24"/>
                    <w:szCs w:val="24"/>
                    <w14:ligatures w14:val="standardContextual"/>
                  </w:rPr>
                  <w:tab/>
                </w:r>
                <w:r w:rsidRPr="001B11AA">
                  <w:rPr>
                    <w:rStyle w:val="Collegamentoipertestuale"/>
                    <w:noProof/>
                  </w:rPr>
                  <w:t>Interazione domanda offerta</w:t>
                </w:r>
                <w:r>
                  <w:rPr>
                    <w:noProof/>
                    <w:webHidden/>
                  </w:rPr>
                  <w:tab/>
                </w:r>
                <w:r>
                  <w:rPr>
                    <w:noProof/>
                    <w:webHidden/>
                  </w:rPr>
                  <w:fldChar w:fldCharType="begin"/>
                </w:r>
                <w:r>
                  <w:rPr>
                    <w:noProof/>
                    <w:webHidden/>
                  </w:rPr>
                  <w:instrText xml:space="preserve"> PAGEREF _Toc205213731 \h </w:instrText>
                </w:r>
                <w:r>
                  <w:rPr>
                    <w:noProof/>
                    <w:webHidden/>
                  </w:rPr>
                </w:r>
                <w:r>
                  <w:rPr>
                    <w:noProof/>
                    <w:webHidden/>
                  </w:rPr>
                  <w:fldChar w:fldCharType="separate"/>
                </w:r>
                <w:r w:rsidR="00670903">
                  <w:rPr>
                    <w:noProof/>
                    <w:webHidden/>
                  </w:rPr>
                  <w:t>78</w:t>
                </w:r>
                <w:r>
                  <w:rPr>
                    <w:noProof/>
                    <w:webHidden/>
                  </w:rPr>
                  <w:fldChar w:fldCharType="end"/>
                </w:r>
              </w:hyperlink>
            </w:p>
            <w:p w14:paraId="20D7B5CF" w14:textId="59521676" w:rsidR="00691FEF" w:rsidRDefault="00691FEF">
              <w:pPr>
                <w:pStyle w:val="Sommario1"/>
                <w:rPr>
                  <w:rFonts w:eastAsiaTheme="minorEastAsia"/>
                  <w:noProof/>
                  <w:kern w:val="2"/>
                  <w:sz w:val="24"/>
                  <w:szCs w:val="24"/>
                  <w14:ligatures w14:val="standardContextual"/>
                </w:rPr>
              </w:pPr>
              <w:hyperlink w:anchor="_Toc205213732" w:history="1">
                <w:r w:rsidRPr="001B11AA">
                  <w:rPr>
                    <w:rStyle w:val="Collegamentoipertestuale"/>
                    <w:noProof/>
                  </w:rPr>
                  <w:t>5</w:t>
                </w:r>
                <w:r>
                  <w:rPr>
                    <w:rFonts w:eastAsiaTheme="minorEastAsia"/>
                    <w:noProof/>
                    <w:kern w:val="2"/>
                    <w:sz w:val="24"/>
                    <w:szCs w:val="24"/>
                    <w14:ligatures w14:val="standardContextual"/>
                  </w:rPr>
                  <w:tab/>
                </w:r>
                <w:r w:rsidRPr="001B11AA">
                  <w:rPr>
                    <w:rStyle w:val="Collegamentoipertestuale"/>
                    <w:noProof/>
                  </w:rPr>
                  <w:t>Determinazione degli OSP e criteri di copertura finanziaria</w:t>
                </w:r>
                <w:r>
                  <w:rPr>
                    <w:noProof/>
                    <w:webHidden/>
                  </w:rPr>
                  <w:tab/>
                </w:r>
                <w:r>
                  <w:rPr>
                    <w:noProof/>
                    <w:webHidden/>
                  </w:rPr>
                  <w:fldChar w:fldCharType="begin"/>
                </w:r>
                <w:r>
                  <w:rPr>
                    <w:noProof/>
                    <w:webHidden/>
                  </w:rPr>
                  <w:instrText xml:space="preserve"> PAGEREF _Toc205213732 \h </w:instrText>
                </w:r>
                <w:r>
                  <w:rPr>
                    <w:noProof/>
                    <w:webHidden/>
                  </w:rPr>
                </w:r>
                <w:r>
                  <w:rPr>
                    <w:noProof/>
                    <w:webHidden/>
                  </w:rPr>
                  <w:fldChar w:fldCharType="separate"/>
                </w:r>
                <w:r w:rsidR="00670903">
                  <w:rPr>
                    <w:noProof/>
                    <w:webHidden/>
                  </w:rPr>
                  <w:t>82</w:t>
                </w:r>
                <w:r>
                  <w:rPr>
                    <w:noProof/>
                    <w:webHidden/>
                  </w:rPr>
                  <w:fldChar w:fldCharType="end"/>
                </w:r>
              </w:hyperlink>
            </w:p>
            <w:p w14:paraId="0E667DE0" w14:textId="2262E7F7" w:rsidR="00691FEF" w:rsidRDefault="00691FEF">
              <w:pPr>
                <w:pStyle w:val="Sommario2"/>
                <w:rPr>
                  <w:rFonts w:eastAsiaTheme="minorEastAsia"/>
                  <w:noProof/>
                  <w:kern w:val="2"/>
                  <w:sz w:val="24"/>
                  <w:szCs w:val="24"/>
                  <w14:ligatures w14:val="standardContextual"/>
                </w:rPr>
              </w:pPr>
              <w:hyperlink w:anchor="_Toc205213733" w:history="1">
                <w:r w:rsidRPr="001B11AA">
                  <w:rPr>
                    <w:rStyle w:val="Collegamentoipertestuale"/>
                    <w:noProof/>
                  </w:rPr>
                  <w:t>5.1</w:t>
                </w:r>
                <w:r>
                  <w:rPr>
                    <w:rFonts w:eastAsiaTheme="minorEastAsia"/>
                    <w:noProof/>
                    <w:kern w:val="2"/>
                    <w:sz w:val="24"/>
                    <w:szCs w:val="24"/>
                    <w14:ligatures w14:val="standardContextual"/>
                  </w:rPr>
                  <w:tab/>
                </w:r>
                <w:r w:rsidRPr="001B11AA">
                  <w:rPr>
                    <w:rStyle w:val="Collegamentoipertestuale"/>
                    <w:noProof/>
                  </w:rPr>
                  <w:t>Obblighi di Servizio Pubblico</w:t>
                </w:r>
                <w:r>
                  <w:rPr>
                    <w:noProof/>
                    <w:webHidden/>
                  </w:rPr>
                  <w:tab/>
                </w:r>
                <w:r>
                  <w:rPr>
                    <w:noProof/>
                    <w:webHidden/>
                  </w:rPr>
                  <w:fldChar w:fldCharType="begin"/>
                </w:r>
                <w:r>
                  <w:rPr>
                    <w:noProof/>
                    <w:webHidden/>
                  </w:rPr>
                  <w:instrText xml:space="preserve"> PAGEREF _Toc205213733 \h </w:instrText>
                </w:r>
                <w:r>
                  <w:rPr>
                    <w:noProof/>
                    <w:webHidden/>
                  </w:rPr>
                </w:r>
                <w:r>
                  <w:rPr>
                    <w:noProof/>
                    <w:webHidden/>
                  </w:rPr>
                  <w:fldChar w:fldCharType="separate"/>
                </w:r>
                <w:r w:rsidR="00670903">
                  <w:rPr>
                    <w:noProof/>
                    <w:webHidden/>
                  </w:rPr>
                  <w:t>82</w:t>
                </w:r>
                <w:r>
                  <w:rPr>
                    <w:noProof/>
                    <w:webHidden/>
                  </w:rPr>
                  <w:fldChar w:fldCharType="end"/>
                </w:r>
              </w:hyperlink>
            </w:p>
            <w:p w14:paraId="0CF7AC48" w14:textId="3AF397C1" w:rsidR="00691FEF" w:rsidRDefault="00691FEF">
              <w:pPr>
                <w:pStyle w:val="Sommario2"/>
                <w:rPr>
                  <w:rFonts w:eastAsiaTheme="minorEastAsia"/>
                  <w:noProof/>
                  <w:kern w:val="2"/>
                  <w:sz w:val="24"/>
                  <w:szCs w:val="24"/>
                  <w14:ligatures w14:val="standardContextual"/>
                </w:rPr>
              </w:pPr>
              <w:hyperlink w:anchor="_Toc205213734" w:history="1">
                <w:r w:rsidRPr="001B11AA">
                  <w:rPr>
                    <w:rStyle w:val="Collegamentoipertestuale"/>
                    <w:noProof/>
                  </w:rPr>
                  <w:t>5.2</w:t>
                </w:r>
                <w:r>
                  <w:rPr>
                    <w:rFonts w:eastAsiaTheme="minorEastAsia"/>
                    <w:noProof/>
                    <w:kern w:val="2"/>
                    <w:sz w:val="24"/>
                    <w:szCs w:val="24"/>
                    <w14:ligatures w14:val="standardContextual"/>
                  </w:rPr>
                  <w:tab/>
                </w:r>
                <w:r w:rsidRPr="001B11AA">
                  <w:rPr>
                    <w:rStyle w:val="Collegamentoipertestuale"/>
                    <w:noProof/>
                  </w:rPr>
                  <w:t>Possibili soluzioni di finanziamento</w:t>
                </w:r>
                <w:r>
                  <w:rPr>
                    <w:noProof/>
                    <w:webHidden/>
                  </w:rPr>
                  <w:tab/>
                </w:r>
                <w:r>
                  <w:rPr>
                    <w:noProof/>
                    <w:webHidden/>
                  </w:rPr>
                  <w:fldChar w:fldCharType="begin"/>
                </w:r>
                <w:r>
                  <w:rPr>
                    <w:noProof/>
                    <w:webHidden/>
                  </w:rPr>
                  <w:instrText xml:space="preserve"> PAGEREF _Toc205213734 \h </w:instrText>
                </w:r>
                <w:r>
                  <w:rPr>
                    <w:noProof/>
                    <w:webHidden/>
                  </w:rPr>
                </w:r>
                <w:r>
                  <w:rPr>
                    <w:noProof/>
                    <w:webHidden/>
                  </w:rPr>
                  <w:fldChar w:fldCharType="separate"/>
                </w:r>
                <w:r w:rsidR="00670903">
                  <w:rPr>
                    <w:noProof/>
                    <w:webHidden/>
                  </w:rPr>
                  <w:t>83</w:t>
                </w:r>
                <w:r>
                  <w:rPr>
                    <w:noProof/>
                    <w:webHidden/>
                  </w:rPr>
                  <w:fldChar w:fldCharType="end"/>
                </w:r>
              </w:hyperlink>
            </w:p>
            <w:p w14:paraId="1498F896" w14:textId="739256BE" w:rsidR="00691FEF" w:rsidRDefault="00691FEF">
              <w:pPr>
                <w:pStyle w:val="Sommario3"/>
                <w:rPr>
                  <w:rFonts w:eastAsiaTheme="minorEastAsia"/>
                  <w:noProof/>
                  <w:kern w:val="2"/>
                  <w:sz w:val="24"/>
                  <w:szCs w:val="24"/>
                  <w14:ligatures w14:val="standardContextual"/>
                </w:rPr>
              </w:pPr>
              <w:hyperlink w:anchor="_Toc205213735" w:history="1">
                <w:r w:rsidRPr="001B11AA">
                  <w:rPr>
                    <w:rStyle w:val="Collegamentoipertestuale"/>
                    <w:noProof/>
                  </w:rPr>
                  <w:t>5.2.1</w:t>
                </w:r>
                <w:r>
                  <w:rPr>
                    <w:rFonts w:eastAsiaTheme="minorEastAsia"/>
                    <w:noProof/>
                    <w:kern w:val="2"/>
                    <w:sz w:val="24"/>
                    <w:szCs w:val="24"/>
                    <w14:ligatures w14:val="standardContextual"/>
                  </w:rPr>
                  <w:tab/>
                </w:r>
                <w:r w:rsidRPr="001B11AA">
                  <w:rPr>
                    <w:rStyle w:val="Collegamentoipertestuale"/>
                    <w:noProof/>
                  </w:rPr>
                  <w:t>Quadro europeo</w:t>
                </w:r>
                <w:r>
                  <w:rPr>
                    <w:noProof/>
                    <w:webHidden/>
                  </w:rPr>
                  <w:tab/>
                </w:r>
                <w:r>
                  <w:rPr>
                    <w:noProof/>
                    <w:webHidden/>
                  </w:rPr>
                  <w:fldChar w:fldCharType="begin"/>
                </w:r>
                <w:r>
                  <w:rPr>
                    <w:noProof/>
                    <w:webHidden/>
                  </w:rPr>
                  <w:instrText xml:space="preserve"> PAGEREF _Toc205213735 \h </w:instrText>
                </w:r>
                <w:r>
                  <w:rPr>
                    <w:noProof/>
                    <w:webHidden/>
                  </w:rPr>
                </w:r>
                <w:r>
                  <w:rPr>
                    <w:noProof/>
                    <w:webHidden/>
                  </w:rPr>
                  <w:fldChar w:fldCharType="separate"/>
                </w:r>
                <w:r w:rsidR="00670903">
                  <w:rPr>
                    <w:noProof/>
                    <w:webHidden/>
                  </w:rPr>
                  <w:t>84</w:t>
                </w:r>
                <w:r>
                  <w:rPr>
                    <w:noProof/>
                    <w:webHidden/>
                  </w:rPr>
                  <w:fldChar w:fldCharType="end"/>
                </w:r>
              </w:hyperlink>
            </w:p>
            <w:p w14:paraId="4B854F55" w14:textId="12468068" w:rsidR="00691FEF" w:rsidRDefault="00691FEF">
              <w:pPr>
                <w:pStyle w:val="Sommario3"/>
                <w:rPr>
                  <w:rFonts w:eastAsiaTheme="minorEastAsia"/>
                  <w:noProof/>
                  <w:kern w:val="2"/>
                  <w:sz w:val="24"/>
                  <w:szCs w:val="24"/>
                  <w14:ligatures w14:val="standardContextual"/>
                </w:rPr>
              </w:pPr>
              <w:hyperlink w:anchor="_Toc205213736" w:history="1">
                <w:r w:rsidRPr="001B11AA">
                  <w:rPr>
                    <w:rStyle w:val="Collegamentoipertestuale"/>
                    <w:noProof/>
                  </w:rPr>
                  <w:t>5.2.2</w:t>
                </w:r>
                <w:r>
                  <w:rPr>
                    <w:rFonts w:eastAsiaTheme="minorEastAsia"/>
                    <w:noProof/>
                    <w:kern w:val="2"/>
                    <w:sz w:val="24"/>
                    <w:szCs w:val="24"/>
                    <w14:ligatures w14:val="standardContextual"/>
                  </w:rPr>
                  <w:tab/>
                </w:r>
                <w:r w:rsidRPr="001B11AA">
                  <w:rPr>
                    <w:rStyle w:val="Collegamentoipertestuale"/>
                    <w:noProof/>
                  </w:rPr>
                  <w:t>La digitalizzazione e la monetizzazione dei dati</w:t>
                </w:r>
                <w:r>
                  <w:rPr>
                    <w:noProof/>
                    <w:webHidden/>
                  </w:rPr>
                  <w:tab/>
                </w:r>
                <w:r>
                  <w:rPr>
                    <w:noProof/>
                    <w:webHidden/>
                  </w:rPr>
                  <w:fldChar w:fldCharType="begin"/>
                </w:r>
                <w:r>
                  <w:rPr>
                    <w:noProof/>
                    <w:webHidden/>
                  </w:rPr>
                  <w:instrText xml:space="preserve"> PAGEREF _Toc205213736 \h </w:instrText>
                </w:r>
                <w:r>
                  <w:rPr>
                    <w:noProof/>
                    <w:webHidden/>
                  </w:rPr>
                </w:r>
                <w:r>
                  <w:rPr>
                    <w:noProof/>
                    <w:webHidden/>
                  </w:rPr>
                  <w:fldChar w:fldCharType="separate"/>
                </w:r>
                <w:r w:rsidR="00670903">
                  <w:rPr>
                    <w:noProof/>
                    <w:webHidden/>
                  </w:rPr>
                  <w:t>85</w:t>
                </w:r>
                <w:r>
                  <w:rPr>
                    <w:noProof/>
                    <w:webHidden/>
                  </w:rPr>
                  <w:fldChar w:fldCharType="end"/>
                </w:r>
              </w:hyperlink>
            </w:p>
            <w:p w14:paraId="54415C99" w14:textId="0EE24592" w:rsidR="00691FEF" w:rsidRDefault="00691FEF">
              <w:pPr>
                <w:pStyle w:val="Sommario3"/>
                <w:rPr>
                  <w:rFonts w:eastAsiaTheme="minorEastAsia"/>
                  <w:noProof/>
                  <w:kern w:val="2"/>
                  <w:sz w:val="24"/>
                  <w:szCs w:val="24"/>
                  <w14:ligatures w14:val="standardContextual"/>
                </w:rPr>
              </w:pPr>
              <w:hyperlink w:anchor="_Toc205213737" w:history="1">
                <w:r w:rsidRPr="001B11AA">
                  <w:rPr>
                    <w:rStyle w:val="Collegamentoipertestuale"/>
                    <w:noProof/>
                  </w:rPr>
                  <w:t>5.2.3</w:t>
                </w:r>
                <w:r>
                  <w:rPr>
                    <w:rFonts w:eastAsiaTheme="minorEastAsia"/>
                    <w:noProof/>
                    <w:kern w:val="2"/>
                    <w:sz w:val="24"/>
                    <w:szCs w:val="24"/>
                    <w14:ligatures w14:val="standardContextual"/>
                  </w:rPr>
                  <w:tab/>
                </w:r>
                <w:r w:rsidRPr="001B11AA">
                  <w:rPr>
                    <w:rStyle w:val="Collegamentoipertestuale"/>
                    <w:noProof/>
                  </w:rPr>
                  <w:t>Sintesi</w:t>
                </w:r>
                <w:r>
                  <w:rPr>
                    <w:noProof/>
                    <w:webHidden/>
                  </w:rPr>
                  <w:tab/>
                </w:r>
                <w:r>
                  <w:rPr>
                    <w:noProof/>
                    <w:webHidden/>
                  </w:rPr>
                  <w:fldChar w:fldCharType="begin"/>
                </w:r>
                <w:r>
                  <w:rPr>
                    <w:noProof/>
                    <w:webHidden/>
                  </w:rPr>
                  <w:instrText xml:space="preserve"> PAGEREF _Toc205213737 \h </w:instrText>
                </w:r>
                <w:r>
                  <w:rPr>
                    <w:noProof/>
                    <w:webHidden/>
                  </w:rPr>
                </w:r>
                <w:r>
                  <w:rPr>
                    <w:noProof/>
                    <w:webHidden/>
                  </w:rPr>
                  <w:fldChar w:fldCharType="separate"/>
                </w:r>
                <w:r w:rsidR="00670903">
                  <w:rPr>
                    <w:noProof/>
                    <w:webHidden/>
                  </w:rPr>
                  <w:t>88</w:t>
                </w:r>
                <w:r>
                  <w:rPr>
                    <w:noProof/>
                    <w:webHidden/>
                  </w:rPr>
                  <w:fldChar w:fldCharType="end"/>
                </w:r>
              </w:hyperlink>
            </w:p>
            <w:p w14:paraId="6A8A48EC" w14:textId="5301CAF0" w:rsidR="00691FEF" w:rsidRDefault="00691FEF">
              <w:pPr>
                <w:pStyle w:val="Sommario2"/>
                <w:rPr>
                  <w:rFonts w:eastAsiaTheme="minorEastAsia"/>
                  <w:noProof/>
                  <w:kern w:val="2"/>
                  <w:sz w:val="24"/>
                  <w:szCs w:val="24"/>
                  <w14:ligatures w14:val="standardContextual"/>
                </w:rPr>
              </w:pPr>
              <w:hyperlink w:anchor="_Toc205213738" w:history="1">
                <w:r w:rsidRPr="001B11AA">
                  <w:rPr>
                    <w:rStyle w:val="Collegamentoipertestuale"/>
                    <w:noProof/>
                  </w:rPr>
                  <w:t>5.3</w:t>
                </w:r>
                <w:r>
                  <w:rPr>
                    <w:rFonts w:eastAsiaTheme="minorEastAsia"/>
                    <w:noProof/>
                    <w:kern w:val="2"/>
                    <w:sz w:val="24"/>
                    <w:szCs w:val="24"/>
                    <w14:ligatures w14:val="standardContextual"/>
                  </w:rPr>
                  <w:tab/>
                </w:r>
                <w:r w:rsidRPr="001B11AA">
                  <w:rPr>
                    <w:rStyle w:val="Collegamentoipertestuale"/>
                    <w:noProof/>
                  </w:rPr>
                  <w:t>Esiti consultazione in materia di finanziamento</w:t>
                </w:r>
                <w:r>
                  <w:rPr>
                    <w:noProof/>
                    <w:webHidden/>
                  </w:rPr>
                  <w:tab/>
                </w:r>
                <w:r>
                  <w:rPr>
                    <w:noProof/>
                    <w:webHidden/>
                  </w:rPr>
                  <w:fldChar w:fldCharType="begin"/>
                </w:r>
                <w:r>
                  <w:rPr>
                    <w:noProof/>
                    <w:webHidden/>
                  </w:rPr>
                  <w:instrText xml:space="preserve"> PAGEREF _Toc205213738 \h </w:instrText>
                </w:r>
                <w:r>
                  <w:rPr>
                    <w:noProof/>
                    <w:webHidden/>
                  </w:rPr>
                </w:r>
                <w:r>
                  <w:rPr>
                    <w:noProof/>
                    <w:webHidden/>
                  </w:rPr>
                  <w:fldChar w:fldCharType="separate"/>
                </w:r>
                <w:r w:rsidR="00670903">
                  <w:rPr>
                    <w:noProof/>
                    <w:webHidden/>
                  </w:rPr>
                  <w:t>88</w:t>
                </w:r>
                <w:r>
                  <w:rPr>
                    <w:noProof/>
                    <w:webHidden/>
                  </w:rPr>
                  <w:fldChar w:fldCharType="end"/>
                </w:r>
              </w:hyperlink>
            </w:p>
            <w:p w14:paraId="561C82CA" w14:textId="733358DA" w:rsidR="00691FEF" w:rsidRDefault="00691FEF">
              <w:pPr>
                <w:pStyle w:val="Sommario2"/>
                <w:rPr>
                  <w:rFonts w:eastAsiaTheme="minorEastAsia"/>
                  <w:noProof/>
                  <w:kern w:val="2"/>
                  <w:sz w:val="24"/>
                  <w:szCs w:val="24"/>
                  <w14:ligatures w14:val="standardContextual"/>
                </w:rPr>
              </w:pPr>
              <w:hyperlink w:anchor="_Toc205213739" w:history="1">
                <w:r w:rsidRPr="001B11AA">
                  <w:rPr>
                    <w:rStyle w:val="Collegamentoipertestuale"/>
                    <w:noProof/>
                  </w:rPr>
                  <w:t>5.4</w:t>
                </w:r>
                <w:r>
                  <w:rPr>
                    <w:rFonts w:eastAsiaTheme="minorEastAsia"/>
                    <w:noProof/>
                    <w:kern w:val="2"/>
                    <w:sz w:val="24"/>
                    <w:szCs w:val="24"/>
                    <w14:ligatures w14:val="standardContextual"/>
                  </w:rPr>
                  <w:tab/>
                </w:r>
                <w:r w:rsidRPr="001B11AA">
                  <w:rPr>
                    <w:rStyle w:val="Collegamentoipertestuale"/>
                    <w:noProof/>
                  </w:rPr>
                  <w:t>Quadro delle risorse attuali e previsionali per le procedure di affidamento</w:t>
                </w:r>
                <w:r>
                  <w:rPr>
                    <w:noProof/>
                    <w:webHidden/>
                  </w:rPr>
                  <w:tab/>
                </w:r>
                <w:r>
                  <w:rPr>
                    <w:noProof/>
                    <w:webHidden/>
                  </w:rPr>
                  <w:fldChar w:fldCharType="begin"/>
                </w:r>
                <w:r>
                  <w:rPr>
                    <w:noProof/>
                    <w:webHidden/>
                  </w:rPr>
                  <w:instrText xml:space="preserve"> PAGEREF _Toc205213739 \h </w:instrText>
                </w:r>
                <w:r>
                  <w:rPr>
                    <w:noProof/>
                    <w:webHidden/>
                  </w:rPr>
                </w:r>
                <w:r>
                  <w:rPr>
                    <w:noProof/>
                    <w:webHidden/>
                  </w:rPr>
                  <w:fldChar w:fldCharType="separate"/>
                </w:r>
                <w:r w:rsidR="00670903">
                  <w:rPr>
                    <w:noProof/>
                    <w:webHidden/>
                  </w:rPr>
                  <w:t>89</w:t>
                </w:r>
                <w:r>
                  <w:rPr>
                    <w:noProof/>
                    <w:webHidden/>
                  </w:rPr>
                  <w:fldChar w:fldCharType="end"/>
                </w:r>
              </w:hyperlink>
            </w:p>
            <w:p w14:paraId="1ED25F4B" w14:textId="462F2849" w:rsidR="00691FEF" w:rsidRDefault="00691FEF">
              <w:pPr>
                <w:pStyle w:val="Sommario3"/>
                <w:rPr>
                  <w:rFonts w:eastAsiaTheme="minorEastAsia"/>
                  <w:noProof/>
                  <w:kern w:val="2"/>
                  <w:sz w:val="24"/>
                  <w:szCs w:val="24"/>
                  <w14:ligatures w14:val="standardContextual"/>
                </w:rPr>
              </w:pPr>
              <w:hyperlink w:anchor="_Toc205213740" w:history="1">
                <w:r w:rsidRPr="001B11AA">
                  <w:rPr>
                    <w:rStyle w:val="Collegamentoipertestuale"/>
                    <w:noProof/>
                  </w:rPr>
                  <w:t>5.4.1</w:t>
                </w:r>
                <w:r>
                  <w:rPr>
                    <w:rFonts w:eastAsiaTheme="minorEastAsia"/>
                    <w:noProof/>
                    <w:kern w:val="2"/>
                    <w:sz w:val="24"/>
                    <w:szCs w:val="24"/>
                    <w14:ligatures w14:val="standardContextual"/>
                  </w:rPr>
                  <w:tab/>
                </w:r>
                <w:r w:rsidRPr="001B11AA">
                  <w:rPr>
                    <w:rStyle w:val="Collegamentoipertestuale"/>
                    <w:noProof/>
                  </w:rPr>
                  <w:t>Le risorse assegnate all’Agenzia della mobilità</w:t>
                </w:r>
                <w:r>
                  <w:rPr>
                    <w:noProof/>
                    <w:webHidden/>
                  </w:rPr>
                  <w:tab/>
                </w:r>
                <w:r>
                  <w:rPr>
                    <w:noProof/>
                    <w:webHidden/>
                  </w:rPr>
                  <w:fldChar w:fldCharType="begin"/>
                </w:r>
                <w:r>
                  <w:rPr>
                    <w:noProof/>
                    <w:webHidden/>
                  </w:rPr>
                  <w:instrText xml:space="preserve"> PAGEREF _Toc205213740 \h </w:instrText>
                </w:r>
                <w:r>
                  <w:rPr>
                    <w:noProof/>
                    <w:webHidden/>
                  </w:rPr>
                </w:r>
                <w:r>
                  <w:rPr>
                    <w:noProof/>
                    <w:webHidden/>
                  </w:rPr>
                  <w:fldChar w:fldCharType="separate"/>
                </w:r>
                <w:r w:rsidR="00670903">
                  <w:rPr>
                    <w:noProof/>
                    <w:webHidden/>
                  </w:rPr>
                  <w:t>89</w:t>
                </w:r>
                <w:r>
                  <w:rPr>
                    <w:noProof/>
                    <w:webHidden/>
                  </w:rPr>
                  <w:fldChar w:fldCharType="end"/>
                </w:r>
              </w:hyperlink>
            </w:p>
            <w:p w14:paraId="079E86E8" w14:textId="3F20FB65" w:rsidR="00691FEF" w:rsidRDefault="00691FEF">
              <w:pPr>
                <w:pStyle w:val="Sommario3"/>
                <w:rPr>
                  <w:rFonts w:eastAsiaTheme="minorEastAsia"/>
                  <w:noProof/>
                  <w:kern w:val="2"/>
                  <w:sz w:val="24"/>
                  <w:szCs w:val="24"/>
                  <w14:ligatures w14:val="standardContextual"/>
                </w:rPr>
              </w:pPr>
              <w:hyperlink w:anchor="_Toc205213741" w:history="1">
                <w:r w:rsidRPr="001B11AA">
                  <w:rPr>
                    <w:rStyle w:val="Collegamentoipertestuale"/>
                    <w:noProof/>
                  </w:rPr>
                  <w:t>5.4.2</w:t>
                </w:r>
                <w:r>
                  <w:rPr>
                    <w:rFonts w:eastAsiaTheme="minorEastAsia"/>
                    <w:noProof/>
                    <w:kern w:val="2"/>
                    <w:sz w:val="24"/>
                    <w:szCs w:val="24"/>
                    <w14:ligatures w14:val="standardContextual"/>
                  </w:rPr>
                  <w:tab/>
                </w:r>
                <w:r w:rsidRPr="001B11AA">
                  <w:rPr>
                    <w:rStyle w:val="Collegamentoipertestuale"/>
                    <w:noProof/>
                  </w:rPr>
                  <w:t>I ricavi da traffico</w:t>
                </w:r>
                <w:r>
                  <w:rPr>
                    <w:noProof/>
                    <w:webHidden/>
                  </w:rPr>
                  <w:tab/>
                </w:r>
                <w:r>
                  <w:rPr>
                    <w:noProof/>
                    <w:webHidden/>
                  </w:rPr>
                  <w:fldChar w:fldCharType="begin"/>
                </w:r>
                <w:r>
                  <w:rPr>
                    <w:noProof/>
                    <w:webHidden/>
                  </w:rPr>
                  <w:instrText xml:space="preserve"> PAGEREF _Toc205213741 \h </w:instrText>
                </w:r>
                <w:r>
                  <w:rPr>
                    <w:noProof/>
                    <w:webHidden/>
                  </w:rPr>
                </w:r>
                <w:r>
                  <w:rPr>
                    <w:noProof/>
                    <w:webHidden/>
                  </w:rPr>
                  <w:fldChar w:fldCharType="separate"/>
                </w:r>
                <w:r w:rsidR="00670903">
                  <w:rPr>
                    <w:noProof/>
                    <w:webHidden/>
                  </w:rPr>
                  <w:t>90</w:t>
                </w:r>
                <w:r>
                  <w:rPr>
                    <w:noProof/>
                    <w:webHidden/>
                  </w:rPr>
                  <w:fldChar w:fldCharType="end"/>
                </w:r>
              </w:hyperlink>
            </w:p>
            <w:p w14:paraId="67AA30C5" w14:textId="4A83369B" w:rsidR="00691FEF" w:rsidRDefault="00691FEF">
              <w:pPr>
                <w:pStyle w:val="Sommario3"/>
                <w:rPr>
                  <w:rFonts w:eastAsiaTheme="minorEastAsia"/>
                  <w:noProof/>
                  <w:kern w:val="2"/>
                  <w:sz w:val="24"/>
                  <w:szCs w:val="24"/>
                  <w14:ligatures w14:val="standardContextual"/>
                </w:rPr>
              </w:pPr>
              <w:hyperlink w:anchor="_Toc205213742" w:history="1">
                <w:r w:rsidRPr="001B11AA">
                  <w:rPr>
                    <w:rStyle w:val="Collegamentoipertestuale"/>
                    <w:noProof/>
                  </w:rPr>
                  <w:t>5.4.3</w:t>
                </w:r>
                <w:r>
                  <w:rPr>
                    <w:rFonts w:eastAsiaTheme="minorEastAsia"/>
                    <w:noProof/>
                    <w:kern w:val="2"/>
                    <w:sz w:val="24"/>
                    <w:szCs w:val="24"/>
                    <w14:ligatures w14:val="standardContextual"/>
                  </w:rPr>
                  <w:tab/>
                </w:r>
                <w:r w:rsidRPr="001B11AA">
                  <w:rPr>
                    <w:rStyle w:val="Collegamentoipertestuale"/>
                    <w:noProof/>
                  </w:rPr>
                  <w:t>Le risorse per il Bacino Sud Est</w:t>
                </w:r>
                <w:r>
                  <w:rPr>
                    <w:noProof/>
                    <w:webHidden/>
                  </w:rPr>
                  <w:tab/>
                </w:r>
                <w:r>
                  <w:rPr>
                    <w:noProof/>
                    <w:webHidden/>
                  </w:rPr>
                  <w:fldChar w:fldCharType="begin"/>
                </w:r>
                <w:r>
                  <w:rPr>
                    <w:noProof/>
                    <w:webHidden/>
                  </w:rPr>
                  <w:instrText xml:space="preserve"> PAGEREF _Toc205213742 \h </w:instrText>
                </w:r>
                <w:r>
                  <w:rPr>
                    <w:noProof/>
                    <w:webHidden/>
                  </w:rPr>
                </w:r>
                <w:r>
                  <w:rPr>
                    <w:noProof/>
                    <w:webHidden/>
                  </w:rPr>
                  <w:fldChar w:fldCharType="separate"/>
                </w:r>
                <w:r w:rsidR="00670903">
                  <w:rPr>
                    <w:noProof/>
                    <w:webHidden/>
                  </w:rPr>
                  <w:t>90</w:t>
                </w:r>
                <w:r>
                  <w:rPr>
                    <w:noProof/>
                    <w:webHidden/>
                  </w:rPr>
                  <w:fldChar w:fldCharType="end"/>
                </w:r>
              </w:hyperlink>
            </w:p>
            <w:p w14:paraId="071DE224" w14:textId="7A993E07" w:rsidR="00691FEF" w:rsidRDefault="00691FEF">
              <w:pPr>
                <w:pStyle w:val="Sommario3"/>
                <w:rPr>
                  <w:rFonts w:eastAsiaTheme="minorEastAsia"/>
                  <w:noProof/>
                  <w:kern w:val="2"/>
                  <w:sz w:val="24"/>
                  <w:szCs w:val="24"/>
                  <w14:ligatures w14:val="standardContextual"/>
                </w:rPr>
              </w:pPr>
              <w:hyperlink w:anchor="_Toc205213743" w:history="1">
                <w:r w:rsidRPr="001B11AA">
                  <w:rPr>
                    <w:rStyle w:val="Collegamentoipertestuale"/>
                    <w:noProof/>
                  </w:rPr>
                  <w:t>5.4.4</w:t>
                </w:r>
                <w:r>
                  <w:rPr>
                    <w:rFonts w:eastAsiaTheme="minorEastAsia"/>
                    <w:noProof/>
                    <w:kern w:val="2"/>
                    <w:sz w:val="24"/>
                    <w:szCs w:val="24"/>
                    <w14:ligatures w14:val="standardContextual"/>
                  </w:rPr>
                  <w:tab/>
                </w:r>
                <w:r w:rsidRPr="001B11AA">
                  <w:rPr>
                    <w:rStyle w:val="Collegamentoipertestuale"/>
                    <w:noProof/>
                  </w:rPr>
                  <w:t>Ricognizione risorse periodo 2027 – 2032</w:t>
                </w:r>
                <w:r>
                  <w:rPr>
                    <w:noProof/>
                    <w:webHidden/>
                  </w:rPr>
                  <w:tab/>
                </w:r>
                <w:r>
                  <w:rPr>
                    <w:noProof/>
                    <w:webHidden/>
                  </w:rPr>
                  <w:fldChar w:fldCharType="begin"/>
                </w:r>
                <w:r>
                  <w:rPr>
                    <w:noProof/>
                    <w:webHidden/>
                  </w:rPr>
                  <w:instrText xml:space="preserve"> PAGEREF _Toc205213743 \h </w:instrText>
                </w:r>
                <w:r>
                  <w:rPr>
                    <w:noProof/>
                    <w:webHidden/>
                  </w:rPr>
                </w:r>
                <w:r>
                  <w:rPr>
                    <w:noProof/>
                    <w:webHidden/>
                  </w:rPr>
                  <w:fldChar w:fldCharType="separate"/>
                </w:r>
                <w:r w:rsidR="00670903">
                  <w:rPr>
                    <w:noProof/>
                    <w:webHidden/>
                  </w:rPr>
                  <w:t>91</w:t>
                </w:r>
                <w:r>
                  <w:rPr>
                    <w:noProof/>
                    <w:webHidden/>
                  </w:rPr>
                  <w:fldChar w:fldCharType="end"/>
                </w:r>
              </w:hyperlink>
            </w:p>
            <w:p w14:paraId="20793A20" w14:textId="2AA24C77" w:rsidR="00691FEF" w:rsidRDefault="00691FEF">
              <w:pPr>
                <w:pStyle w:val="Sommario1"/>
                <w:rPr>
                  <w:rFonts w:eastAsiaTheme="minorEastAsia"/>
                  <w:noProof/>
                  <w:kern w:val="2"/>
                  <w:sz w:val="24"/>
                  <w:szCs w:val="24"/>
                  <w14:ligatures w14:val="standardContextual"/>
                </w:rPr>
              </w:pPr>
              <w:hyperlink w:anchor="_Toc205213744" w:history="1">
                <w:r w:rsidRPr="001B11AA">
                  <w:rPr>
                    <w:rStyle w:val="Collegamentoipertestuale"/>
                    <w:noProof/>
                  </w:rPr>
                  <w:t>6</w:t>
                </w:r>
                <w:r>
                  <w:rPr>
                    <w:rFonts w:eastAsiaTheme="minorEastAsia"/>
                    <w:noProof/>
                    <w:kern w:val="2"/>
                    <w:sz w:val="24"/>
                    <w:szCs w:val="24"/>
                    <w14:ligatures w14:val="standardContextual"/>
                  </w:rPr>
                  <w:tab/>
                </w:r>
                <w:r w:rsidRPr="001B11AA">
                  <w:rPr>
                    <w:rStyle w:val="Collegamentoipertestuale"/>
                    <w:noProof/>
                  </w:rPr>
                  <w:t>Determinazione e modalità di aggiornamento delle tariffe</w:t>
                </w:r>
                <w:r>
                  <w:rPr>
                    <w:noProof/>
                    <w:webHidden/>
                  </w:rPr>
                  <w:tab/>
                </w:r>
                <w:r>
                  <w:rPr>
                    <w:noProof/>
                    <w:webHidden/>
                  </w:rPr>
                  <w:fldChar w:fldCharType="begin"/>
                </w:r>
                <w:r>
                  <w:rPr>
                    <w:noProof/>
                    <w:webHidden/>
                  </w:rPr>
                  <w:instrText xml:space="preserve"> PAGEREF _Toc205213744 \h </w:instrText>
                </w:r>
                <w:r>
                  <w:rPr>
                    <w:noProof/>
                    <w:webHidden/>
                  </w:rPr>
                </w:r>
                <w:r>
                  <w:rPr>
                    <w:noProof/>
                    <w:webHidden/>
                  </w:rPr>
                  <w:fldChar w:fldCharType="separate"/>
                </w:r>
                <w:r w:rsidR="00670903">
                  <w:rPr>
                    <w:noProof/>
                    <w:webHidden/>
                  </w:rPr>
                  <w:t>93</w:t>
                </w:r>
                <w:r>
                  <w:rPr>
                    <w:noProof/>
                    <w:webHidden/>
                  </w:rPr>
                  <w:fldChar w:fldCharType="end"/>
                </w:r>
              </w:hyperlink>
            </w:p>
            <w:p w14:paraId="65B79632" w14:textId="0037C00E" w:rsidR="00691FEF" w:rsidRDefault="00691FEF">
              <w:pPr>
                <w:pStyle w:val="Sommario2"/>
                <w:rPr>
                  <w:rFonts w:eastAsiaTheme="minorEastAsia"/>
                  <w:noProof/>
                  <w:kern w:val="2"/>
                  <w:sz w:val="24"/>
                  <w:szCs w:val="24"/>
                  <w14:ligatures w14:val="standardContextual"/>
                </w:rPr>
              </w:pPr>
              <w:hyperlink w:anchor="_Toc205213745" w:history="1">
                <w:r w:rsidRPr="001B11AA">
                  <w:rPr>
                    <w:rStyle w:val="Collegamentoipertestuale"/>
                    <w:noProof/>
                  </w:rPr>
                  <w:t>6.1</w:t>
                </w:r>
                <w:r>
                  <w:rPr>
                    <w:rFonts w:eastAsiaTheme="minorEastAsia"/>
                    <w:noProof/>
                    <w:kern w:val="2"/>
                    <w:sz w:val="24"/>
                    <w:szCs w:val="24"/>
                    <w14:ligatures w14:val="standardContextual"/>
                  </w:rPr>
                  <w:tab/>
                </w:r>
                <w:r w:rsidRPr="001B11AA">
                  <w:rPr>
                    <w:rStyle w:val="Collegamentoipertestuale"/>
                    <w:noProof/>
                  </w:rPr>
                  <w:t>Determinazione delle tariffe</w:t>
                </w:r>
                <w:r>
                  <w:rPr>
                    <w:noProof/>
                    <w:webHidden/>
                  </w:rPr>
                  <w:tab/>
                </w:r>
                <w:r>
                  <w:rPr>
                    <w:noProof/>
                    <w:webHidden/>
                  </w:rPr>
                  <w:fldChar w:fldCharType="begin"/>
                </w:r>
                <w:r>
                  <w:rPr>
                    <w:noProof/>
                    <w:webHidden/>
                  </w:rPr>
                  <w:instrText xml:space="preserve"> PAGEREF _Toc205213745 \h </w:instrText>
                </w:r>
                <w:r>
                  <w:rPr>
                    <w:noProof/>
                    <w:webHidden/>
                  </w:rPr>
                </w:r>
                <w:r>
                  <w:rPr>
                    <w:noProof/>
                    <w:webHidden/>
                  </w:rPr>
                  <w:fldChar w:fldCharType="separate"/>
                </w:r>
                <w:r w:rsidR="00670903">
                  <w:rPr>
                    <w:noProof/>
                    <w:webHidden/>
                  </w:rPr>
                  <w:t>93</w:t>
                </w:r>
                <w:r>
                  <w:rPr>
                    <w:noProof/>
                    <w:webHidden/>
                  </w:rPr>
                  <w:fldChar w:fldCharType="end"/>
                </w:r>
              </w:hyperlink>
            </w:p>
            <w:p w14:paraId="4F09DB53" w14:textId="35FCE5BD" w:rsidR="00691FEF" w:rsidRDefault="00691FEF">
              <w:pPr>
                <w:pStyle w:val="Sommario3"/>
                <w:rPr>
                  <w:rFonts w:eastAsiaTheme="minorEastAsia"/>
                  <w:noProof/>
                  <w:kern w:val="2"/>
                  <w:sz w:val="24"/>
                  <w:szCs w:val="24"/>
                  <w14:ligatures w14:val="standardContextual"/>
                </w:rPr>
              </w:pPr>
              <w:hyperlink w:anchor="_Toc205213746" w:history="1">
                <w:r w:rsidRPr="001B11AA">
                  <w:rPr>
                    <w:rStyle w:val="Collegamentoipertestuale"/>
                    <w:noProof/>
                  </w:rPr>
                  <w:t>6.1.1</w:t>
                </w:r>
                <w:r>
                  <w:rPr>
                    <w:rFonts w:eastAsiaTheme="minorEastAsia"/>
                    <w:noProof/>
                    <w:kern w:val="2"/>
                    <w:sz w:val="24"/>
                    <w:szCs w:val="24"/>
                    <w14:ligatures w14:val="standardContextual"/>
                  </w:rPr>
                  <w:tab/>
                </w:r>
                <w:r w:rsidRPr="001B11AA">
                  <w:rPr>
                    <w:rStyle w:val="Collegamentoipertestuale"/>
                    <w:noProof/>
                  </w:rPr>
                  <w:t>Tariffe servizi extraurbani</w:t>
                </w:r>
                <w:r>
                  <w:rPr>
                    <w:noProof/>
                    <w:webHidden/>
                  </w:rPr>
                  <w:tab/>
                </w:r>
                <w:r>
                  <w:rPr>
                    <w:noProof/>
                    <w:webHidden/>
                  </w:rPr>
                  <w:fldChar w:fldCharType="begin"/>
                </w:r>
                <w:r>
                  <w:rPr>
                    <w:noProof/>
                    <w:webHidden/>
                  </w:rPr>
                  <w:instrText xml:space="preserve"> PAGEREF _Toc205213746 \h </w:instrText>
                </w:r>
                <w:r>
                  <w:rPr>
                    <w:noProof/>
                    <w:webHidden/>
                  </w:rPr>
                </w:r>
                <w:r>
                  <w:rPr>
                    <w:noProof/>
                    <w:webHidden/>
                  </w:rPr>
                  <w:fldChar w:fldCharType="separate"/>
                </w:r>
                <w:r w:rsidR="00670903">
                  <w:rPr>
                    <w:noProof/>
                    <w:webHidden/>
                  </w:rPr>
                  <w:t>93</w:t>
                </w:r>
                <w:r>
                  <w:rPr>
                    <w:noProof/>
                    <w:webHidden/>
                  </w:rPr>
                  <w:fldChar w:fldCharType="end"/>
                </w:r>
              </w:hyperlink>
            </w:p>
            <w:p w14:paraId="482FCCDA" w14:textId="06412B94" w:rsidR="00691FEF" w:rsidRDefault="00691FEF">
              <w:pPr>
                <w:pStyle w:val="Sommario3"/>
                <w:rPr>
                  <w:rFonts w:eastAsiaTheme="minorEastAsia"/>
                  <w:noProof/>
                  <w:kern w:val="2"/>
                  <w:sz w:val="24"/>
                  <w:szCs w:val="24"/>
                  <w14:ligatures w14:val="standardContextual"/>
                </w:rPr>
              </w:pPr>
              <w:hyperlink w:anchor="_Toc205213747" w:history="1">
                <w:r w:rsidRPr="001B11AA">
                  <w:rPr>
                    <w:rStyle w:val="Collegamentoipertestuale"/>
                    <w:noProof/>
                  </w:rPr>
                  <w:t>6.1.2</w:t>
                </w:r>
                <w:r>
                  <w:rPr>
                    <w:rFonts w:eastAsiaTheme="minorEastAsia"/>
                    <w:noProof/>
                    <w:kern w:val="2"/>
                    <w:sz w:val="24"/>
                    <w:szCs w:val="24"/>
                    <w14:ligatures w14:val="standardContextual"/>
                  </w:rPr>
                  <w:tab/>
                </w:r>
                <w:r w:rsidRPr="001B11AA">
                  <w:rPr>
                    <w:rStyle w:val="Collegamentoipertestuale"/>
                    <w:noProof/>
                  </w:rPr>
                  <w:t>Tariffe servizi urbani</w:t>
                </w:r>
                <w:r>
                  <w:rPr>
                    <w:noProof/>
                    <w:webHidden/>
                  </w:rPr>
                  <w:tab/>
                </w:r>
                <w:r>
                  <w:rPr>
                    <w:noProof/>
                    <w:webHidden/>
                  </w:rPr>
                  <w:fldChar w:fldCharType="begin"/>
                </w:r>
                <w:r>
                  <w:rPr>
                    <w:noProof/>
                    <w:webHidden/>
                  </w:rPr>
                  <w:instrText xml:space="preserve"> PAGEREF _Toc205213747 \h </w:instrText>
                </w:r>
                <w:r>
                  <w:rPr>
                    <w:noProof/>
                    <w:webHidden/>
                  </w:rPr>
                </w:r>
                <w:r>
                  <w:rPr>
                    <w:noProof/>
                    <w:webHidden/>
                  </w:rPr>
                  <w:fldChar w:fldCharType="separate"/>
                </w:r>
                <w:r w:rsidR="00670903">
                  <w:rPr>
                    <w:noProof/>
                    <w:webHidden/>
                  </w:rPr>
                  <w:t>96</w:t>
                </w:r>
                <w:r>
                  <w:rPr>
                    <w:noProof/>
                    <w:webHidden/>
                  </w:rPr>
                  <w:fldChar w:fldCharType="end"/>
                </w:r>
              </w:hyperlink>
            </w:p>
            <w:p w14:paraId="6CD2AEE5" w14:textId="3C8DB92A" w:rsidR="00691FEF" w:rsidRDefault="00691FEF">
              <w:pPr>
                <w:pStyle w:val="Sommario2"/>
                <w:rPr>
                  <w:rFonts w:eastAsiaTheme="minorEastAsia"/>
                  <w:noProof/>
                  <w:kern w:val="2"/>
                  <w:sz w:val="24"/>
                  <w:szCs w:val="24"/>
                  <w14:ligatures w14:val="standardContextual"/>
                </w:rPr>
              </w:pPr>
              <w:hyperlink w:anchor="_Toc205213748" w:history="1">
                <w:r w:rsidRPr="001B11AA">
                  <w:rPr>
                    <w:rStyle w:val="Collegamentoipertestuale"/>
                    <w:noProof/>
                  </w:rPr>
                  <w:t>6.2</w:t>
                </w:r>
                <w:r>
                  <w:rPr>
                    <w:rFonts w:eastAsiaTheme="minorEastAsia"/>
                    <w:noProof/>
                    <w:kern w:val="2"/>
                    <w:sz w:val="24"/>
                    <w:szCs w:val="24"/>
                    <w14:ligatures w14:val="standardContextual"/>
                  </w:rPr>
                  <w:tab/>
                </w:r>
                <w:r w:rsidRPr="001B11AA">
                  <w:rPr>
                    <w:rStyle w:val="Collegamentoipertestuale"/>
                    <w:noProof/>
                  </w:rPr>
                  <w:t>Agevolazioni ed esenzioni</w:t>
                </w:r>
                <w:r>
                  <w:rPr>
                    <w:noProof/>
                    <w:webHidden/>
                  </w:rPr>
                  <w:tab/>
                </w:r>
                <w:r>
                  <w:rPr>
                    <w:noProof/>
                    <w:webHidden/>
                  </w:rPr>
                  <w:fldChar w:fldCharType="begin"/>
                </w:r>
                <w:r>
                  <w:rPr>
                    <w:noProof/>
                    <w:webHidden/>
                  </w:rPr>
                  <w:instrText xml:space="preserve"> PAGEREF _Toc205213748 \h </w:instrText>
                </w:r>
                <w:r>
                  <w:rPr>
                    <w:noProof/>
                    <w:webHidden/>
                  </w:rPr>
                </w:r>
                <w:r>
                  <w:rPr>
                    <w:noProof/>
                    <w:webHidden/>
                  </w:rPr>
                  <w:fldChar w:fldCharType="separate"/>
                </w:r>
                <w:r w:rsidR="00670903">
                  <w:rPr>
                    <w:noProof/>
                    <w:webHidden/>
                  </w:rPr>
                  <w:t>97</w:t>
                </w:r>
                <w:r>
                  <w:rPr>
                    <w:noProof/>
                    <w:webHidden/>
                  </w:rPr>
                  <w:fldChar w:fldCharType="end"/>
                </w:r>
              </w:hyperlink>
            </w:p>
            <w:p w14:paraId="698C7004" w14:textId="7CA8FF63" w:rsidR="00691FEF" w:rsidRDefault="00691FEF">
              <w:pPr>
                <w:pStyle w:val="Sommario3"/>
                <w:rPr>
                  <w:rFonts w:eastAsiaTheme="minorEastAsia"/>
                  <w:noProof/>
                  <w:kern w:val="2"/>
                  <w:sz w:val="24"/>
                  <w:szCs w:val="24"/>
                  <w14:ligatures w14:val="standardContextual"/>
                </w:rPr>
              </w:pPr>
              <w:hyperlink w:anchor="_Toc205213749" w:history="1">
                <w:r w:rsidRPr="001B11AA">
                  <w:rPr>
                    <w:rStyle w:val="Collegamentoipertestuale"/>
                    <w:noProof/>
                  </w:rPr>
                  <w:t>6.2.1</w:t>
                </w:r>
                <w:r>
                  <w:rPr>
                    <w:rFonts w:eastAsiaTheme="minorEastAsia"/>
                    <w:noProof/>
                    <w:kern w:val="2"/>
                    <w:sz w:val="24"/>
                    <w:szCs w:val="24"/>
                    <w14:ligatures w14:val="standardContextual"/>
                  </w:rPr>
                  <w:tab/>
                </w:r>
                <w:r w:rsidRPr="001B11AA">
                  <w:rPr>
                    <w:rStyle w:val="Collegamentoipertestuale"/>
                    <w:noProof/>
                  </w:rPr>
                  <w:t>Libero accesso</w:t>
                </w:r>
                <w:r>
                  <w:rPr>
                    <w:noProof/>
                    <w:webHidden/>
                  </w:rPr>
                  <w:tab/>
                </w:r>
                <w:r>
                  <w:rPr>
                    <w:noProof/>
                    <w:webHidden/>
                  </w:rPr>
                  <w:fldChar w:fldCharType="begin"/>
                </w:r>
                <w:r>
                  <w:rPr>
                    <w:noProof/>
                    <w:webHidden/>
                  </w:rPr>
                  <w:instrText xml:space="preserve"> PAGEREF _Toc205213749 \h </w:instrText>
                </w:r>
                <w:r>
                  <w:rPr>
                    <w:noProof/>
                    <w:webHidden/>
                  </w:rPr>
                </w:r>
                <w:r>
                  <w:rPr>
                    <w:noProof/>
                    <w:webHidden/>
                  </w:rPr>
                  <w:fldChar w:fldCharType="separate"/>
                </w:r>
                <w:r w:rsidR="00670903">
                  <w:rPr>
                    <w:noProof/>
                    <w:webHidden/>
                  </w:rPr>
                  <w:t>97</w:t>
                </w:r>
                <w:r>
                  <w:rPr>
                    <w:noProof/>
                    <w:webHidden/>
                  </w:rPr>
                  <w:fldChar w:fldCharType="end"/>
                </w:r>
              </w:hyperlink>
            </w:p>
            <w:p w14:paraId="4BB227CA" w14:textId="7D06AB6F" w:rsidR="00691FEF" w:rsidRDefault="00691FEF">
              <w:pPr>
                <w:pStyle w:val="Sommario3"/>
                <w:rPr>
                  <w:rFonts w:eastAsiaTheme="minorEastAsia"/>
                  <w:noProof/>
                  <w:kern w:val="2"/>
                  <w:sz w:val="24"/>
                  <w:szCs w:val="24"/>
                  <w14:ligatures w14:val="standardContextual"/>
                </w:rPr>
              </w:pPr>
              <w:hyperlink w:anchor="_Toc205213750" w:history="1">
                <w:r w:rsidRPr="001B11AA">
                  <w:rPr>
                    <w:rStyle w:val="Collegamentoipertestuale"/>
                    <w:noProof/>
                  </w:rPr>
                  <w:t>6.2.2</w:t>
                </w:r>
                <w:r>
                  <w:rPr>
                    <w:rFonts w:eastAsiaTheme="minorEastAsia"/>
                    <w:noProof/>
                    <w:kern w:val="2"/>
                    <w:sz w:val="24"/>
                    <w:szCs w:val="24"/>
                    <w14:ligatures w14:val="standardContextual"/>
                  </w:rPr>
                  <w:tab/>
                </w:r>
                <w:r w:rsidRPr="001B11AA">
                  <w:rPr>
                    <w:rStyle w:val="Collegamentoipertestuale"/>
                    <w:noProof/>
                  </w:rPr>
                  <w:t>Agevolazioni a livello comunale</w:t>
                </w:r>
                <w:r>
                  <w:rPr>
                    <w:noProof/>
                    <w:webHidden/>
                  </w:rPr>
                  <w:tab/>
                </w:r>
                <w:r>
                  <w:rPr>
                    <w:noProof/>
                    <w:webHidden/>
                  </w:rPr>
                  <w:fldChar w:fldCharType="begin"/>
                </w:r>
                <w:r>
                  <w:rPr>
                    <w:noProof/>
                    <w:webHidden/>
                  </w:rPr>
                  <w:instrText xml:space="preserve"> PAGEREF _Toc205213750 \h </w:instrText>
                </w:r>
                <w:r>
                  <w:rPr>
                    <w:noProof/>
                    <w:webHidden/>
                  </w:rPr>
                </w:r>
                <w:r>
                  <w:rPr>
                    <w:noProof/>
                    <w:webHidden/>
                  </w:rPr>
                  <w:fldChar w:fldCharType="separate"/>
                </w:r>
                <w:r w:rsidR="00670903">
                  <w:rPr>
                    <w:noProof/>
                    <w:webHidden/>
                  </w:rPr>
                  <w:t>98</w:t>
                </w:r>
                <w:r>
                  <w:rPr>
                    <w:noProof/>
                    <w:webHidden/>
                  </w:rPr>
                  <w:fldChar w:fldCharType="end"/>
                </w:r>
              </w:hyperlink>
            </w:p>
            <w:p w14:paraId="0CAD3E29" w14:textId="0324CF8F" w:rsidR="00691FEF" w:rsidRDefault="00691FEF">
              <w:pPr>
                <w:pStyle w:val="Sommario3"/>
                <w:rPr>
                  <w:rFonts w:eastAsiaTheme="minorEastAsia"/>
                  <w:noProof/>
                  <w:kern w:val="2"/>
                  <w:sz w:val="24"/>
                  <w:szCs w:val="24"/>
                  <w14:ligatures w14:val="standardContextual"/>
                </w:rPr>
              </w:pPr>
              <w:hyperlink w:anchor="_Toc205213751" w:history="1">
                <w:r w:rsidRPr="001B11AA">
                  <w:rPr>
                    <w:rStyle w:val="Collegamentoipertestuale"/>
                    <w:noProof/>
                  </w:rPr>
                  <w:t>6.2.3</w:t>
                </w:r>
                <w:r>
                  <w:rPr>
                    <w:rFonts w:eastAsiaTheme="minorEastAsia"/>
                    <w:noProof/>
                    <w:kern w:val="2"/>
                    <w:sz w:val="24"/>
                    <w:szCs w:val="24"/>
                    <w14:ligatures w14:val="standardContextual"/>
                  </w:rPr>
                  <w:tab/>
                </w:r>
                <w:r w:rsidRPr="001B11AA">
                  <w:rPr>
                    <w:rStyle w:val="Collegamentoipertestuale"/>
                    <w:noProof/>
                  </w:rPr>
                  <w:t>Diritto di esazione a bordo</w:t>
                </w:r>
                <w:r>
                  <w:rPr>
                    <w:noProof/>
                    <w:webHidden/>
                  </w:rPr>
                  <w:tab/>
                </w:r>
                <w:r>
                  <w:rPr>
                    <w:noProof/>
                    <w:webHidden/>
                  </w:rPr>
                  <w:fldChar w:fldCharType="begin"/>
                </w:r>
                <w:r>
                  <w:rPr>
                    <w:noProof/>
                    <w:webHidden/>
                  </w:rPr>
                  <w:instrText xml:space="preserve"> PAGEREF _Toc205213751 \h </w:instrText>
                </w:r>
                <w:r>
                  <w:rPr>
                    <w:noProof/>
                    <w:webHidden/>
                  </w:rPr>
                </w:r>
                <w:r>
                  <w:rPr>
                    <w:noProof/>
                    <w:webHidden/>
                  </w:rPr>
                  <w:fldChar w:fldCharType="separate"/>
                </w:r>
                <w:r w:rsidR="00670903">
                  <w:rPr>
                    <w:noProof/>
                    <w:webHidden/>
                  </w:rPr>
                  <w:t>99</w:t>
                </w:r>
                <w:r>
                  <w:rPr>
                    <w:noProof/>
                    <w:webHidden/>
                  </w:rPr>
                  <w:fldChar w:fldCharType="end"/>
                </w:r>
              </w:hyperlink>
            </w:p>
            <w:p w14:paraId="6D367333" w14:textId="1A7969ED" w:rsidR="00691FEF" w:rsidRDefault="00691FEF">
              <w:pPr>
                <w:pStyle w:val="Sommario2"/>
                <w:rPr>
                  <w:rFonts w:eastAsiaTheme="minorEastAsia"/>
                  <w:noProof/>
                  <w:kern w:val="2"/>
                  <w:sz w:val="24"/>
                  <w:szCs w:val="24"/>
                  <w14:ligatures w14:val="standardContextual"/>
                </w:rPr>
              </w:pPr>
              <w:hyperlink w:anchor="_Toc205213752" w:history="1">
                <w:r w:rsidRPr="001B11AA">
                  <w:rPr>
                    <w:rStyle w:val="Collegamentoipertestuale"/>
                    <w:noProof/>
                  </w:rPr>
                  <w:t>6.3</w:t>
                </w:r>
                <w:r>
                  <w:rPr>
                    <w:rFonts w:eastAsiaTheme="minorEastAsia"/>
                    <w:noProof/>
                    <w:kern w:val="2"/>
                    <w:sz w:val="24"/>
                    <w:szCs w:val="24"/>
                    <w14:ligatures w14:val="standardContextual"/>
                  </w:rPr>
                  <w:tab/>
                </w:r>
                <w:r w:rsidRPr="001B11AA">
                  <w:rPr>
                    <w:rStyle w:val="Collegamentoipertestuale"/>
                    <w:noProof/>
                  </w:rPr>
                  <w:t>Tariffe Integrate</w:t>
                </w:r>
                <w:r>
                  <w:rPr>
                    <w:noProof/>
                    <w:webHidden/>
                  </w:rPr>
                  <w:tab/>
                </w:r>
                <w:r>
                  <w:rPr>
                    <w:noProof/>
                    <w:webHidden/>
                  </w:rPr>
                  <w:fldChar w:fldCharType="begin"/>
                </w:r>
                <w:r>
                  <w:rPr>
                    <w:noProof/>
                    <w:webHidden/>
                  </w:rPr>
                  <w:instrText xml:space="preserve"> PAGEREF _Toc205213752 \h </w:instrText>
                </w:r>
                <w:r>
                  <w:rPr>
                    <w:noProof/>
                    <w:webHidden/>
                  </w:rPr>
                </w:r>
                <w:r>
                  <w:rPr>
                    <w:noProof/>
                    <w:webHidden/>
                  </w:rPr>
                  <w:fldChar w:fldCharType="separate"/>
                </w:r>
                <w:r w:rsidR="00670903">
                  <w:rPr>
                    <w:noProof/>
                    <w:webHidden/>
                  </w:rPr>
                  <w:t>99</w:t>
                </w:r>
                <w:r>
                  <w:rPr>
                    <w:noProof/>
                    <w:webHidden/>
                  </w:rPr>
                  <w:fldChar w:fldCharType="end"/>
                </w:r>
              </w:hyperlink>
            </w:p>
            <w:p w14:paraId="5CEE503B" w14:textId="66EE41F8" w:rsidR="00691FEF" w:rsidRDefault="00691FEF">
              <w:pPr>
                <w:pStyle w:val="Sommario3"/>
                <w:rPr>
                  <w:rFonts w:eastAsiaTheme="minorEastAsia"/>
                  <w:noProof/>
                  <w:kern w:val="2"/>
                  <w:sz w:val="24"/>
                  <w:szCs w:val="24"/>
                  <w14:ligatures w14:val="standardContextual"/>
                </w:rPr>
              </w:pPr>
              <w:hyperlink w:anchor="_Toc205213753" w:history="1">
                <w:r w:rsidRPr="001B11AA">
                  <w:rPr>
                    <w:rStyle w:val="Collegamentoipertestuale"/>
                    <w:noProof/>
                  </w:rPr>
                  <w:t>6.3.1</w:t>
                </w:r>
                <w:r>
                  <w:rPr>
                    <w:rFonts w:eastAsiaTheme="minorEastAsia"/>
                    <w:noProof/>
                    <w:kern w:val="2"/>
                    <w:sz w:val="24"/>
                    <w:szCs w:val="24"/>
                    <w14:ligatures w14:val="standardContextual"/>
                  </w:rPr>
                  <w:tab/>
                </w:r>
                <w:r w:rsidRPr="001B11AA">
                  <w:rPr>
                    <w:rStyle w:val="Collegamentoipertestuale"/>
                    <w:noProof/>
                  </w:rPr>
                  <w:t>Formula</w:t>
                </w:r>
                <w:r>
                  <w:rPr>
                    <w:noProof/>
                    <w:webHidden/>
                  </w:rPr>
                  <w:tab/>
                </w:r>
                <w:r>
                  <w:rPr>
                    <w:noProof/>
                    <w:webHidden/>
                  </w:rPr>
                  <w:fldChar w:fldCharType="begin"/>
                </w:r>
                <w:r>
                  <w:rPr>
                    <w:noProof/>
                    <w:webHidden/>
                  </w:rPr>
                  <w:instrText xml:space="preserve"> PAGEREF _Toc205213753 \h </w:instrText>
                </w:r>
                <w:r>
                  <w:rPr>
                    <w:noProof/>
                    <w:webHidden/>
                  </w:rPr>
                </w:r>
                <w:r>
                  <w:rPr>
                    <w:noProof/>
                    <w:webHidden/>
                  </w:rPr>
                  <w:fldChar w:fldCharType="separate"/>
                </w:r>
                <w:r w:rsidR="00670903">
                  <w:rPr>
                    <w:noProof/>
                    <w:webHidden/>
                  </w:rPr>
                  <w:t>99</w:t>
                </w:r>
                <w:r>
                  <w:rPr>
                    <w:noProof/>
                    <w:webHidden/>
                  </w:rPr>
                  <w:fldChar w:fldCharType="end"/>
                </w:r>
              </w:hyperlink>
            </w:p>
            <w:p w14:paraId="3D88C612" w14:textId="21376757" w:rsidR="00691FEF" w:rsidRDefault="00691FEF">
              <w:pPr>
                <w:pStyle w:val="Sommario3"/>
                <w:rPr>
                  <w:rFonts w:eastAsiaTheme="minorEastAsia"/>
                  <w:noProof/>
                  <w:kern w:val="2"/>
                  <w:sz w:val="24"/>
                  <w:szCs w:val="24"/>
                  <w14:ligatures w14:val="standardContextual"/>
                </w:rPr>
              </w:pPr>
              <w:hyperlink w:anchor="_Toc205213754" w:history="1">
                <w:r w:rsidRPr="001B11AA">
                  <w:rPr>
                    <w:rStyle w:val="Collegamentoipertestuale"/>
                    <w:noProof/>
                  </w:rPr>
                  <w:t>6.3.2</w:t>
                </w:r>
                <w:r>
                  <w:rPr>
                    <w:rFonts w:eastAsiaTheme="minorEastAsia"/>
                    <w:noProof/>
                    <w:kern w:val="2"/>
                    <w:sz w:val="24"/>
                    <w:szCs w:val="24"/>
                    <w14:ligatures w14:val="standardContextual"/>
                  </w:rPr>
                  <w:tab/>
                </w:r>
                <w:r w:rsidRPr="001B11AA">
                  <w:rPr>
                    <w:rStyle w:val="Collegamentoipertestuale"/>
                    <w:noProof/>
                  </w:rPr>
                  <w:t>Credito Trasporti</w:t>
                </w:r>
                <w:r>
                  <w:rPr>
                    <w:noProof/>
                    <w:webHidden/>
                  </w:rPr>
                  <w:tab/>
                </w:r>
                <w:r>
                  <w:rPr>
                    <w:noProof/>
                    <w:webHidden/>
                  </w:rPr>
                  <w:fldChar w:fldCharType="begin"/>
                </w:r>
                <w:r>
                  <w:rPr>
                    <w:noProof/>
                    <w:webHidden/>
                  </w:rPr>
                  <w:instrText xml:space="preserve"> PAGEREF _Toc205213754 \h </w:instrText>
                </w:r>
                <w:r>
                  <w:rPr>
                    <w:noProof/>
                    <w:webHidden/>
                  </w:rPr>
                </w:r>
                <w:r>
                  <w:rPr>
                    <w:noProof/>
                    <w:webHidden/>
                  </w:rPr>
                  <w:fldChar w:fldCharType="separate"/>
                </w:r>
                <w:r w:rsidR="00670903">
                  <w:rPr>
                    <w:noProof/>
                    <w:webHidden/>
                  </w:rPr>
                  <w:t>100</w:t>
                </w:r>
                <w:r>
                  <w:rPr>
                    <w:noProof/>
                    <w:webHidden/>
                  </w:rPr>
                  <w:fldChar w:fldCharType="end"/>
                </w:r>
              </w:hyperlink>
            </w:p>
            <w:p w14:paraId="432363D3" w14:textId="1C7AE2DA" w:rsidR="00691FEF" w:rsidRDefault="00691FEF">
              <w:pPr>
                <w:pStyle w:val="Sommario2"/>
                <w:rPr>
                  <w:rFonts w:eastAsiaTheme="minorEastAsia"/>
                  <w:noProof/>
                  <w:kern w:val="2"/>
                  <w:sz w:val="24"/>
                  <w:szCs w:val="24"/>
                  <w14:ligatures w14:val="standardContextual"/>
                </w:rPr>
              </w:pPr>
              <w:hyperlink w:anchor="_Toc205213755" w:history="1">
                <w:r w:rsidRPr="001B11AA">
                  <w:rPr>
                    <w:rStyle w:val="Collegamentoipertestuale"/>
                    <w:noProof/>
                  </w:rPr>
                  <w:t>6.4</w:t>
                </w:r>
                <w:r>
                  <w:rPr>
                    <w:rFonts w:eastAsiaTheme="minorEastAsia"/>
                    <w:noProof/>
                    <w:kern w:val="2"/>
                    <w:sz w:val="24"/>
                    <w:szCs w:val="24"/>
                    <w14:ligatures w14:val="standardContextual"/>
                  </w:rPr>
                  <w:tab/>
                </w:r>
                <w:r w:rsidRPr="001B11AA">
                  <w:rPr>
                    <w:rStyle w:val="Collegamentoipertestuale"/>
                    <w:noProof/>
                  </w:rPr>
                  <w:t>Metodologia aggiornamento tariffe</w:t>
                </w:r>
                <w:r>
                  <w:rPr>
                    <w:noProof/>
                    <w:webHidden/>
                  </w:rPr>
                  <w:tab/>
                </w:r>
                <w:r>
                  <w:rPr>
                    <w:noProof/>
                    <w:webHidden/>
                  </w:rPr>
                  <w:fldChar w:fldCharType="begin"/>
                </w:r>
                <w:r>
                  <w:rPr>
                    <w:noProof/>
                    <w:webHidden/>
                  </w:rPr>
                  <w:instrText xml:space="preserve"> PAGEREF _Toc205213755 \h </w:instrText>
                </w:r>
                <w:r>
                  <w:rPr>
                    <w:noProof/>
                    <w:webHidden/>
                  </w:rPr>
                </w:r>
                <w:r>
                  <w:rPr>
                    <w:noProof/>
                    <w:webHidden/>
                  </w:rPr>
                  <w:fldChar w:fldCharType="separate"/>
                </w:r>
                <w:r w:rsidR="00670903">
                  <w:rPr>
                    <w:noProof/>
                    <w:webHidden/>
                  </w:rPr>
                  <w:t>101</w:t>
                </w:r>
                <w:r>
                  <w:rPr>
                    <w:noProof/>
                    <w:webHidden/>
                  </w:rPr>
                  <w:fldChar w:fldCharType="end"/>
                </w:r>
              </w:hyperlink>
            </w:p>
            <w:p w14:paraId="3FB973D6" w14:textId="6BF6589E" w:rsidR="00691FEF" w:rsidRDefault="00691FEF">
              <w:pPr>
                <w:pStyle w:val="Sommario2"/>
                <w:rPr>
                  <w:rFonts w:eastAsiaTheme="minorEastAsia"/>
                  <w:noProof/>
                  <w:kern w:val="2"/>
                  <w:sz w:val="24"/>
                  <w:szCs w:val="24"/>
                  <w14:ligatures w14:val="standardContextual"/>
                </w:rPr>
              </w:pPr>
              <w:hyperlink w:anchor="_Toc205213756" w:history="1">
                <w:r w:rsidRPr="001B11AA">
                  <w:rPr>
                    <w:rStyle w:val="Collegamentoipertestuale"/>
                    <w:noProof/>
                  </w:rPr>
                  <w:t>6.5</w:t>
                </w:r>
                <w:r>
                  <w:rPr>
                    <w:rFonts w:eastAsiaTheme="minorEastAsia"/>
                    <w:noProof/>
                    <w:kern w:val="2"/>
                    <w:sz w:val="24"/>
                    <w:szCs w:val="24"/>
                    <w14:ligatures w14:val="standardContextual"/>
                  </w:rPr>
                  <w:tab/>
                </w:r>
                <w:r w:rsidRPr="001B11AA">
                  <w:rPr>
                    <w:rStyle w:val="Collegamentoipertestuale"/>
                    <w:noProof/>
                  </w:rPr>
                  <w:t>L’interoperabilità tariffaria in Piemonte</w:t>
                </w:r>
                <w:r>
                  <w:rPr>
                    <w:noProof/>
                    <w:webHidden/>
                  </w:rPr>
                  <w:tab/>
                </w:r>
                <w:r>
                  <w:rPr>
                    <w:noProof/>
                    <w:webHidden/>
                  </w:rPr>
                  <w:fldChar w:fldCharType="begin"/>
                </w:r>
                <w:r>
                  <w:rPr>
                    <w:noProof/>
                    <w:webHidden/>
                  </w:rPr>
                  <w:instrText xml:space="preserve"> PAGEREF _Toc205213756 \h </w:instrText>
                </w:r>
                <w:r>
                  <w:rPr>
                    <w:noProof/>
                    <w:webHidden/>
                  </w:rPr>
                </w:r>
                <w:r>
                  <w:rPr>
                    <w:noProof/>
                    <w:webHidden/>
                  </w:rPr>
                  <w:fldChar w:fldCharType="separate"/>
                </w:r>
                <w:r w:rsidR="00670903">
                  <w:rPr>
                    <w:noProof/>
                    <w:webHidden/>
                  </w:rPr>
                  <w:t>102</w:t>
                </w:r>
                <w:r>
                  <w:rPr>
                    <w:noProof/>
                    <w:webHidden/>
                  </w:rPr>
                  <w:fldChar w:fldCharType="end"/>
                </w:r>
              </w:hyperlink>
            </w:p>
            <w:p w14:paraId="489DBEF2" w14:textId="314BFBF0" w:rsidR="00691FEF" w:rsidRDefault="00691FEF">
              <w:pPr>
                <w:pStyle w:val="Sommario2"/>
                <w:rPr>
                  <w:rFonts w:eastAsiaTheme="minorEastAsia"/>
                  <w:noProof/>
                  <w:kern w:val="2"/>
                  <w:sz w:val="24"/>
                  <w:szCs w:val="24"/>
                  <w14:ligatures w14:val="standardContextual"/>
                </w:rPr>
              </w:pPr>
              <w:hyperlink w:anchor="_Toc205213757" w:history="1">
                <w:r w:rsidRPr="001B11AA">
                  <w:rPr>
                    <w:rStyle w:val="Collegamentoipertestuale"/>
                    <w:noProof/>
                  </w:rPr>
                  <w:t>6.6</w:t>
                </w:r>
                <w:r>
                  <w:rPr>
                    <w:rFonts w:eastAsiaTheme="minorEastAsia"/>
                    <w:noProof/>
                    <w:kern w:val="2"/>
                    <w:sz w:val="24"/>
                    <w:szCs w:val="24"/>
                    <w14:ligatures w14:val="standardContextual"/>
                  </w:rPr>
                  <w:tab/>
                </w:r>
                <w:r w:rsidRPr="001B11AA">
                  <w:rPr>
                    <w:rStyle w:val="Collegamentoipertestuale"/>
                    <w:noProof/>
                  </w:rPr>
                  <w:t>Obblighi di servizio per l’integrazione tariffaria</w:t>
                </w:r>
                <w:r>
                  <w:rPr>
                    <w:noProof/>
                    <w:webHidden/>
                  </w:rPr>
                  <w:tab/>
                </w:r>
                <w:r>
                  <w:rPr>
                    <w:noProof/>
                    <w:webHidden/>
                  </w:rPr>
                  <w:fldChar w:fldCharType="begin"/>
                </w:r>
                <w:r>
                  <w:rPr>
                    <w:noProof/>
                    <w:webHidden/>
                  </w:rPr>
                  <w:instrText xml:space="preserve"> PAGEREF _Toc205213757 \h </w:instrText>
                </w:r>
                <w:r>
                  <w:rPr>
                    <w:noProof/>
                    <w:webHidden/>
                  </w:rPr>
                </w:r>
                <w:r>
                  <w:rPr>
                    <w:noProof/>
                    <w:webHidden/>
                  </w:rPr>
                  <w:fldChar w:fldCharType="separate"/>
                </w:r>
                <w:r w:rsidR="00670903">
                  <w:rPr>
                    <w:noProof/>
                    <w:webHidden/>
                  </w:rPr>
                  <w:t>103</w:t>
                </w:r>
                <w:r>
                  <w:rPr>
                    <w:noProof/>
                    <w:webHidden/>
                  </w:rPr>
                  <w:fldChar w:fldCharType="end"/>
                </w:r>
              </w:hyperlink>
            </w:p>
            <w:p w14:paraId="66B31A76" w14:textId="4D64F71A" w:rsidR="00691FEF" w:rsidRDefault="00691FEF">
              <w:pPr>
                <w:pStyle w:val="Sommario1"/>
                <w:rPr>
                  <w:rFonts w:eastAsiaTheme="minorEastAsia"/>
                  <w:noProof/>
                  <w:kern w:val="2"/>
                  <w:sz w:val="24"/>
                  <w:szCs w:val="24"/>
                  <w14:ligatures w14:val="standardContextual"/>
                </w:rPr>
              </w:pPr>
              <w:hyperlink w:anchor="_Toc205213758" w:history="1">
                <w:r w:rsidRPr="001B11AA">
                  <w:rPr>
                    <w:rStyle w:val="Collegamentoipertestuale"/>
                    <w:noProof/>
                  </w:rPr>
                  <w:t>7</w:t>
                </w:r>
                <w:r>
                  <w:rPr>
                    <w:rFonts w:eastAsiaTheme="minorEastAsia"/>
                    <w:noProof/>
                    <w:kern w:val="2"/>
                    <w:sz w:val="24"/>
                    <w:szCs w:val="24"/>
                    <w14:ligatures w14:val="standardContextual"/>
                  </w:rPr>
                  <w:tab/>
                </w:r>
                <w:r w:rsidRPr="001B11AA">
                  <w:rPr>
                    <w:rStyle w:val="Collegamentoipertestuale"/>
                    <w:noProof/>
                  </w:rPr>
                  <w:t>Identificazione dei lotti</w:t>
                </w:r>
                <w:r>
                  <w:rPr>
                    <w:noProof/>
                    <w:webHidden/>
                  </w:rPr>
                  <w:tab/>
                </w:r>
                <w:r>
                  <w:rPr>
                    <w:noProof/>
                    <w:webHidden/>
                  </w:rPr>
                  <w:fldChar w:fldCharType="begin"/>
                </w:r>
                <w:r>
                  <w:rPr>
                    <w:noProof/>
                    <w:webHidden/>
                  </w:rPr>
                  <w:instrText xml:space="preserve"> PAGEREF _Toc205213758 \h </w:instrText>
                </w:r>
                <w:r>
                  <w:rPr>
                    <w:noProof/>
                    <w:webHidden/>
                  </w:rPr>
                </w:r>
                <w:r>
                  <w:rPr>
                    <w:noProof/>
                    <w:webHidden/>
                  </w:rPr>
                  <w:fldChar w:fldCharType="separate"/>
                </w:r>
                <w:r w:rsidR="00670903">
                  <w:rPr>
                    <w:noProof/>
                    <w:webHidden/>
                  </w:rPr>
                  <w:t>105</w:t>
                </w:r>
                <w:r>
                  <w:rPr>
                    <w:noProof/>
                    <w:webHidden/>
                  </w:rPr>
                  <w:fldChar w:fldCharType="end"/>
                </w:r>
              </w:hyperlink>
            </w:p>
            <w:p w14:paraId="000B04D3" w14:textId="049DEEE5" w:rsidR="00691FEF" w:rsidRDefault="00691FEF">
              <w:pPr>
                <w:pStyle w:val="Sommario2"/>
                <w:rPr>
                  <w:rFonts w:eastAsiaTheme="minorEastAsia"/>
                  <w:noProof/>
                  <w:kern w:val="2"/>
                  <w:sz w:val="24"/>
                  <w:szCs w:val="24"/>
                  <w14:ligatures w14:val="standardContextual"/>
                </w:rPr>
              </w:pPr>
              <w:hyperlink w:anchor="_Toc205213759" w:history="1">
                <w:r w:rsidRPr="001B11AA">
                  <w:rPr>
                    <w:rStyle w:val="Collegamentoipertestuale"/>
                    <w:noProof/>
                  </w:rPr>
                  <w:t>7.1</w:t>
                </w:r>
                <w:r>
                  <w:rPr>
                    <w:rFonts w:eastAsiaTheme="minorEastAsia"/>
                    <w:noProof/>
                    <w:kern w:val="2"/>
                    <w:sz w:val="24"/>
                    <w:szCs w:val="24"/>
                    <w14:ligatures w14:val="standardContextual"/>
                  </w:rPr>
                  <w:tab/>
                </w:r>
                <w:r w:rsidRPr="001B11AA">
                  <w:rPr>
                    <w:rStyle w:val="Collegamentoipertestuale"/>
                    <w:noProof/>
                  </w:rPr>
                  <w:t>Valutazioni di natura trasportistica per la suddivisione dei lotti</w:t>
                </w:r>
                <w:r>
                  <w:rPr>
                    <w:noProof/>
                    <w:webHidden/>
                  </w:rPr>
                  <w:tab/>
                </w:r>
                <w:r>
                  <w:rPr>
                    <w:noProof/>
                    <w:webHidden/>
                  </w:rPr>
                  <w:fldChar w:fldCharType="begin"/>
                </w:r>
                <w:r>
                  <w:rPr>
                    <w:noProof/>
                    <w:webHidden/>
                  </w:rPr>
                  <w:instrText xml:space="preserve"> PAGEREF _Toc205213759 \h </w:instrText>
                </w:r>
                <w:r>
                  <w:rPr>
                    <w:noProof/>
                    <w:webHidden/>
                  </w:rPr>
                </w:r>
                <w:r>
                  <w:rPr>
                    <w:noProof/>
                    <w:webHidden/>
                  </w:rPr>
                  <w:fldChar w:fldCharType="separate"/>
                </w:r>
                <w:r w:rsidR="00670903">
                  <w:rPr>
                    <w:noProof/>
                    <w:webHidden/>
                  </w:rPr>
                  <w:t>106</w:t>
                </w:r>
                <w:r>
                  <w:rPr>
                    <w:noProof/>
                    <w:webHidden/>
                  </w:rPr>
                  <w:fldChar w:fldCharType="end"/>
                </w:r>
              </w:hyperlink>
            </w:p>
            <w:p w14:paraId="41C4D1F8" w14:textId="3E247F57" w:rsidR="00691FEF" w:rsidRDefault="00691FEF">
              <w:pPr>
                <w:pStyle w:val="Sommario3"/>
                <w:rPr>
                  <w:rFonts w:eastAsiaTheme="minorEastAsia"/>
                  <w:noProof/>
                  <w:kern w:val="2"/>
                  <w:sz w:val="24"/>
                  <w:szCs w:val="24"/>
                  <w14:ligatures w14:val="standardContextual"/>
                </w:rPr>
              </w:pPr>
              <w:hyperlink w:anchor="_Toc205213760" w:history="1">
                <w:r w:rsidRPr="001B11AA">
                  <w:rPr>
                    <w:rStyle w:val="Collegamentoipertestuale"/>
                    <w:noProof/>
                  </w:rPr>
                  <w:t>7.1.1</w:t>
                </w:r>
                <w:r>
                  <w:rPr>
                    <w:rFonts w:eastAsiaTheme="minorEastAsia"/>
                    <w:noProof/>
                    <w:kern w:val="2"/>
                    <w:sz w:val="24"/>
                    <w:szCs w:val="24"/>
                    <w14:ligatures w14:val="standardContextual"/>
                  </w:rPr>
                  <w:tab/>
                </w:r>
                <w:r w:rsidRPr="001B11AA">
                  <w:rPr>
                    <w:rStyle w:val="Collegamentoipertestuale"/>
                    <w:noProof/>
                  </w:rPr>
                  <w:t>Metodologia e processo di assegnazione</w:t>
                </w:r>
                <w:r>
                  <w:rPr>
                    <w:noProof/>
                    <w:webHidden/>
                  </w:rPr>
                  <w:tab/>
                </w:r>
                <w:r>
                  <w:rPr>
                    <w:noProof/>
                    <w:webHidden/>
                  </w:rPr>
                  <w:fldChar w:fldCharType="begin"/>
                </w:r>
                <w:r>
                  <w:rPr>
                    <w:noProof/>
                    <w:webHidden/>
                  </w:rPr>
                  <w:instrText xml:space="preserve"> PAGEREF _Toc205213760 \h </w:instrText>
                </w:r>
                <w:r>
                  <w:rPr>
                    <w:noProof/>
                    <w:webHidden/>
                  </w:rPr>
                </w:r>
                <w:r>
                  <w:rPr>
                    <w:noProof/>
                    <w:webHidden/>
                  </w:rPr>
                  <w:fldChar w:fldCharType="separate"/>
                </w:r>
                <w:r w:rsidR="00670903">
                  <w:rPr>
                    <w:noProof/>
                    <w:webHidden/>
                  </w:rPr>
                  <w:t>107</w:t>
                </w:r>
                <w:r>
                  <w:rPr>
                    <w:noProof/>
                    <w:webHidden/>
                  </w:rPr>
                  <w:fldChar w:fldCharType="end"/>
                </w:r>
              </w:hyperlink>
            </w:p>
            <w:p w14:paraId="36B7DD3B" w14:textId="47E17DC0" w:rsidR="00691FEF" w:rsidRDefault="00691FEF">
              <w:pPr>
                <w:pStyle w:val="Sommario3"/>
                <w:rPr>
                  <w:rFonts w:eastAsiaTheme="minorEastAsia"/>
                  <w:noProof/>
                  <w:kern w:val="2"/>
                  <w:sz w:val="24"/>
                  <w:szCs w:val="24"/>
                  <w14:ligatures w14:val="standardContextual"/>
                </w:rPr>
              </w:pPr>
              <w:hyperlink w:anchor="_Toc205213761" w:history="1">
                <w:r w:rsidRPr="001B11AA">
                  <w:rPr>
                    <w:rStyle w:val="Collegamentoipertestuale"/>
                    <w:noProof/>
                  </w:rPr>
                  <w:t>7.1.2</w:t>
                </w:r>
                <w:r>
                  <w:rPr>
                    <w:rFonts w:eastAsiaTheme="minorEastAsia"/>
                    <w:noProof/>
                    <w:kern w:val="2"/>
                    <w:sz w:val="24"/>
                    <w:szCs w:val="24"/>
                    <w14:ligatures w14:val="standardContextual"/>
                  </w:rPr>
                  <w:tab/>
                </w:r>
                <w:r w:rsidRPr="001B11AA">
                  <w:rPr>
                    <w:rStyle w:val="Collegamentoipertestuale"/>
                    <w:noProof/>
                  </w:rPr>
                  <w:t>Generazione degli scenari di assegnazione</w:t>
                </w:r>
                <w:r>
                  <w:rPr>
                    <w:noProof/>
                    <w:webHidden/>
                  </w:rPr>
                  <w:tab/>
                </w:r>
                <w:r>
                  <w:rPr>
                    <w:noProof/>
                    <w:webHidden/>
                  </w:rPr>
                  <w:fldChar w:fldCharType="begin"/>
                </w:r>
                <w:r>
                  <w:rPr>
                    <w:noProof/>
                    <w:webHidden/>
                  </w:rPr>
                  <w:instrText xml:space="preserve"> PAGEREF _Toc205213761 \h </w:instrText>
                </w:r>
                <w:r>
                  <w:rPr>
                    <w:noProof/>
                    <w:webHidden/>
                  </w:rPr>
                </w:r>
                <w:r>
                  <w:rPr>
                    <w:noProof/>
                    <w:webHidden/>
                  </w:rPr>
                  <w:fldChar w:fldCharType="separate"/>
                </w:r>
                <w:r w:rsidR="00670903">
                  <w:rPr>
                    <w:noProof/>
                    <w:webHidden/>
                  </w:rPr>
                  <w:t>111</w:t>
                </w:r>
                <w:r>
                  <w:rPr>
                    <w:noProof/>
                    <w:webHidden/>
                  </w:rPr>
                  <w:fldChar w:fldCharType="end"/>
                </w:r>
              </w:hyperlink>
            </w:p>
            <w:p w14:paraId="46AEE225" w14:textId="54416E3E" w:rsidR="00691FEF" w:rsidRDefault="00691FEF">
              <w:pPr>
                <w:pStyle w:val="Sommario3"/>
                <w:rPr>
                  <w:rFonts w:eastAsiaTheme="minorEastAsia"/>
                  <w:noProof/>
                  <w:kern w:val="2"/>
                  <w:sz w:val="24"/>
                  <w:szCs w:val="24"/>
                  <w14:ligatures w14:val="standardContextual"/>
                </w:rPr>
              </w:pPr>
              <w:hyperlink w:anchor="_Toc205213762" w:history="1">
                <w:r w:rsidRPr="001B11AA">
                  <w:rPr>
                    <w:rStyle w:val="Collegamentoipertestuale"/>
                    <w:noProof/>
                  </w:rPr>
                  <w:t>7.1.3</w:t>
                </w:r>
                <w:r>
                  <w:rPr>
                    <w:rFonts w:eastAsiaTheme="minorEastAsia"/>
                    <w:noProof/>
                    <w:kern w:val="2"/>
                    <w:sz w:val="24"/>
                    <w:szCs w:val="24"/>
                    <w14:ligatures w14:val="standardContextual"/>
                  </w:rPr>
                  <w:tab/>
                </w:r>
                <w:r w:rsidRPr="001B11AA">
                  <w:rPr>
                    <w:rStyle w:val="Collegamentoipertestuale"/>
                    <w:noProof/>
                  </w:rPr>
                  <w:t>Valutazione delle linee di inter-bacino</w:t>
                </w:r>
                <w:r>
                  <w:rPr>
                    <w:noProof/>
                    <w:webHidden/>
                  </w:rPr>
                  <w:tab/>
                </w:r>
                <w:r>
                  <w:rPr>
                    <w:noProof/>
                    <w:webHidden/>
                  </w:rPr>
                  <w:fldChar w:fldCharType="begin"/>
                </w:r>
                <w:r>
                  <w:rPr>
                    <w:noProof/>
                    <w:webHidden/>
                  </w:rPr>
                  <w:instrText xml:space="preserve"> PAGEREF _Toc205213762 \h </w:instrText>
                </w:r>
                <w:r>
                  <w:rPr>
                    <w:noProof/>
                    <w:webHidden/>
                  </w:rPr>
                </w:r>
                <w:r>
                  <w:rPr>
                    <w:noProof/>
                    <w:webHidden/>
                  </w:rPr>
                  <w:fldChar w:fldCharType="separate"/>
                </w:r>
                <w:r w:rsidR="00670903">
                  <w:rPr>
                    <w:noProof/>
                    <w:webHidden/>
                  </w:rPr>
                  <w:t>116</w:t>
                </w:r>
                <w:r>
                  <w:rPr>
                    <w:noProof/>
                    <w:webHidden/>
                  </w:rPr>
                  <w:fldChar w:fldCharType="end"/>
                </w:r>
              </w:hyperlink>
            </w:p>
            <w:p w14:paraId="3E268ABF" w14:textId="41D421D0" w:rsidR="00691FEF" w:rsidRDefault="00691FEF">
              <w:pPr>
                <w:pStyle w:val="Sommario2"/>
                <w:rPr>
                  <w:rFonts w:eastAsiaTheme="minorEastAsia"/>
                  <w:noProof/>
                  <w:kern w:val="2"/>
                  <w:sz w:val="24"/>
                  <w:szCs w:val="24"/>
                  <w14:ligatures w14:val="standardContextual"/>
                </w:rPr>
              </w:pPr>
              <w:hyperlink w:anchor="_Toc205213763" w:history="1">
                <w:r w:rsidRPr="001B11AA">
                  <w:rPr>
                    <w:rStyle w:val="Collegamentoipertestuale"/>
                    <w:noProof/>
                  </w:rPr>
                  <w:t>7.2</w:t>
                </w:r>
                <w:r>
                  <w:rPr>
                    <w:rFonts w:eastAsiaTheme="minorEastAsia"/>
                    <w:noProof/>
                    <w:kern w:val="2"/>
                    <w:sz w:val="24"/>
                    <w:szCs w:val="24"/>
                    <w14:ligatures w14:val="standardContextual"/>
                  </w:rPr>
                  <w:tab/>
                </w:r>
                <w:r w:rsidRPr="001B11AA">
                  <w:rPr>
                    <w:rStyle w:val="Collegamentoipertestuale"/>
                    <w:noProof/>
                  </w:rPr>
                  <w:t>Valutazioni economiche per la suddivisione dei lotti</w:t>
                </w:r>
                <w:r>
                  <w:rPr>
                    <w:noProof/>
                    <w:webHidden/>
                  </w:rPr>
                  <w:tab/>
                </w:r>
                <w:r>
                  <w:rPr>
                    <w:noProof/>
                    <w:webHidden/>
                  </w:rPr>
                  <w:fldChar w:fldCharType="begin"/>
                </w:r>
                <w:r>
                  <w:rPr>
                    <w:noProof/>
                    <w:webHidden/>
                  </w:rPr>
                  <w:instrText xml:space="preserve"> PAGEREF _Toc205213763 \h </w:instrText>
                </w:r>
                <w:r>
                  <w:rPr>
                    <w:noProof/>
                    <w:webHidden/>
                  </w:rPr>
                </w:r>
                <w:r>
                  <w:rPr>
                    <w:noProof/>
                    <w:webHidden/>
                  </w:rPr>
                  <w:fldChar w:fldCharType="separate"/>
                </w:r>
                <w:r w:rsidR="00670903">
                  <w:rPr>
                    <w:noProof/>
                    <w:webHidden/>
                  </w:rPr>
                  <w:t>117</w:t>
                </w:r>
                <w:r>
                  <w:rPr>
                    <w:noProof/>
                    <w:webHidden/>
                  </w:rPr>
                  <w:fldChar w:fldCharType="end"/>
                </w:r>
              </w:hyperlink>
            </w:p>
            <w:p w14:paraId="67A58B0A" w14:textId="6D4480C7" w:rsidR="00691FEF" w:rsidRDefault="00691FEF">
              <w:pPr>
                <w:pStyle w:val="Sommario2"/>
                <w:rPr>
                  <w:rFonts w:eastAsiaTheme="minorEastAsia"/>
                  <w:noProof/>
                  <w:kern w:val="2"/>
                  <w:sz w:val="24"/>
                  <w:szCs w:val="24"/>
                  <w14:ligatures w14:val="standardContextual"/>
                </w:rPr>
              </w:pPr>
              <w:hyperlink w:anchor="_Toc205213764" w:history="1">
                <w:r w:rsidRPr="001B11AA">
                  <w:rPr>
                    <w:rStyle w:val="Collegamentoipertestuale"/>
                    <w:noProof/>
                  </w:rPr>
                  <w:t>7.3</w:t>
                </w:r>
                <w:r>
                  <w:rPr>
                    <w:rFonts w:eastAsiaTheme="minorEastAsia"/>
                    <w:noProof/>
                    <w:kern w:val="2"/>
                    <w:sz w:val="24"/>
                    <w:szCs w:val="24"/>
                    <w14:ligatures w14:val="standardContextual"/>
                  </w:rPr>
                  <w:tab/>
                </w:r>
                <w:r w:rsidRPr="001B11AA">
                  <w:rPr>
                    <w:rStyle w:val="Collegamentoipertestuale"/>
                    <w:noProof/>
                  </w:rPr>
                  <w:t>Valutazioni sulla contendibilità dei lotti</w:t>
                </w:r>
                <w:r>
                  <w:rPr>
                    <w:noProof/>
                    <w:webHidden/>
                  </w:rPr>
                  <w:tab/>
                </w:r>
                <w:r>
                  <w:rPr>
                    <w:noProof/>
                    <w:webHidden/>
                  </w:rPr>
                  <w:fldChar w:fldCharType="begin"/>
                </w:r>
                <w:r>
                  <w:rPr>
                    <w:noProof/>
                    <w:webHidden/>
                  </w:rPr>
                  <w:instrText xml:space="preserve"> PAGEREF _Toc205213764 \h </w:instrText>
                </w:r>
                <w:r>
                  <w:rPr>
                    <w:noProof/>
                    <w:webHidden/>
                  </w:rPr>
                </w:r>
                <w:r>
                  <w:rPr>
                    <w:noProof/>
                    <w:webHidden/>
                  </w:rPr>
                  <w:fldChar w:fldCharType="separate"/>
                </w:r>
                <w:r w:rsidR="00670903">
                  <w:rPr>
                    <w:noProof/>
                    <w:webHidden/>
                  </w:rPr>
                  <w:t>121</w:t>
                </w:r>
                <w:r>
                  <w:rPr>
                    <w:noProof/>
                    <w:webHidden/>
                  </w:rPr>
                  <w:fldChar w:fldCharType="end"/>
                </w:r>
              </w:hyperlink>
            </w:p>
            <w:p w14:paraId="54D3EDAD" w14:textId="307F0DB2" w:rsidR="00691FEF" w:rsidRDefault="00691FEF">
              <w:pPr>
                <w:pStyle w:val="Sommario3"/>
                <w:rPr>
                  <w:rFonts w:eastAsiaTheme="minorEastAsia"/>
                  <w:noProof/>
                  <w:kern w:val="2"/>
                  <w:sz w:val="24"/>
                  <w:szCs w:val="24"/>
                  <w14:ligatures w14:val="standardContextual"/>
                </w:rPr>
              </w:pPr>
              <w:hyperlink w:anchor="_Toc205213765" w:history="1">
                <w:r w:rsidRPr="001B11AA">
                  <w:rPr>
                    <w:rStyle w:val="Collegamentoipertestuale"/>
                    <w:noProof/>
                  </w:rPr>
                  <w:t>7.3.1</w:t>
                </w:r>
                <w:r>
                  <w:rPr>
                    <w:rFonts w:eastAsiaTheme="minorEastAsia"/>
                    <w:noProof/>
                    <w:kern w:val="2"/>
                    <w:sz w:val="24"/>
                    <w:szCs w:val="24"/>
                    <w14:ligatures w14:val="standardContextual"/>
                  </w:rPr>
                  <w:tab/>
                </w:r>
                <w:r w:rsidRPr="001B11AA">
                  <w:rPr>
                    <w:rStyle w:val="Collegamentoipertestuale"/>
                    <w:noProof/>
                  </w:rPr>
                  <w:t>Valutazioni sugli operatori di mercato</w:t>
                </w:r>
                <w:r>
                  <w:rPr>
                    <w:noProof/>
                    <w:webHidden/>
                  </w:rPr>
                  <w:tab/>
                </w:r>
                <w:r>
                  <w:rPr>
                    <w:noProof/>
                    <w:webHidden/>
                  </w:rPr>
                  <w:fldChar w:fldCharType="begin"/>
                </w:r>
                <w:r>
                  <w:rPr>
                    <w:noProof/>
                    <w:webHidden/>
                  </w:rPr>
                  <w:instrText xml:space="preserve"> PAGEREF _Toc205213765 \h </w:instrText>
                </w:r>
                <w:r>
                  <w:rPr>
                    <w:noProof/>
                    <w:webHidden/>
                  </w:rPr>
                </w:r>
                <w:r>
                  <w:rPr>
                    <w:noProof/>
                    <w:webHidden/>
                  </w:rPr>
                  <w:fldChar w:fldCharType="separate"/>
                </w:r>
                <w:r w:rsidR="00670903">
                  <w:rPr>
                    <w:noProof/>
                    <w:webHidden/>
                  </w:rPr>
                  <w:t>121</w:t>
                </w:r>
                <w:r>
                  <w:rPr>
                    <w:noProof/>
                    <w:webHidden/>
                  </w:rPr>
                  <w:fldChar w:fldCharType="end"/>
                </w:r>
              </w:hyperlink>
            </w:p>
            <w:p w14:paraId="6151E707" w14:textId="667E2EC7" w:rsidR="00691FEF" w:rsidRDefault="00691FEF">
              <w:pPr>
                <w:pStyle w:val="Sommario3"/>
                <w:rPr>
                  <w:rFonts w:eastAsiaTheme="minorEastAsia"/>
                  <w:noProof/>
                  <w:kern w:val="2"/>
                  <w:sz w:val="24"/>
                  <w:szCs w:val="24"/>
                  <w14:ligatures w14:val="standardContextual"/>
                </w:rPr>
              </w:pPr>
              <w:hyperlink w:anchor="_Toc205213766" w:history="1">
                <w:r w:rsidRPr="001B11AA">
                  <w:rPr>
                    <w:rStyle w:val="Collegamentoipertestuale"/>
                    <w:noProof/>
                  </w:rPr>
                  <w:t>7.3.2</w:t>
                </w:r>
                <w:r>
                  <w:rPr>
                    <w:rFonts w:eastAsiaTheme="minorEastAsia"/>
                    <w:noProof/>
                    <w:kern w:val="2"/>
                    <w:sz w:val="24"/>
                    <w:szCs w:val="24"/>
                    <w14:ligatures w14:val="standardContextual"/>
                  </w:rPr>
                  <w:tab/>
                </w:r>
                <w:r w:rsidRPr="001B11AA">
                  <w:rPr>
                    <w:rStyle w:val="Collegamentoipertestuale"/>
                    <w:noProof/>
                  </w:rPr>
                  <w:t>Processo di consultazione - indicazioni sulla dimensione dei lotti</w:t>
                </w:r>
                <w:r>
                  <w:rPr>
                    <w:noProof/>
                    <w:webHidden/>
                  </w:rPr>
                  <w:tab/>
                </w:r>
                <w:r>
                  <w:rPr>
                    <w:noProof/>
                    <w:webHidden/>
                  </w:rPr>
                  <w:fldChar w:fldCharType="begin"/>
                </w:r>
                <w:r>
                  <w:rPr>
                    <w:noProof/>
                    <w:webHidden/>
                  </w:rPr>
                  <w:instrText xml:space="preserve"> PAGEREF _Toc205213766 \h </w:instrText>
                </w:r>
                <w:r>
                  <w:rPr>
                    <w:noProof/>
                    <w:webHidden/>
                  </w:rPr>
                </w:r>
                <w:r>
                  <w:rPr>
                    <w:noProof/>
                    <w:webHidden/>
                  </w:rPr>
                  <w:fldChar w:fldCharType="separate"/>
                </w:r>
                <w:r w:rsidR="00670903">
                  <w:rPr>
                    <w:noProof/>
                    <w:webHidden/>
                  </w:rPr>
                  <w:t>125</w:t>
                </w:r>
                <w:r>
                  <w:rPr>
                    <w:noProof/>
                    <w:webHidden/>
                  </w:rPr>
                  <w:fldChar w:fldCharType="end"/>
                </w:r>
              </w:hyperlink>
            </w:p>
            <w:p w14:paraId="1E18E7F0" w14:textId="477506B9" w:rsidR="00691FEF" w:rsidRDefault="00691FEF">
              <w:pPr>
                <w:pStyle w:val="Sommario3"/>
                <w:rPr>
                  <w:rFonts w:eastAsiaTheme="minorEastAsia"/>
                  <w:noProof/>
                  <w:kern w:val="2"/>
                  <w:sz w:val="24"/>
                  <w:szCs w:val="24"/>
                  <w14:ligatures w14:val="standardContextual"/>
                </w:rPr>
              </w:pPr>
              <w:hyperlink w:anchor="_Toc205213767" w:history="1">
                <w:r w:rsidRPr="001B11AA">
                  <w:rPr>
                    <w:rStyle w:val="Collegamentoipertestuale"/>
                    <w:noProof/>
                  </w:rPr>
                  <w:t>7.3.3</w:t>
                </w:r>
                <w:r>
                  <w:rPr>
                    <w:rFonts w:eastAsiaTheme="minorEastAsia"/>
                    <w:noProof/>
                    <w:kern w:val="2"/>
                    <w:sz w:val="24"/>
                    <w:szCs w:val="24"/>
                    <w14:ligatures w14:val="standardContextual"/>
                  </w:rPr>
                  <w:tab/>
                </w:r>
                <w:r w:rsidRPr="001B11AA">
                  <w:rPr>
                    <w:rStyle w:val="Collegamentoipertestuale"/>
                    <w:noProof/>
                  </w:rPr>
                  <w:t>Barriere alla contendibilità dei lotti</w:t>
                </w:r>
                <w:r>
                  <w:rPr>
                    <w:noProof/>
                    <w:webHidden/>
                  </w:rPr>
                  <w:tab/>
                </w:r>
                <w:r>
                  <w:rPr>
                    <w:noProof/>
                    <w:webHidden/>
                  </w:rPr>
                  <w:fldChar w:fldCharType="begin"/>
                </w:r>
                <w:r>
                  <w:rPr>
                    <w:noProof/>
                    <w:webHidden/>
                  </w:rPr>
                  <w:instrText xml:space="preserve"> PAGEREF _Toc205213767 \h </w:instrText>
                </w:r>
                <w:r>
                  <w:rPr>
                    <w:noProof/>
                    <w:webHidden/>
                  </w:rPr>
                </w:r>
                <w:r>
                  <w:rPr>
                    <w:noProof/>
                    <w:webHidden/>
                  </w:rPr>
                  <w:fldChar w:fldCharType="separate"/>
                </w:r>
                <w:r w:rsidR="00670903">
                  <w:rPr>
                    <w:noProof/>
                    <w:webHidden/>
                  </w:rPr>
                  <w:t>126</w:t>
                </w:r>
                <w:r>
                  <w:rPr>
                    <w:noProof/>
                    <w:webHidden/>
                  </w:rPr>
                  <w:fldChar w:fldCharType="end"/>
                </w:r>
              </w:hyperlink>
            </w:p>
            <w:p w14:paraId="3C86A759" w14:textId="7955365F" w:rsidR="00691FEF" w:rsidRDefault="00691FEF">
              <w:pPr>
                <w:pStyle w:val="Sommario2"/>
                <w:rPr>
                  <w:rFonts w:eastAsiaTheme="minorEastAsia"/>
                  <w:noProof/>
                  <w:kern w:val="2"/>
                  <w:sz w:val="24"/>
                  <w:szCs w:val="24"/>
                  <w14:ligatures w14:val="standardContextual"/>
                </w:rPr>
              </w:pPr>
              <w:hyperlink w:anchor="_Toc205213768" w:history="1">
                <w:r w:rsidRPr="001B11AA">
                  <w:rPr>
                    <w:rStyle w:val="Collegamentoipertestuale"/>
                    <w:noProof/>
                  </w:rPr>
                  <w:t>7.4</w:t>
                </w:r>
                <w:r>
                  <w:rPr>
                    <w:rFonts w:eastAsiaTheme="minorEastAsia"/>
                    <w:noProof/>
                    <w:kern w:val="2"/>
                    <w:sz w:val="24"/>
                    <w:szCs w:val="24"/>
                    <w14:ligatures w14:val="standardContextual"/>
                  </w:rPr>
                  <w:tab/>
                </w:r>
                <w:r w:rsidRPr="001B11AA">
                  <w:rPr>
                    <w:rStyle w:val="Collegamentoipertestuale"/>
                    <w:noProof/>
                  </w:rPr>
                  <w:t>Configurazione dei lotti</w:t>
                </w:r>
                <w:r>
                  <w:rPr>
                    <w:noProof/>
                    <w:webHidden/>
                  </w:rPr>
                  <w:tab/>
                </w:r>
                <w:r>
                  <w:rPr>
                    <w:noProof/>
                    <w:webHidden/>
                  </w:rPr>
                  <w:fldChar w:fldCharType="begin"/>
                </w:r>
                <w:r>
                  <w:rPr>
                    <w:noProof/>
                    <w:webHidden/>
                  </w:rPr>
                  <w:instrText xml:space="preserve"> PAGEREF _Toc205213768 \h </w:instrText>
                </w:r>
                <w:r>
                  <w:rPr>
                    <w:noProof/>
                    <w:webHidden/>
                  </w:rPr>
                </w:r>
                <w:r>
                  <w:rPr>
                    <w:noProof/>
                    <w:webHidden/>
                  </w:rPr>
                  <w:fldChar w:fldCharType="separate"/>
                </w:r>
                <w:r w:rsidR="00670903">
                  <w:rPr>
                    <w:noProof/>
                    <w:webHidden/>
                  </w:rPr>
                  <w:t>127</w:t>
                </w:r>
                <w:r>
                  <w:rPr>
                    <w:noProof/>
                    <w:webHidden/>
                  </w:rPr>
                  <w:fldChar w:fldCharType="end"/>
                </w:r>
              </w:hyperlink>
            </w:p>
            <w:p w14:paraId="14CECDE9" w14:textId="767267F3" w:rsidR="00691FEF" w:rsidRDefault="00691FEF">
              <w:pPr>
                <w:pStyle w:val="Sommario3"/>
                <w:rPr>
                  <w:rFonts w:eastAsiaTheme="minorEastAsia"/>
                  <w:noProof/>
                  <w:kern w:val="2"/>
                  <w:sz w:val="24"/>
                  <w:szCs w:val="24"/>
                  <w14:ligatures w14:val="standardContextual"/>
                </w:rPr>
              </w:pPr>
              <w:hyperlink w:anchor="_Toc205213769" w:history="1">
                <w:r w:rsidRPr="001B11AA">
                  <w:rPr>
                    <w:rStyle w:val="Collegamentoipertestuale"/>
                    <w:noProof/>
                  </w:rPr>
                  <w:t>7.4.1</w:t>
                </w:r>
                <w:r>
                  <w:rPr>
                    <w:rFonts w:eastAsiaTheme="minorEastAsia"/>
                    <w:noProof/>
                    <w:kern w:val="2"/>
                    <w:sz w:val="24"/>
                    <w:szCs w:val="24"/>
                    <w14:ligatures w14:val="standardContextual"/>
                  </w:rPr>
                  <w:tab/>
                </w:r>
                <w:r w:rsidRPr="001B11AA">
                  <w:rPr>
                    <w:rStyle w:val="Collegamentoipertestuale"/>
                    <w:noProof/>
                  </w:rPr>
                  <w:t>Alternative prese in considerazione</w:t>
                </w:r>
                <w:r>
                  <w:rPr>
                    <w:noProof/>
                    <w:webHidden/>
                  </w:rPr>
                  <w:tab/>
                </w:r>
                <w:r>
                  <w:rPr>
                    <w:noProof/>
                    <w:webHidden/>
                  </w:rPr>
                  <w:fldChar w:fldCharType="begin"/>
                </w:r>
                <w:r>
                  <w:rPr>
                    <w:noProof/>
                    <w:webHidden/>
                  </w:rPr>
                  <w:instrText xml:space="preserve"> PAGEREF _Toc205213769 \h </w:instrText>
                </w:r>
                <w:r>
                  <w:rPr>
                    <w:noProof/>
                    <w:webHidden/>
                  </w:rPr>
                </w:r>
                <w:r>
                  <w:rPr>
                    <w:noProof/>
                    <w:webHidden/>
                  </w:rPr>
                  <w:fldChar w:fldCharType="separate"/>
                </w:r>
                <w:r w:rsidR="00670903">
                  <w:rPr>
                    <w:noProof/>
                    <w:webHidden/>
                  </w:rPr>
                  <w:t>127</w:t>
                </w:r>
                <w:r>
                  <w:rPr>
                    <w:noProof/>
                    <w:webHidden/>
                  </w:rPr>
                  <w:fldChar w:fldCharType="end"/>
                </w:r>
              </w:hyperlink>
            </w:p>
            <w:p w14:paraId="5CBE2F8C" w14:textId="1C9EF032" w:rsidR="00691FEF" w:rsidRDefault="00691FEF">
              <w:pPr>
                <w:pStyle w:val="Sommario3"/>
                <w:rPr>
                  <w:rFonts w:eastAsiaTheme="minorEastAsia"/>
                  <w:noProof/>
                  <w:kern w:val="2"/>
                  <w:sz w:val="24"/>
                  <w:szCs w:val="24"/>
                  <w14:ligatures w14:val="standardContextual"/>
                </w:rPr>
              </w:pPr>
              <w:hyperlink w:anchor="_Toc205213770" w:history="1">
                <w:r w:rsidRPr="001B11AA">
                  <w:rPr>
                    <w:rStyle w:val="Collegamentoipertestuale"/>
                    <w:noProof/>
                  </w:rPr>
                  <w:t>7.4.2</w:t>
                </w:r>
                <w:r>
                  <w:rPr>
                    <w:rFonts w:eastAsiaTheme="minorEastAsia"/>
                    <w:noProof/>
                    <w:kern w:val="2"/>
                    <w:sz w:val="24"/>
                    <w:szCs w:val="24"/>
                    <w14:ligatures w14:val="standardContextual"/>
                  </w:rPr>
                  <w:tab/>
                </w:r>
                <w:r w:rsidRPr="001B11AA">
                  <w:rPr>
                    <w:rStyle w:val="Collegamentoipertestuale"/>
                    <w:noProof/>
                  </w:rPr>
                  <w:t>Analisi costo standard</w:t>
                </w:r>
                <w:r>
                  <w:rPr>
                    <w:noProof/>
                    <w:webHidden/>
                  </w:rPr>
                  <w:tab/>
                </w:r>
                <w:r>
                  <w:rPr>
                    <w:noProof/>
                    <w:webHidden/>
                  </w:rPr>
                  <w:fldChar w:fldCharType="begin"/>
                </w:r>
                <w:r>
                  <w:rPr>
                    <w:noProof/>
                    <w:webHidden/>
                  </w:rPr>
                  <w:instrText xml:space="preserve"> PAGEREF _Toc205213770 \h </w:instrText>
                </w:r>
                <w:r>
                  <w:rPr>
                    <w:noProof/>
                    <w:webHidden/>
                  </w:rPr>
                </w:r>
                <w:r>
                  <w:rPr>
                    <w:noProof/>
                    <w:webHidden/>
                  </w:rPr>
                  <w:fldChar w:fldCharType="separate"/>
                </w:r>
                <w:r w:rsidR="00670903">
                  <w:rPr>
                    <w:noProof/>
                    <w:webHidden/>
                  </w:rPr>
                  <w:t>134</w:t>
                </w:r>
                <w:r>
                  <w:rPr>
                    <w:noProof/>
                    <w:webHidden/>
                  </w:rPr>
                  <w:fldChar w:fldCharType="end"/>
                </w:r>
              </w:hyperlink>
            </w:p>
            <w:p w14:paraId="0732E7C7" w14:textId="517C3996" w:rsidR="00691FEF" w:rsidRDefault="00691FEF">
              <w:pPr>
                <w:pStyle w:val="Sommario3"/>
                <w:rPr>
                  <w:rFonts w:eastAsiaTheme="minorEastAsia"/>
                  <w:noProof/>
                  <w:kern w:val="2"/>
                  <w:sz w:val="24"/>
                  <w:szCs w:val="24"/>
                  <w14:ligatures w14:val="standardContextual"/>
                </w:rPr>
              </w:pPr>
              <w:hyperlink w:anchor="_Toc205213771" w:history="1">
                <w:r w:rsidRPr="001B11AA">
                  <w:rPr>
                    <w:rStyle w:val="Collegamentoipertestuale"/>
                    <w:noProof/>
                  </w:rPr>
                  <w:t>7.4.3</w:t>
                </w:r>
                <w:r>
                  <w:rPr>
                    <w:rFonts w:eastAsiaTheme="minorEastAsia"/>
                    <w:noProof/>
                    <w:kern w:val="2"/>
                    <w:sz w:val="24"/>
                    <w:szCs w:val="24"/>
                    <w14:ligatures w14:val="standardContextual"/>
                  </w:rPr>
                  <w:tab/>
                </w:r>
                <w:r w:rsidRPr="001B11AA">
                  <w:rPr>
                    <w:rStyle w:val="Collegamentoipertestuale"/>
                    <w:noProof/>
                  </w:rPr>
                  <w:t>Definizione degli importi a base di gara</w:t>
                </w:r>
                <w:r>
                  <w:rPr>
                    <w:noProof/>
                    <w:webHidden/>
                  </w:rPr>
                  <w:tab/>
                </w:r>
                <w:r>
                  <w:rPr>
                    <w:noProof/>
                    <w:webHidden/>
                  </w:rPr>
                  <w:fldChar w:fldCharType="begin"/>
                </w:r>
                <w:r>
                  <w:rPr>
                    <w:noProof/>
                    <w:webHidden/>
                  </w:rPr>
                  <w:instrText xml:space="preserve"> PAGEREF _Toc205213771 \h </w:instrText>
                </w:r>
                <w:r>
                  <w:rPr>
                    <w:noProof/>
                    <w:webHidden/>
                  </w:rPr>
                </w:r>
                <w:r>
                  <w:rPr>
                    <w:noProof/>
                    <w:webHidden/>
                  </w:rPr>
                  <w:fldChar w:fldCharType="separate"/>
                </w:r>
                <w:r w:rsidR="00670903">
                  <w:rPr>
                    <w:noProof/>
                    <w:webHidden/>
                  </w:rPr>
                  <w:t>137</w:t>
                </w:r>
                <w:r>
                  <w:rPr>
                    <w:noProof/>
                    <w:webHidden/>
                  </w:rPr>
                  <w:fldChar w:fldCharType="end"/>
                </w:r>
              </w:hyperlink>
            </w:p>
            <w:p w14:paraId="46F26F92" w14:textId="6BD14163" w:rsidR="00691FEF" w:rsidRDefault="00691FEF">
              <w:pPr>
                <w:pStyle w:val="Sommario3"/>
                <w:rPr>
                  <w:rFonts w:eastAsiaTheme="minorEastAsia"/>
                  <w:noProof/>
                  <w:kern w:val="2"/>
                  <w:sz w:val="24"/>
                  <w:szCs w:val="24"/>
                  <w14:ligatures w14:val="standardContextual"/>
                </w:rPr>
              </w:pPr>
              <w:hyperlink w:anchor="_Toc205213772" w:history="1">
                <w:r w:rsidRPr="001B11AA">
                  <w:rPr>
                    <w:rStyle w:val="Collegamentoipertestuale"/>
                    <w:noProof/>
                  </w:rPr>
                  <w:t>7.4.4</w:t>
                </w:r>
                <w:r>
                  <w:rPr>
                    <w:rFonts w:eastAsiaTheme="minorEastAsia"/>
                    <w:noProof/>
                    <w:kern w:val="2"/>
                    <w:sz w:val="24"/>
                    <w:szCs w:val="24"/>
                    <w14:ligatures w14:val="standardContextual"/>
                  </w:rPr>
                  <w:tab/>
                </w:r>
                <w:r w:rsidRPr="001B11AA">
                  <w:rPr>
                    <w:rStyle w:val="Collegamentoipertestuale"/>
                    <w:noProof/>
                  </w:rPr>
                  <w:t>Congruità delle risorse</w:t>
                </w:r>
                <w:r>
                  <w:rPr>
                    <w:noProof/>
                    <w:webHidden/>
                  </w:rPr>
                  <w:tab/>
                </w:r>
                <w:r>
                  <w:rPr>
                    <w:noProof/>
                    <w:webHidden/>
                  </w:rPr>
                  <w:fldChar w:fldCharType="begin"/>
                </w:r>
                <w:r>
                  <w:rPr>
                    <w:noProof/>
                    <w:webHidden/>
                  </w:rPr>
                  <w:instrText xml:space="preserve"> PAGEREF _Toc205213772 \h </w:instrText>
                </w:r>
                <w:r>
                  <w:rPr>
                    <w:noProof/>
                    <w:webHidden/>
                  </w:rPr>
                </w:r>
                <w:r>
                  <w:rPr>
                    <w:noProof/>
                    <w:webHidden/>
                  </w:rPr>
                  <w:fldChar w:fldCharType="separate"/>
                </w:r>
                <w:r w:rsidR="00670903">
                  <w:rPr>
                    <w:noProof/>
                    <w:webHidden/>
                  </w:rPr>
                  <w:t>137</w:t>
                </w:r>
                <w:r>
                  <w:rPr>
                    <w:noProof/>
                    <w:webHidden/>
                  </w:rPr>
                  <w:fldChar w:fldCharType="end"/>
                </w:r>
              </w:hyperlink>
            </w:p>
            <w:p w14:paraId="5DAF094E" w14:textId="36434CB7" w:rsidR="00691FEF" w:rsidRDefault="00691FEF">
              <w:pPr>
                <w:pStyle w:val="Sommario1"/>
                <w:rPr>
                  <w:rFonts w:eastAsiaTheme="minorEastAsia"/>
                  <w:noProof/>
                  <w:kern w:val="2"/>
                  <w:sz w:val="24"/>
                  <w:szCs w:val="24"/>
                  <w14:ligatures w14:val="standardContextual"/>
                </w:rPr>
              </w:pPr>
              <w:hyperlink w:anchor="_Toc205213773" w:history="1">
                <w:r w:rsidRPr="001B11AA">
                  <w:rPr>
                    <w:rStyle w:val="Collegamentoipertestuale"/>
                    <w:noProof/>
                  </w:rPr>
                  <w:t>8</w:t>
                </w:r>
                <w:r>
                  <w:rPr>
                    <w:rFonts w:eastAsiaTheme="minorEastAsia"/>
                    <w:noProof/>
                    <w:kern w:val="2"/>
                    <w:sz w:val="24"/>
                    <w:szCs w:val="24"/>
                    <w14:ligatures w14:val="standardContextual"/>
                  </w:rPr>
                  <w:tab/>
                </w:r>
                <w:r w:rsidRPr="001B11AA">
                  <w:rPr>
                    <w:rStyle w:val="Collegamentoipertestuale"/>
                    <w:noProof/>
                  </w:rPr>
                  <w:t>Conclusioni</w:t>
                </w:r>
                <w:r>
                  <w:rPr>
                    <w:noProof/>
                    <w:webHidden/>
                  </w:rPr>
                  <w:tab/>
                </w:r>
                <w:r>
                  <w:rPr>
                    <w:noProof/>
                    <w:webHidden/>
                  </w:rPr>
                  <w:fldChar w:fldCharType="begin"/>
                </w:r>
                <w:r>
                  <w:rPr>
                    <w:noProof/>
                    <w:webHidden/>
                  </w:rPr>
                  <w:instrText xml:space="preserve"> PAGEREF _Toc205213773 \h </w:instrText>
                </w:r>
                <w:r>
                  <w:rPr>
                    <w:noProof/>
                    <w:webHidden/>
                  </w:rPr>
                </w:r>
                <w:r>
                  <w:rPr>
                    <w:noProof/>
                    <w:webHidden/>
                  </w:rPr>
                  <w:fldChar w:fldCharType="separate"/>
                </w:r>
                <w:r w:rsidR="00670903">
                  <w:rPr>
                    <w:noProof/>
                    <w:webHidden/>
                  </w:rPr>
                  <w:t>142</w:t>
                </w:r>
                <w:r>
                  <w:rPr>
                    <w:noProof/>
                    <w:webHidden/>
                  </w:rPr>
                  <w:fldChar w:fldCharType="end"/>
                </w:r>
              </w:hyperlink>
            </w:p>
            <w:p w14:paraId="42AD1661" w14:textId="1F04EA4D" w:rsidR="004E445F" w:rsidRDefault="004E445F">
              <w:r>
                <w:rPr>
                  <w:b/>
                  <w:bCs/>
                </w:rPr>
                <w:fldChar w:fldCharType="end"/>
              </w:r>
            </w:p>
          </w:sdtContent>
        </w:sdt>
        <w:p w14:paraId="5FF95B62" w14:textId="77777777" w:rsidR="00FF64CD" w:rsidRDefault="00FF64CD" w:rsidP="00DA38FE">
          <w:pPr>
            <w:jc w:val="left"/>
            <w:rPr>
              <w:rFonts w:cstheme="minorHAnsi"/>
              <w:color w:val="003366"/>
              <w:szCs w:val="28"/>
            </w:rPr>
            <w:sectPr w:rsidR="00FF64CD" w:rsidSect="004E445F">
              <w:headerReference w:type="default" r:id="rId13"/>
              <w:footerReference w:type="default" r:id="rId14"/>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6742E0FB" w14:textId="555BAD32" w:rsidR="00FF64CD" w:rsidRDefault="00FF64CD" w:rsidP="00FF64CD">
          <w:pPr>
            <w:rPr>
              <w:rFonts w:cstheme="minorHAnsi"/>
              <w:color w:val="003366"/>
              <w:szCs w:val="28"/>
            </w:rPr>
          </w:pPr>
          <w:r>
            <w:rPr>
              <w:b/>
              <w:bCs/>
              <w:color w:val="003366"/>
              <w:sz w:val="36"/>
              <w:szCs w:val="36"/>
            </w:rPr>
            <w:lastRenderedPageBreak/>
            <w:t>ALLEGATI</w:t>
          </w:r>
        </w:p>
        <w:p w14:paraId="5FC4D27A" w14:textId="77777777" w:rsidR="00FF64CD" w:rsidRPr="00207886" w:rsidRDefault="00FF64CD" w:rsidP="00FF64CD">
          <w:pPr>
            <w:spacing w:before="120" w:after="0" w:line="240" w:lineRule="auto"/>
            <w:ind w:left="1418" w:hanging="1418"/>
          </w:pPr>
          <w:r w:rsidRPr="00207886">
            <w:t xml:space="preserve">Allegato 1 </w:t>
          </w:r>
          <w:r>
            <w:t>–</w:t>
          </w:r>
          <w:r w:rsidRPr="00207886">
            <w:t xml:space="preserve"> </w:t>
          </w:r>
          <w:r>
            <w:tab/>
          </w:r>
          <w:r w:rsidRPr="00207886">
            <w:t xml:space="preserve">Relazione sulle procedure di consultazione </w:t>
          </w:r>
        </w:p>
        <w:p w14:paraId="1CCB8C3B" w14:textId="77777777" w:rsidR="00FF64CD" w:rsidRPr="00207886" w:rsidRDefault="00FF64CD" w:rsidP="00FF64CD">
          <w:pPr>
            <w:spacing w:before="120" w:after="0" w:line="240" w:lineRule="auto"/>
            <w:ind w:left="1418" w:hanging="1418"/>
          </w:pPr>
          <w:r w:rsidRPr="00207886">
            <w:t xml:space="preserve">Allegato 2 </w:t>
          </w:r>
          <w:r>
            <w:t>–</w:t>
          </w:r>
          <w:r w:rsidRPr="00207886">
            <w:t xml:space="preserve"> </w:t>
          </w:r>
          <w:r>
            <w:tab/>
          </w:r>
          <w:r w:rsidRPr="00207886">
            <w:t xml:space="preserve">Esiti dei questionari realizzati all’interno del processo di consultazione </w:t>
          </w:r>
        </w:p>
        <w:p w14:paraId="47CF7B37" w14:textId="77777777" w:rsidR="00FF64CD" w:rsidRPr="00207886" w:rsidRDefault="00FF64CD" w:rsidP="00FF64CD">
          <w:pPr>
            <w:spacing w:before="120" w:after="0" w:line="240" w:lineRule="auto"/>
            <w:ind w:left="1418" w:hanging="1418"/>
          </w:pPr>
          <w:r w:rsidRPr="00207886">
            <w:t xml:space="preserve">Allegato 3 </w:t>
          </w:r>
          <w:r>
            <w:t>–</w:t>
          </w:r>
          <w:r w:rsidRPr="00207886">
            <w:t xml:space="preserve"> </w:t>
          </w:r>
          <w:r>
            <w:tab/>
            <w:t>D</w:t>
          </w:r>
          <w:r w:rsidRPr="00207886">
            <w:t xml:space="preserve">ocumento di sintesi sulle attività di consultazione </w:t>
          </w:r>
          <w:r>
            <w:t>– Bacino Sud Est</w:t>
          </w:r>
        </w:p>
        <w:p w14:paraId="7DB6C744" w14:textId="77777777" w:rsidR="00FF64CD" w:rsidRDefault="00FF64CD" w:rsidP="00FF64CD">
          <w:pPr>
            <w:spacing w:before="120" w:after="0" w:line="240" w:lineRule="auto"/>
            <w:ind w:left="1418" w:hanging="1418"/>
          </w:pPr>
          <w:r w:rsidRPr="00207886">
            <w:t xml:space="preserve">Allegato </w:t>
          </w:r>
          <w:r>
            <w:t>4 –</w:t>
          </w:r>
          <w:r w:rsidRPr="00207886">
            <w:t xml:space="preserve"> </w:t>
          </w:r>
          <w:r>
            <w:tab/>
            <w:t xml:space="preserve">Indirizzi regionali </w:t>
          </w:r>
        </w:p>
        <w:p w14:paraId="6807772F" w14:textId="77777777" w:rsidR="00FF64CD" w:rsidRDefault="00FF64CD" w:rsidP="00FF64CD">
          <w:pPr>
            <w:spacing w:before="120" w:after="0" w:line="240" w:lineRule="auto"/>
            <w:ind w:left="1418" w:hanging="1418"/>
          </w:pPr>
          <w:r w:rsidRPr="00207886">
            <w:t xml:space="preserve">Allegato </w:t>
          </w:r>
          <w:r>
            <w:t>5</w:t>
          </w:r>
          <w:r w:rsidRPr="00207886">
            <w:t xml:space="preserve"> – </w:t>
          </w:r>
          <w:r>
            <w:tab/>
          </w:r>
          <w:r w:rsidRPr="00207886">
            <w:t xml:space="preserve">Documento di sintesi sulla definizione dei lotti </w:t>
          </w:r>
        </w:p>
        <w:p w14:paraId="01742D1B" w14:textId="77777777" w:rsidR="00FF64CD" w:rsidRDefault="00FF64CD" w:rsidP="00FF64CD">
          <w:pPr>
            <w:spacing w:before="120" w:after="0" w:line="240" w:lineRule="auto"/>
            <w:ind w:left="1418" w:hanging="1418"/>
          </w:pPr>
          <w:r>
            <w:t xml:space="preserve">Allegato 6 – </w:t>
          </w:r>
          <w:r>
            <w:tab/>
            <w:t>Elenco delle linee dei singoli lotti – Bacino Sud Est</w:t>
          </w:r>
        </w:p>
        <w:p w14:paraId="60F30EEB" w14:textId="77777777" w:rsidR="00FF64CD" w:rsidRPr="00E361F8" w:rsidRDefault="00FF64CD" w:rsidP="00FF64CD">
          <w:pPr>
            <w:spacing w:before="120" w:after="0" w:line="240" w:lineRule="auto"/>
            <w:ind w:left="1418" w:hanging="1418"/>
          </w:pPr>
          <w:r w:rsidRPr="00E361F8">
            <w:t>Allegato 7 –</w:t>
          </w:r>
          <w:r w:rsidRPr="00E361F8">
            <w:tab/>
            <w:t>Panoramica depositi</w:t>
          </w:r>
          <w:r>
            <w:t xml:space="preserve"> – Bacino Sud Est</w:t>
          </w:r>
        </w:p>
        <w:p w14:paraId="67902A5B" w14:textId="77777777" w:rsidR="00FF64CD" w:rsidRPr="00E361F8" w:rsidRDefault="00FF64CD" w:rsidP="00FF64CD">
          <w:pPr>
            <w:spacing w:before="120" w:after="0" w:line="240" w:lineRule="auto"/>
            <w:ind w:left="1418" w:hanging="1418"/>
          </w:pPr>
          <w:r w:rsidRPr="00E361F8">
            <w:t>Allegato 8 –</w:t>
          </w:r>
          <w:r w:rsidRPr="00E361F8">
            <w:tab/>
            <w:t xml:space="preserve">Elenco autobus per lotti </w:t>
          </w:r>
          <w:r>
            <w:t>– Bacino Sud Est</w:t>
          </w:r>
        </w:p>
        <w:p w14:paraId="10E86513" w14:textId="77777777" w:rsidR="00FF64CD" w:rsidRDefault="00FF64CD" w:rsidP="00DA38FE">
          <w:pPr>
            <w:jc w:val="left"/>
            <w:rPr>
              <w:rFonts w:cstheme="minorHAnsi"/>
              <w:color w:val="003366"/>
              <w:szCs w:val="28"/>
            </w:rPr>
          </w:pPr>
        </w:p>
        <w:p w14:paraId="4D7743B0" w14:textId="0BBDF18D" w:rsidR="00DA38FE" w:rsidRPr="000C6009" w:rsidRDefault="00670903" w:rsidP="00DA38FE">
          <w:pPr>
            <w:jc w:val="left"/>
            <w:rPr>
              <w:rFonts w:cstheme="minorHAnsi"/>
              <w:color w:val="003366"/>
              <w:szCs w:val="28"/>
            </w:rPr>
            <w:sectPr w:rsidR="00DA38FE" w:rsidRPr="000C6009" w:rsidSect="004E445F">
              <w:footerReference w:type="default" r:id="rId15"/>
              <w:pgSz w:w="11906" w:h="16838"/>
              <w:pgMar w:top="1418" w:right="1418" w:bottom="1418" w:left="1418" w:header="709" w:footer="709" w:gutter="0"/>
              <w:pgBorders w:offsetFrom="page">
                <w:right w:val="single" w:sz="48" w:space="24" w:color="A5C34C" w:themeColor="accent6" w:themeShade="BF"/>
              </w:pgBorders>
              <w:cols w:space="708"/>
              <w:docGrid w:linePitch="360"/>
            </w:sectPr>
          </w:pPr>
        </w:p>
      </w:sdtContent>
    </w:sdt>
    <w:p w14:paraId="53307217" w14:textId="77777777" w:rsidR="00C42A5A" w:rsidRPr="000C6009" w:rsidRDefault="00C42A5A" w:rsidP="00C42A5A">
      <w:pPr>
        <w:pStyle w:val="Titolo1"/>
        <w:spacing w:after="360"/>
        <w:ind w:left="431" w:hanging="431"/>
        <w:rPr>
          <w:rFonts w:asciiTheme="minorHAnsi" w:hAnsiTheme="minorHAnsi" w:cstheme="minorHAnsi"/>
        </w:rPr>
      </w:pPr>
      <w:bookmarkStart w:id="0" w:name="_Ref190356999"/>
      <w:bookmarkStart w:id="1" w:name="_Ref190680970"/>
      <w:bookmarkStart w:id="2" w:name="_Ref190681411"/>
      <w:bookmarkStart w:id="3" w:name="_Toc193374069"/>
      <w:bookmarkStart w:id="4" w:name="_Toc1018198800"/>
      <w:bookmarkStart w:id="5" w:name="_Toc204616462"/>
      <w:bookmarkStart w:id="6" w:name="_Toc205213692"/>
      <w:r w:rsidRPr="000C6009">
        <w:rPr>
          <w:rFonts w:asciiTheme="minorHAnsi" w:hAnsiTheme="minorHAnsi" w:cstheme="minorHAnsi"/>
        </w:rPr>
        <w:lastRenderedPageBreak/>
        <w:t>Premessa</w:t>
      </w:r>
      <w:bookmarkEnd w:id="0"/>
      <w:bookmarkEnd w:id="1"/>
      <w:bookmarkEnd w:id="2"/>
      <w:bookmarkEnd w:id="3"/>
      <w:bookmarkEnd w:id="4"/>
      <w:bookmarkEnd w:id="5"/>
      <w:bookmarkEnd w:id="6"/>
      <w:r w:rsidRPr="000C6009">
        <w:rPr>
          <w:rFonts w:asciiTheme="minorHAnsi" w:hAnsiTheme="minorHAnsi" w:cstheme="minorHAnsi"/>
        </w:rPr>
        <w:t xml:space="preserve"> </w:t>
      </w:r>
    </w:p>
    <w:p w14:paraId="0495BBBE" w14:textId="77777777" w:rsidR="00C42A5A" w:rsidRPr="000C6009" w:rsidRDefault="00C42A5A" w:rsidP="00C42A5A">
      <w:pPr>
        <w:pStyle w:val="Corpotesto"/>
        <w:spacing w:before="120" w:after="0" w:line="240" w:lineRule="auto"/>
        <w:rPr>
          <w:rFonts w:cstheme="minorHAnsi"/>
        </w:rPr>
      </w:pPr>
      <w:r w:rsidRPr="000C6009">
        <w:rPr>
          <w:rFonts w:cstheme="minorHAnsi"/>
        </w:rPr>
        <w:t>La presente relazione ha l’obiettivo di individuare i lotti di affidamento per la concessione dei servizi automobilistici, in conformità a quanto previsto dalla Delibera n. 48/2017 dell'Autorità di Regolazione dei Trasporti. Nello specifico, il documento si concentra sui servizi relativi al Bacino Sud Est del Piemonte.</w:t>
      </w:r>
    </w:p>
    <w:p w14:paraId="7F502443" w14:textId="77777777" w:rsidR="00C42A5A" w:rsidRPr="000C6009" w:rsidRDefault="00C42A5A" w:rsidP="00C42A5A">
      <w:pPr>
        <w:pStyle w:val="Corpotesto"/>
        <w:spacing w:before="120" w:after="0" w:line="240" w:lineRule="auto"/>
        <w:rPr>
          <w:rFonts w:cstheme="minorHAnsi"/>
        </w:rPr>
      </w:pPr>
      <w:r w:rsidRPr="000C6009">
        <w:rPr>
          <w:rFonts w:cstheme="minorHAnsi"/>
        </w:rPr>
        <w:t xml:space="preserve">Si premette che, al fine di garantire un’organizzazione dei servizi pubblici locali concorde alle indicazioni della normativa vigente, sono stati individuati quattro bacini ottimali di mobilità costituenti il territorio regionale piemontese, definiti dall’autorità regionale con Deliberazione della Giunta Regionale (D.G.R.) n. 17-4134/2012. </w:t>
      </w:r>
    </w:p>
    <w:p w14:paraId="408C200A" w14:textId="77777777" w:rsidR="00C42A5A" w:rsidRPr="000C6009" w:rsidRDefault="00C42A5A" w:rsidP="00C42A5A">
      <w:pPr>
        <w:pStyle w:val="Corpotesto"/>
        <w:spacing w:before="120" w:after="0" w:line="240" w:lineRule="auto"/>
        <w:rPr>
          <w:rFonts w:cstheme="minorHAnsi"/>
        </w:rPr>
      </w:pPr>
      <w:r w:rsidRPr="000C6009">
        <w:rPr>
          <w:rFonts w:cstheme="minorHAnsi"/>
        </w:rPr>
        <w:t>Attualmente, gli atti di concessione relativi ai servizi automobilistici dell’intera Regione Piemonte, prorogati in attuazione della D.G.R. 52-6344 del 22 dicembre 2022 per l’applicazione dell’art. 24, comma 5-bis, del Decreto-Legge 4/2022 (convertito, con modificazioni, dalla Legge 28 marzo 2022, n. 25), risultano in scadenza.</w:t>
      </w:r>
    </w:p>
    <w:p w14:paraId="5AB609A8" w14:textId="77777777" w:rsidR="00C42A5A" w:rsidRPr="000C6009" w:rsidRDefault="00C42A5A" w:rsidP="00C42A5A">
      <w:pPr>
        <w:pStyle w:val="Corpotesto"/>
        <w:spacing w:before="120" w:after="0" w:line="240" w:lineRule="auto"/>
        <w:rPr>
          <w:rFonts w:cstheme="minorHAnsi"/>
        </w:rPr>
      </w:pPr>
      <w:r w:rsidRPr="000C6009">
        <w:rPr>
          <w:rFonts w:cstheme="minorHAnsi"/>
          <w:noProof/>
        </w:rPr>
        <w:drawing>
          <wp:anchor distT="0" distB="0" distL="114300" distR="114300" simplePos="0" relativeHeight="251660292" behindDoc="0" locked="0" layoutInCell="1" allowOverlap="1" wp14:anchorId="473A7A01" wp14:editId="2967423F">
            <wp:simplePos x="0" y="0"/>
            <wp:positionH relativeFrom="margin">
              <wp:posOffset>-25843</wp:posOffset>
            </wp:positionH>
            <wp:positionV relativeFrom="margin">
              <wp:posOffset>3441094</wp:posOffset>
            </wp:positionV>
            <wp:extent cx="1424305" cy="2002155"/>
            <wp:effectExtent l="76200" t="38100" r="80645" b="112395"/>
            <wp:wrapSquare wrapText="bothSides"/>
            <wp:docPr id="7213050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31"/>
                    <a:stretch/>
                  </pic:blipFill>
                  <pic:spPr bwMode="auto">
                    <a:xfrm>
                      <a:off x="0" y="0"/>
                      <a:ext cx="1424305" cy="2002155"/>
                    </a:xfrm>
                    <a:prstGeom prst="rect">
                      <a:avLst/>
                    </a:prstGeom>
                    <a:noFill/>
                    <a:ln w="6350">
                      <a:solidFill>
                        <a:schemeClr val="accent2"/>
                      </a:solid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C6009">
        <w:rPr>
          <w:rFonts w:cstheme="minorHAnsi"/>
        </w:rPr>
        <w:t>In precedenza, nel gennaio 2022, l’Agenzia aveva pubblicato un avviso di preinformazione a livello europeo per ciascun bacino di mobilità, inerente alle procedure di gara per l’affidamento delle concessioni dei servizi automobilistici</w:t>
      </w:r>
      <w:r w:rsidRPr="000C6009">
        <w:rPr>
          <w:rFonts w:cstheme="minorHAnsi"/>
          <w:vertAlign w:val="superscript"/>
        </w:rPr>
        <w:footnoteReference w:id="2"/>
      </w:r>
      <w:r w:rsidRPr="000C6009">
        <w:rPr>
          <w:rFonts w:cstheme="minorHAnsi"/>
        </w:rPr>
        <w:t xml:space="preserve">, poi aggiornato in prossimità della scadenza delle proroghe. </w:t>
      </w:r>
    </w:p>
    <w:p w14:paraId="149D4CB3" w14:textId="77777777" w:rsidR="00C42A5A" w:rsidRPr="000C6009" w:rsidRDefault="00C42A5A" w:rsidP="00C42A5A">
      <w:pPr>
        <w:pStyle w:val="Corpotesto"/>
        <w:spacing w:before="120" w:after="0" w:line="240" w:lineRule="auto"/>
        <w:rPr>
          <w:rFonts w:cstheme="minorHAnsi"/>
        </w:rPr>
      </w:pPr>
      <w:r w:rsidRPr="000C6009">
        <w:rPr>
          <w:rFonts w:cstheme="minorHAnsi"/>
        </w:rPr>
        <w:t xml:space="preserve">Conseguentemente, l’Agenzia della Mobilità Piemontese (AMP) ha avviato, con determinazione dirigenziale n. 394 del 16/06/2024, l’iter tecnico-amministrativo finalizzato all’affidamento in concessione dei servizi automobilistici piemontesi. </w:t>
      </w:r>
    </w:p>
    <w:p w14:paraId="71941A42" w14:textId="77777777" w:rsidR="00C42A5A" w:rsidRPr="000C6009" w:rsidRDefault="00C42A5A" w:rsidP="00C42A5A">
      <w:pPr>
        <w:pStyle w:val="Corpotesto"/>
        <w:spacing w:before="120" w:after="0" w:line="240" w:lineRule="auto"/>
        <w:rPr>
          <w:rFonts w:cstheme="minorHAnsi"/>
        </w:rPr>
      </w:pPr>
      <w:r w:rsidRPr="000C6009">
        <w:rPr>
          <w:rFonts w:cstheme="minorHAnsi"/>
        </w:rPr>
        <w:t>Tale processo, originatosi con l’aggiornamento degli avvisi di preinformazione</w:t>
      </w:r>
      <w:r w:rsidRPr="000C6009">
        <w:rPr>
          <w:rFonts w:cstheme="minorHAnsi"/>
          <w:vertAlign w:val="superscript"/>
        </w:rPr>
        <w:t xml:space="preserve"> </w:t>
      </w:r>
      <w:r w:rsidRPr="000C6009">
        <w:rPr>
          <w:rFonts w:cstheme="minorHAnsi"/>
        </w:rPr>
        <w:t>per ciascun bacino di mobilità, ha previsto un’articolata fase consultiva iniziale, descritta approfonditamente nell’Allegato 1 alla presente relazione.</w:t>
      </w:r>
    </w:p>
    <w:p w14:paraId="59C04EC2" w14:textId="77777777" w:rsidR="00C42A5A" w:rsidRPr="000C6009" w:rsidRDefault="00C42A5A" w:rsidP="00C42A5A">
      <w:pPr>
        <w:pStyle w:val="Corpotesto"/>
        <w:spacing w:before="120" w:after="0" w:line="240" w:lineRule="auto"/>
        <w:rPr>
          <w:rFonts w:cstheme="minorHAnsi"/>
        </w:rPr>
      </w:pPr>
      <w:r w:rsidRPr="000C6009">
        <w:rPr>
          <w:rFonts w:cstheme="minorHAnsi"/>
        </w:rPr>
        <w:t>Successivamente AMP ha svolto le valutazioni di carattere economico e trasportistico necessarie a definire la suddivisione degli ambiti di mobilità in lotti.</w:t>
      </w:r>
    </w:p>
    <w:p w14:paraId="419A6130" w14:textId="77777777" w:rsidR="00C42A5A" w:rsidRPr="000C6009" w:rsidRDefault="00C42A5A" w:rsidP="00C42A5A">
      <w:pPr>
        <w:pStyle w:val="Corpotesto"/>
        <w:spacing w:before="120" w:after="0" w:line="240" w:lineRule="auto"/>
        <w:rPr>
          <w:rFonts w:cstheme="minorHAnsi"/>
        </w:rPr>
      </w:pPr>
      <w:r w:rsidRPr="000C6009">
        <w:rPr>
          <w:rFonts w:cstheme="minorHAnsi"/>
          <w:noProof/>
        </w:rPr>
        <w:drawing>
          <wp:anchor distT="0" distB="0" distL="114300" distR="114300" simplePos="0" relativeHeight="251661316" behindDoc="0" locked="0" layoutInCell="1" allowOverlap="1" wp14:anchorId="7965221B" wp14:editId="37DA60FE">
            <wp:simplePos x="0" y="0"/>
            <wp:positionH relativeFrom="margin">
              <wp:posOffset>3495040</wp:posOffset>
            </wp:positionH>
            <wp:positionV relativeFrom="margin">
              <wp:posOffset>6457950</wp:posOffset>
            </wp:positionV>
            <wp:extent cx="2265045" cy="1273810"/>
            <wp:effectExtent l="76200" t="38100" r="78105" b="116840"/>
            <wp:wrapSquare wrapText="bothSides"/>
            <wp:docPr id="1128473738" name="Immagine 4" descr="Immagine che contiene testo, schermata, grafic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73738" name="Immagine 4" descr="Immagine che contiene testo, schermata, grafica, design&#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65045" cy="1273810"/>
                    </a:xfrm>
                    <a:prstGeom prst="rect">
                      <a:avLst/>
                    </a:prstGeom>
                    <a:noFill/>
                    <a:ln w="6350">
                      <a:solidFill>
                        <a:schemeClr val="accent2"/>
                      </a:solidFill>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C6009">
        <w:rPr>
          <w:rFonts w:cstheme="minorHAnsi"/>
        </w:rPr>
        <w:t>L’analisi, congiuntamente alle considerazioni emerse durante le consultazioni condotte a livello regionale, costituisce parte integrante del documento di sintesi, trasmesso alla Regione, il quale contiene le possibili ipotesi di suddivisione dei bacini di mobilità in lotti e le varie possibili configurazioni di affidamento degli stessi (Allegato 5) attraverso le modalità previste dall’art. 5 par. 3 del Regolamento 1370/2007 e s.m.i.</w:t>
      </w:r>
    </w:p>
    <w:p w14:paraId="5A8F39D0" w14:textId="77777777" w:rsidR="00C42A5A" w:rsidRPr="000C6009" w:rsidRDefault="00C42A5A" w:rsidP="00C42A5A">
      <w:pPr>
        <w:pStyle w:val="Corpotesto"/>
        <w:spacing w:before="120" w:after="0" w:line="240" w:lineRule="auto"/>
        <w:rPr>
          <w:rFonts w:cstheme="minorHAnsi"/>
        </w:rPr>
      </w:pPr>
      <w:r w:rsidRPr="000C6009">
        <w:rPr>
          <w:rFonts w:cstheme="minorHAnsi"/>
        </w:rPr>
        <w:t>Nella medesima relazione si dà atto di quanto emerso durante la fase di consultazione e delle richieste pervenute circa la previsione di procedere con affidamenti attraverso le modalità previste dall’art. 5 par. 3 del Regolamento 1370/2007 e s.m.i. cd in-house providing.</w:t>
      </w:r>
    </w:p>
    <w:p w14:paraId="43A9D66D" w14:textId="77777777" w:rsidR="00C42A5A" w:rsidRPr="000C6009" w:rsidRDefault="00C42A5A" w:rsidP="00C42A5A">
      <w:pPr>
        <w:pStyle w:val="Corpotesto"/>
        <w:spacing w:before="120" w:after="0" w:line="240" w:lineRule="auto"/>
        <w:rPr>
          <w:rFonts w:cstheme="minorHAnsi"/>
          <w:noProof/>
        </w:rPr>
      </w:pPr>
      <w:r w:rsidRPr="000C6009">
        <w:rPr>
          <w:rFonts w:cstheme="minorHAnsi"/>
        </w:rPr>
        <w:lastRenderedPageBreak/>
        <w:t>La relazione si inquadra quindi nel complesso processo di affidamento dei servizi automobilistici che riguardano l’intera regione con una previsione generale di 8 lotti a gara, 2 per ciascuno dei 4 bacini di mobilità, e 4 lotti in house.</w:t>
      </w:r>
    </w:p>
    <w:p w14:paraId="6593E2B8" w14:textId="77777777" w:rsidR="00C42A5A" w:rsidRPr="000C6009" w:rsidRDefault="00C42A5A" w:rsidP="00C42A5A">
      <w:pPr>
        <w:pStyle w:val="Corpotesto"/>
        <w:spacing w:before="120" w:after="0" w:line="240" w:lineRule="auto"/>
        <w:jc w:val="center"/>
        <w:rPr>
          <w:rFonts w:cstheme="minorHAnsi"/>
        </w:rPr>
      </w:pPr>
      <w:r w:rsidRPr="000C6009">
        <w:rPr>
          <w:rFonts w:cstheme="minorHAnsi"/>
          <w:noProof/>
        </w:rPr>
        <w:drawing>
          <wp:inline distT="0" distB="0" distL="0" distR="0" wp14:anchorId="4FC7BB6D" wp14:editId="576BB4F0">
            <wp:extent cx="3329940" cy="3321181"/>
            <wp:effectExtent l="0" t="0" r="3810" b="0"/>
            <wp:docPr id="1395105278" name="Immagine 5" descr="Immagine che contiene mappa, diagramma&#10;&#10;Descrizione generata automaticamente">
              <a:extLst xmlns:a="http://schemas.openxmlformats.org/drawingml/2006/main">
                <a:ext uri="{FF2B5EF4-FFF2-40B4-BE49-F238E27FC236}">
                  <a16:creationId xmlns:a16="http://schemas.microsoft.com/office/drawing/2014/main" id="{45396689-789F-1893-972E-6B84147B5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descr="Immagine che contiene mappa, diagramma&#10;&#10;Descrizione generata automaticamente">
                      <a:extLst>
                        <a:ext uri="{FF2B5EF4-FFF2-40B4-BE49-F238E27FC236}">
                          <a16:creationId xmlns:a16="http://schemas.microsoft.com/office/drawing/2014/main" id="{45396689-789F-1893-972E-6B84147B550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60918" cy="3352077"/>
                    </a:xfrm>
                    <a:prstGeom prst="rect">
                      <a:avLst/>
                    </a:prstGeom>
                  </pic:spPr>
                </pic:pic>
              </a:graphicData>
            </a:graphic>
          </wp:inline>
        </w:drawing>
      </w:r>
    </w:p>
    <w:p w14:paraId="756DA5DA" w14:textId="784FCCDE" w:rsidR="00C42A5A" w:rsidRPr="000C6009" w:rsidRDefault="00C42A5A" w:rsidP="00C42A5A">
      <w:pPr>
        <w:pStyle w:val="Didascalia"/>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1</w:t>
      </w:r>
      <w:r w:rsidRPr="000C6009">
        <w:rPr>
          <w:rFonts w:cstheme="minorHAnsi"/>
          <w:noProof/>
          <w:color w:val="003366"/>
        </w:rPr>
        <w:fldChar w:fldCharType="end"/>
      </w:r>
      <w:r w:rsidRPr="000C6009">
        <w:rPr>
          <w:rFonts w:cstheme="minorHAnsi"/>
          <w:color w:val="003366"/>
        </w:rPr>
        <w:t xml:space="preserve"> – Quadro dei futuri affidamenti di TPL nella Regione Piemonte</w:t>
      </w:r>
    </w:p>
    <w:p w14:paraId="0A808373" w14:textId="1CB32A52" w:rsidR="00C42A5A" w:rsidRPr="000C6009" w:rsidRDefault="00C42A5A" w:rsidP="00C42A5A">
      <w:pPr>
        <w:pStyle w:val="Corpotesto"/>
        <w:spacing w:before="120" w:after="0" w:line="240" w:lineRule="auto"/>
        <w:rPr>
          <w:rFonts w:cstheme="minorHAnsi"/>
        </w:rPr>
      </w:pPr>
      <w:r w:rsidRPr="000C6009">
        <w:rPr>
          <w:rFonts w:cstheme="minorHAnsi"/>
        </w:rPr>
        <w:t>Essendo presenti in Piemonte più bacini di mobilità, è necessario redigere una relazione per ciascun bacino di mobilità. Questo approccio garantisce che ogni bacino sia considerato in modo dettagliato e che le specifiche esigenze di mobilità di ciascun bacino siano adeguatamente affrontate come illustrato nel workflow del procedimento descritto nell’appendice 1 della relazione illustrativa della delibera ART n. 48/2017 (</w:t>
      </w:r>
      <w:r w:rsidRPr="000C6009">
        <w:rPr>
          <w:rFonts w:cstheme="minorHAnsi"/>
        </w:rPr>
        <w:fldChar w:fldCharType="begin"/>
      </w:r>
      <w:r w:rsidRPr="000C6009">
        <w:rPr>
          <w:rFonts w:cstheme="minorHAnsi"/>
        </w:rPr>
        <w:instrText xml:space="preserve"> REF _Ref190769144 \h  \* MERGEFORMAT </w:instrText>
      </w:r>
      <w:r w:rsidRPr="000C6009">
        <w:rPr>
          <w:rFonts w:cstheme="minorHAnsi"/>
        </w:rPr>
      </w:r>
      <w:r w:rsidRPr="000C6009">
        <w:rPr>
          <w:rFonts w:cstheme="minorHAnsi"/>
        </w:rPr>
        <w:fldChar w:fldCharType="separate"/>
      </w:r>
      <w:r w:rsidR="00670903" w:rsidRPr="00670903">
        <w:rPr>
          <w:rFonts w:cstheme="minorHAnsi"/>
        </w:rPr>
        <w:t>Figura 2</w:t>
      </w:r>
      <w:r w:rsidRPr="000C6009">
        <w:rPr>
          <w:rFonts w:cstheme="minorHAnsi"/>
        </w:rPr>
        <w:fldChar w:fldCharType="end"/>
      </w:r>
      <w:r w:rsidRPr="000C6009">
        <w:rPr>
          <w:rFonts w:cstheme="minorHAnsi"/>
        </w:rPr>
        <w:t>).</w:t>
      </w:r>
    </w:p>
    <w:p w14:paraId="7F3F91F0" w14:textId="77777777" w:rsidR="00C42A5A" w:rsidRPr="000C6009" w:rsidRDefault="00C42A5A" w:rsidP="00C42A5A">
      <w:pPr>
        <w:spacing w:before="120" w:after="0" w:line="240" w:lineRule="auto"/>
        <w:jc w:val="center"/>
        <w:rPr>
          <w:rFonts w:cstheme="minorHAnsi"/>
          <w:color w:val="242424"/>
          <w:sz w:val="21"/>
          <w:szCs w:val="21"/>
          <w:bdr w:val="none" w:sz="0" w:space="0" w:color="auto" w:frame="1"/>
          <w:shd w:val="clear" w:color="auto" w:fill="FAFAFA"/>
        </w:rPr>
      </w:pPr>
      <w:r w:rsidRPr="000C6009">
        <w:rPr>
          <w:rFonts w:cstheme="minorHAnsi"/>
          <w:noProof/>
          <w:color w:val="242424"/>
          <w:sz w:val="21"/>
          <w:szCs w:val="21"/>
          <w:bdr w:val="none" w:sz="0" w:space="0" w:color="auto" w:frame="1"/>
          <w:shd w:val="clear" w:color="auto" w:fill="FAFAFA"/>
        </w:rPr>
        <w:drawing>
          <wp:inline distT="0" distB="0" distL="0" distR="0" wp14:anchorId="68A39412" wp14:editId="5883E818">
            <wp:extent cx="5029580" cy="3013385"/>
            <wp:effectExtent l="0" t="0" r="0" b="0"/>
            <wp:docPr id="469892682" name="Immagine 2"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92682" name="Immagine 2" descr="Immagine che contiene testo, schermata, Carattere, diagramma&#10;&#10;Descrizione generat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9474" cy="3025304"/>
                    </a:xfrm>
                    <a:prstGeom prst="rect">
                      <a:avLst/>
                    </a:prstGeom>
                    <a:noFill/>
                  </pic:spPr>
                </pic:pic>
              </a:graphicData>
            </a:graphic>
          </wp:inline>
        </w:drawing>
      </w:r>
    </w:p>
    <w:p w14:paraId="44CEA91C" w14:textId="0AB37F23" w:rsidR="00C42A5A" w:rsidRPr="000C6009" w:rsidRDefault="00C42A5A" w:rsidP="00C42A5A">
      <w:pPr>
        <w:pStyle w:val="Didascalia"/>
        <w:spacing w:before="120" w:after="0"/>
        <w:jc w:val="center"/>
        <w:rPr>
          <w:rFonts w:cstheme="minorHAnsi"/>
          <w:color w:val="003366"/>
          <w:szCs w:val="22"/>
        </w:rPr>
      </w:pPr>
      <w:bookmarkStart w:id="7" w:name="_Ref190769144"/>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2</w:t>
      </w:r>
      <w:r w:rsidRPr="000C6009">
        <w:rPr>
          <w:rFonts w:cstheme="minorHAnsi"/>
          <w:noProof/>
          <w:color w:val="003366"/>
        </w:rPr>
        <w:fldChar w:fldCharType="end"/>
      </w:r>
      <w:bookmarkEnd w:id="7"/>
      <w:r w:rsidRPr="000C6009">
        <w:rPr>
          <w:rFonts w:cstheme="minorHAnsi"/>
          <w:color w:val="003366"/>
        </w:rPr>
        <w:t xml:space="preserve"> – Work-flow del procedimento</w:t>
      </w:r>
    </w:p>
    <w:p w14:paraId="04AE5CB3" w14:textId="77777777" w:rsidR="00C42A5A" w:rsidRPr="000C6009" w:rsidRDefault="00C42A5A" w:rsidP="00C42A5A">
      <w:pPr>
        <w:pStyle w:val="Corpotesto"/>
        <w:spacing w:before="120" w:after="0" w:line="240" w:lineRule="auto"/>
        <w:rPr>
          <w:rFonts w:cstheme="minorHAnsi"/>
        </w:rPr>
      </w:pPr>
    </w:p>
    <w:p w14:paraId="3026FA86" w14:textId="77777777" w:rsidR="00C42A5A" w:rsidRPr="000C6009" w:rsidRDefault="00C42A5A" w:rsidP="00C42A5A">
      <w:pPr>
        <w:rPr>
          <w:rFonts w:cstheme="minorHAnsi"/>
          <w:color w:val="242424"/>
          <w:sz w:val="21"/>
          <w:szCs w:val="21"/>
          <w:bdr w:val="none" w:sz="0" w:space="0" w:color="auto" w:frame="1"/>
          <w:shd w:val="clear" w:color="auto" w:fill="FAFAFA"/>
        </w:rPr>
        <w:sectPr w:rsidR="00C42A5A" w:rsidRPr="000C6009" w:rsidSect="00C42A5A">
          <w:headerReference w:type="default" r:id="rId20"/>
          <w:footerReference w:type="default" r:id="rId21"/>
          <w:headerReference w:type="first" r:id="rId22"/>
          <w:footerReference w:type="first" r:id="rId23"/>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6265A2B2" w14:textId="77777777" w:rsidR="00C42A5A" w:rsidRPr="000C6009" w:rsidRDefault="00C42A5A" w:rsidP="00C42A5A">
      <w:pPr>
        <w:pStyle w:val="Titolo1"/>
        <w:spacing w:after="360"/>
        <w:ind w:left="431" w:hanging="431"/>
        <w:rPr>
          <w:rFonts w:asciiTheme="minorHAnsi" w:hAnsiTheme="minorHAnsi" w:cstheme="minorHAnsi"/>
        </w:rPr>
      </w:pPr>
      <w:bookmarkStart w:id="8" w:name="_Ref190356963"/>
      <w:bookmarkStart w:id="9" w:name="_Ref190357183"/>
      <w:bookmarkStart w:id="10" w:name="_Ref190680994"/>
      <w:bookmarkStart w:id="11" w:name="_Ref190681438"/>
      <w:bookmarkStart w:id="12" w:name="_Toc193374070"/>
      <w:bookmarkStart w:id="13" w:name="_Toc718640435"/>
      <w:bookmarkStart w:id="14" w:name="_Toc204616463"/>
      <w:bookmarkStart w:id="15" w:name="_Toc205213693"/>
      <w:r w:rsidRPr="000C6009">
        <w:rPr>
          <w:rFonts w:asciiTheme="minorHAnsi" w:hAnsiTheme="minorHAnsi" w:cstheme="minorHAnsi"/>
        </w:rPr>
        <w:lastRenderedPageBreak/>
        <w:t>Quadro di riferimento normativo</w:t>
      </w:r>
      <w:bookmarkEnd w:id="8"/>
      <w:bookmarkEnd w:id="9"/>
      <w:bookmarkEnd w:id="10"/>
      <w:bookmarkEnd w:id="11"/>
      <w:bookmarkEnd w:id="12"/>
      <w:bookmarkEnd w:id="13"/>
      <w:bookmarkEnd w:id="14"/>
      <w:bookmarkEnd w:id="15"/>
      <w:r w:rsidRPr="000C6009">
        <w:rPr>
          <w:rFonts w:asciiTheme="minorHAnsi" w:hAnsiTheme="minorHAnsi" w:cstheme="minorHAnsi"/>
        </w:rPr>
        <w:t xml:space="preserve"> </w:t>
      </w:r>
    </w:p>
    <w:p w14:paraId="701F7375" w14:textId="77777777" w:rsidR="00C42A5A" w:rsidRPr="000C6009" w:rsidRDefault="00C42A5A" w:rsidP="00C42A5A">
      <w:pPr>
        <w:pStyle w:val="Titolo2"/>
        <w:tabs>
          <w:tab w:val="clear" w:pos="1276"/>
          <w:tab w:val="left" w:pos="426"/>
        </w:tabs>
        <w:spacing w:line="360" w:lineRule="auto"/>
        <w:ind w:left="0" w:firstLine="0"/>
        <w:rPr>
          <w:rFonts w:asciiTheme="minorHAnsi" w:hAnsiTheme="minorHAnsi" w:cstheme="minorHAnsi"/>
        </w:rPr>
      </w:pPr>
      <w:bookmarkStart w:id="16" w:name="_Toc193374071"/>
      <w:bookmarkStart w:id="17" w:name="_Toc1330130003"/>
      <w:bookmarkStart w:id="18" w:name="_Toc204616464"/>
      <w:bookmarkStart w:id="19" w:name="_Toc205213694"/>
      <w:r w:rsidRPr="000C6009">
        <w:rPr>
          <w:rFonts w:asciiTheme="minorHAnsi" w:hAnsiTheme="minorHAnsi" w:cstheme="minorHAnsi"/>
        </w:rPr>
        <w:t xml:space="preserve">Breve </w:t>
      </w:r>
      <w:r w:rsidRPr="000C6009">
        <w:rPr>
          <w:rFonts w:asciiTheme="minorHAnsi" w:hAnsiTheme="minorHAnsi" w:cstheme="minorHAnsi"/>
          <w:i/>
        </w:rPr>
        <w:t>excursus</w:t>
      </w:r>
      <w:r w:rsidRPr="000C6009">
        <w:rPr>
          <w:rFonts w:asciiTheme="minorHAnsi" w:hAnsiTheme="minorHAnsi" w:cstheme="minorHAnsi"/>
        </w:rPr>
        <w:t xml:space="preserve"> sull’assetto normativo europeo e nazionale</w:t>
      </w:r>
      <w:bookmarkEnd w:id="16"/>
      <w:bookmarkEnd w:id="17"/>
      <w:bookmarkEnd w:id="18"/>
      <w:bookmarkEnd w:id="19"/>
    </w:p>
    <w:p w14:paraId="019D45D2" w14:textId="77777777" w:rsidR="00C42A5A" w:rsidRPr="000C6009" w:rsidRDefault="00C42A5A" w:rsidP="00C42A5A">
      <w:pPr>
        <w:pStyle w:val="Corpotesto"/>
        <w:spacing w:before="120" w:after="0" w:line="240" w:lineRule="auto"/>
        <w:rPr>
          <w:rFonts w:cstheme="minorHAnsi"/>
        </w:rPr>
      </w:pPr>
      <w:r w:rsidRPr="000C6009">
        <w:rPr>
          <w:rFonts w:cstheme="minorHAnsi"/>
        </w:rPr>
        <w:t>Per lo svolgimento dei propri compiti istituzionali AMP opera nel quadro normativo che nasce dalla regolamentazione Europea ed è attuato in Italia attraverso la legislazione nazionale, regionale e le deliberazioni emanate dall’Autorità di Regolazione dei Trasporti.</w:t>
      </w:r>
    </w:p>
    <w:p w14:paraId="098C3593" w14:textId="77777777" w:rsidR="00C42A5A" w:rsidRPr="000C6009" w:rsidRDefault="00C42A5A" w:rsidP="00C42A5A">
      <w:pPr>
        <w:pStyle w:val="Corpotesto"/>
        <w:spacing w:before="120" w:after="0" w:line="240" w:lineRule="auto"/>
        <w:rPr>
          <w:rFonts w:cstheme="minorHAnsi"/>
        </w:rPr>
      </w:pPr>
      <w:r w:rsidRPr="000C6009">
        <w:rPr>
          <w:rFonts w:cstheme="minorHAnsi"/>
        </w:rPr>
        <w:t xml:space="preserve">Si ritiene opportuno, prima di introdurre l’assetto normativo regionale, richiamare brevemente le seguenti norme: </w:t>
      </w:r>
    </w:p>
    <w:p w14:paraId="62F0094A" w14:textId="77777777" w:rsidR="00C42A5A" w:rsidRPr="000C6009" w:rsidRDefault="00C42A5A" w:rsidP="00C42A5A">
      <w:pPr>
        <w:pStyle w:val="Corpotesto"/>
        <w:spacing w:before="120" w:after="0" w:line="240" w:lineRule="auto"/>
        <w:rPr>
          <w:rFonts w:eastAsia="Times New Roman" w:cstheme="minorHAnsi"/>
        </w:rPr>
      </w:pPr>
      <w:r w:rsidRPr="000C6009">
        <w:rPr>
          <w:rFonts w:eastAsia="Times New Roman" w:cstheme="minorHAnsi"/>
          <w:u w:val="single"/>
        </w:rPr>
        <w:t>A livello europeo</w:t>
      </w:r>
      <w:r w:rsidRPr="000C6009">
        <w:rPr>
          <w:rFonts w:eastAsia="Times New Roman" w:cstheme="minorHAnsi"/>
        </w:rPr>
        <w:t xml:space="preserve">, il </w:t>
      </w:r>
      <w:r w:rsidRPr="000C6009">
        <w:rPr>
          <w:rFonts w:eastAsia="Times New Roman" w:cstheme="minorHAnsi"/>
          <w:b/>
          <w:bCs/>
        </w:rPr>
        <w:t>Regolamento UE 1370/2007</w:t>
      </w:r>
      <w:r w:rsidRPr="000C6009">
        <w:rPr>
          <w:rFonts w:eastAsia="Times New Roman" w:cstheme="minorHAnsi"/>
        </w:rPr>
        <w:t xml:space="preserve"> è il principale strumento che disciplina la gestione e l'affidamento dei servizi di TPL, promuovendo la trasparenza, la concorrenza e il rispetto delle normative sugli aiuti di Stato. Il regolamento stabilisce l'obbligo di pubblicità per i contratti di servizio pubblico e impone la pubblicazione annuale di relazioni da parte delle autorità competenti, come l’Agenzia.</w:t>
      </w:r>
    </w:p>
    <w:p w14:paraId="2DA14CC4" w14:textId="77777777" w:rsidR="00C42A5A" w:rsidRPr="000C6009" w:rsidRDefault="00C42A5A" w:rsidP="00C42A5A">
      <w:pPr>
        <w:pStyle w:val="Corpotesto"/>
        <w:spacing w:before="120" w:after="0" w:line="240" w:lineRule="auto"/>
        <w:rPr>
          <w:rFonts w:eastAsia="Times New Roman" w:cstheme="minorHAnsi"/>
        </w:rPr>
      </w:pPr>
      <w:r w:rsidRPr="000C6009">
        <w:rPr>
          <w:rFonts w:eastAsia="Times New Roman" w:cstheme="minorHAnsi"/>
          <w:u w:val="single"/>
        </w:rPr>
        <w:t>A livello nazionale</w:t>
      </w:r>
      <w:r w:rsidRPr="000C6009">
        <w:rPr>
          <w:rFonts w:eastAsia="Times New Roman" w:cstheme="minorHAnsi"/>
        </w:rPr>
        <w:t xml:space="preserve">, il </w:t>
      </w:r>
      <w:r w:rsidRPr="000C6009">
        <w:rPr>
          <w:rFonts w:eastAsia="Times New Roman" w:cstheme="minorHAnsi"/>
          <w:b/>
          <w:bCs/>
        </w:rPr>
        <w:t>Decreto Legislativo 422/1997</w:t>
      </w:r>
      <w:r w:rsidRPr="000C6009">
        <w:rPr>
          <w:rFonts w:eastAsia="Times New Roman" w:cstheme="minorHAnsi"/>
        </w:rPr>
        <w:t xml:space="preserve"> riforma il sistema del trasporto pubblico locale, trasferendo molte competenze dallo Stato alle regioni, che possono poi delegare agli enti locali. Questo decreto promuove un'organizzazione decentrata, favorendo una gestione integrata dei servizi e garantendo la sostenibilità economica e ambientale. </w:t>
      </w:r>
    </w:p>
    <w:p w14:paraId="200AB427" w14:textId="77777777" w:rsidR="00C42A5A" w:rsidRPr="000C6009" w:rsidRDefault="00C42A5A" w:rsidP="00C42A5A">
      <w:pPr>
        <w:pStyle w:val="Corpotesto"/>
        <w:spacing w:before="120" w:after="0" w:line="240" w:lineRule="auto"/>
        <w:rPr>
          <w:rFonts w:eastAsia="Times New Roman" w:cstheme="minorHAnsi"/>
        </w:rPr>
      </w:pPr>
      <w:r w:rsidRPr="000C6009">
        <w:rPr>
          <w:rFonts w:eastAsia="Times New Roman" w:cstheme="minorHAnsi"/>
        </w:rPr>
        <w:t xml:space="preserve">Il </w:t>
      </w:r>
      <w:r w:rsidRPr="000C6009">
        <w:rPr>
          <w:rFonts w:eastAsia="Times New Roman" w:cstheme="minorHAnsi"/>
          <w:b/>
          <w:bCs/>
        </w:rPr>
        <w:t>Decreto Ministeriale n. 157/2018</w:t>
      </w:r>
      <w:r w:rsidRPr="000C6009">
        <w:rPr>
          <w:rFonts w:eastAsia="Times New Roman" w:cstheme="minorHAnsi"/>
        </w:rPr>
        <w:t xml:space="preserve"> stabilisce i costi standard per i servizi di TPL, tenendo conto di fattori come la velocità commerciale e le condizioni geografiche, e promuove una gestione ottimale delle risorse per garantire l'efficienza del sistema di trasporto pubblico. </w:t>
      </w:r>
    </w:p>
    <w:p w14:paraId="55ADF171" w14:textId="77777777" w:rsidR="00C42A5A" w:rsidRPr="000C6009" w:rsidRDefault="00C42A5A" w:rsidP="00C42A5A">
      <w:pPr>
        <w:pStyle w:val="Corpotesto"/>
        <w:spacing w:before="120" w:after="0" w:line="240" w:lineRule="auto"/>
        <w:rPr>
          <w:rFonts w:eastAsia="Times New Roman" w:cstheme="minorHAnsi"/>
        </w:rPr>
      </w:pPr>
      <w:r w:rsidRPr="000C6009">
        <w:rPr>
          <w:rFonts w:eastAsia="Times New Roman" w:cstheme="minorHAnsi"/>
        </w:rPr>
        <w:t xml:space="preserve">Il </w:t>
      </w:r>
      <w:r w:rsidRPr="000C6009">
        <w:rPr>
          <w:rFonts w:eastAsia="Times New Roman" w:cstheme="minorHAnsi"/>
          <w:b/>
          <w:bCs/>
        </w:rPr>
        <w:t>Decreto Legislativo n. 201/2022</w:t>
      </w:r>
      <w:r w:rsidRPr="000C6009">
        <w:rPr>
          <w:rFonts w:eastAsia="Times New Roman" w:cstheme="minorHAnsi"/>
        </w:rPr>
        <w:t xml:space="preserve"> riordina la disciplina dei servizi pubblici locali, permettendo agli enti locali di scegliere tra diverse modalità di gestione, come l’affidamento a terzi, in house o tramite società miste. Per il TPL, l'integrazione con le normative europee è cruciale, e gli enti locali devono garantire la qualità del servizio e la tutela dei lavoratori. </w:t>
      </w:r>
    </w:p>
    <w:p w14:paraId="0D145B83" w14:textId="77777777" w:rsidR="00C42A5A" w:rsidRPr="000C6009" w:rsidRDefault="00C42A5A" w:rsidP="00C42A5A">
      <w:pPr>
        <w:pStyle w:val="Corpotesto"/>
        <w:spacing w:before="120" w:after="0" w:line="240" w:lineRule="auto"/>
        <w:rPr>
          <w:rFonts w:eastAsia="Times New Roman" w:cstheme="minorHAnsi"/>
        </w:rPr>
      </w:pPr>
      <w:r w:rsidRPr="000C6009">
        <w:rPr>
          <w:rFonts w:eastAsia="Times New Roman" w:cstheme="minorHAnsi"/>
        </w:rPr>
        <w:t xml:space="preserve">Le </w:t>
      </w:r>
      <w:r w:rsidRPr="000C6009">
        <w:rPr>
          <w:rFonts w:eastAsia="Times New Roman" w:cstheme="minorHAnsi"/>
          <w:b/>
          <w:bCs/>
        </w:rPr>
        <w:t>delibere dell'Autorità di Regolazione dei Trasporti (ART)</w:t>
      </w:r>
      <w:r w:rsidRPr="000C6009">
        <w:rPr>
          <w:rFonts w:eastAsia="Times New Roman" w:cstheme="minorHAnsi"/>
        </w:rPr>
        <w:t xml:space="preserve">, come le </w:t>
      </w:r>
      <w:r w:rsidRPr="000C6009">
        <w:rPr>
          <w:rFonts w:eastAsia="Times New Roman" w:cstheme="minorHAnsi"/>
          <w:b/>
        </w:rPr>
        <w:t>n. 154/2019, n. 53/2024, n. 64/2024 e n. 48/2017</w:t>
      </w:r>
      <w:r w:rsidRPr="000C6009">
        <w:rPr>
          <w:rFonts w:eastAsia="Times New Roman" w:cstheme="minorHAnsi"/>
        </w:rPr>
        <w:t>, stabiliscono i criteri per l'affidamento dei servizi di TPL, inclusa l'individuazione dei lotti di servizio. Queste delibere pongono un accento particolare sulla trasparenza, sulla partecipazione pubblica e sulla sostenibilità economica, e stabiliscono le modalità per la pianificazione e l'affidamento dei servizi.</w:t>
      </w:r>
    </w:p>
    <w:p w14:paraId="610773CD" w14:textId="77777777" w:rsidR="00C42A5A" w:rsidRPr="000C6009" w:rsidRDefault="00C42A5A" w:rsidP="00C42A5A">
      <w:pPr>
        <w:spacing w:before="120" w:after="0" w:line="240" w:lineRule="auto"/>
        <w:rPr>
          <w:rFonts w:eastAsia="Times New Roman" w:cstheme="minorHAnsi"/>
        </w:rPr>
      </w:pPr>
      <w:r w:rsidRPr="000C6009">
        <w:rPr>
          <w:rFonts w:eastAsia="Times New Roman" w:cstheme="minorHAnsi"/>
        </w:rPr>
        <w:t>In sintesi, la normativa europea e nazionale mira a garantire un sistema di trasporto pubblico locale efficiente, trasparente e sostenibile, favorendo la concorrenza, la pianificazione integrata e la partecipazione degli attori locali.</w:t>
      </w:r>
    </w:p>
    <w:p w14:paraId="75F256B0" w14:textId="77777777" w:rsidR="00C42A5A" w:rsidRPr="000C6009" w:rsidRDefault="00C42A5A" w:rsidP="00C42A5A">
      <w:pPr>
        <w:pStyle w:val="Titolo2"/>
        <w:tabs>
          <w:tab w:val="clear" w:pos="1276"/>
          <w:tab w:val="left" w:pos="426"/>
        </w:tabs>
        <w:spacing w:line="360" w:lineRule="auto"/>
        <w:ind w:left="0" w:firstLine="0"/>
        <w:rPr>
          <w:rFonts w:asciiTheme="minorHAnsi" w:hAnsiTheme="minorHAnsi" w:cstheme="minorHAnsi"/>
        </w:rPr>
      </w:pPr>
      <w:bookmarkStart w:id="20" w:name="_Toc193374072"/>
      <w:bookmarkStart w:id="21" w:name="_Ref193386147"/>
      <w:bookmarkStart w:id="22" w:name="_Toc1380117164"/>
      <w:bookmarkStart w:id="23" w:name="_Toc204616465"/>
      <w:bookmarkStart w:id="24" w:name="_Toc205213695"/>
      <w:r w:rsidRPr="000C6009">
        <w:rPr>
          <w:rFonts w:asciiTheme="minorHAnsi" w:hAnsiTheme="minorHAnsi" w:cstheme="minorHAnsi"/>
        </w:rPr>
        <w:t>Assetto normativo regionale</w:t>
      </w:r>
      <w:bookmarkEnd w:id="20"/>
      <w:bookmarkEnd w:id="21"/>
      <w:bookmarkEnd w:id="22"/>
      <w:bookmarkEnd w:id="23"/>
      <w:bookmarkEnd w:id="24"/>
    </w:p>
    <w:p w14:paraId="6CF48842" w14:textId="77777777" w:rsidR="00C42A5A" w:rsidRPr="000C6009" w:rsidRDefault="00C42A5A" w:rsidP="00C42A5A">
      <w:pPr>
        <w:pStyle w:val="Titolo3"/>
        <w:ind w:left="709"/>
        <w:rPr>
          <w:rFonts w:asciiTheme="minorHAnsi" w:hAnsiTheme="minorHAnsi" w:cstheme="minorHAnsi"/>
          <w:i w:val="0"/>
        </w:rPr>
      </w:pPr>
      <w:bookmarkStart w:id="25" w:name="_Toc155362333"/>
      <w:bookmarkStart w:id="26" w:name="_Toc193374073"/>
      <w:bookmarkStart w:id="27" w:name="_Toc527638480"/>
      <w:bookmarkStart w:id="28" w:name="_Toc204616466"/>
      <w:bookmarkStart w:id="29" w:name="_Toc205213696"/>
      <w:r w:rsidRPr="000C6009">
        <w:rPr>
          <w:rFonts w:asciiTheme="minorHAnsi" w:hAnsiTheme="minorHAnsi" w:cstheme="minorHAnsi"/>
        </w:rPr>
        <w:t>Le Leggi Regionali n. 1/2000</w:t>
      </w:r>
      <w:bookmarkEnd w:id="25"/>
      <w:r w:rsidRPr="000C6009">
        <w:rPr>
          <w:rFonts w:asciiTheme="minorHAnsi" w:hAnsiTheme="minorHAnsi" w:cstheme="minorHAnsi"/>
        </w:rPr>
        <w:t xml:space="preserve"> e n. 1/2015</w:t>
      </w:r>
      <w:bookmarkEnd w:id="26"/>
      <w:bookmarkEnd w:id="27"/>
      <w:bookmarkEnd w:id="28"/>
      <w:bookmarkEnd w:id="29"/>
    </w:p>
    <w:p w14:paraId="7C1C4296" w14:textId="77777777" w:rsidR="00C42A5A" w:rsidRPr="000C6009" w:rsidRDefault="00C42A5A" w:rsidP="00C42A5A">
      <w:pPr>
        <w:spacing w:before="120" w:after="0" w:line="240" w:lineRule="auto"/>
        <w:rPr>
          <w:rFonts w:cstheme="minorHAnsi"/>
        </w:rPr>
      </w:pPr>
      <w:bookmarkStart w:id="30" w:name="_Ref93327947"/>
      <w:bookmarkStart w:id="31" w:name="_Toc155362334"/>
      <w:r w:rsidRPr="000C6009">
        <w:rPr>
          <w:rFonts w:cstheme="minorHAnsi"/>
        </w:rPr>
        <w:t xml:space="preserve">Con la riforma introdotta dal </w:t>
      </w:r>
      <w:r w:rsidRPr="000C6009">
        <w:rPr>
          <w:rFonts w:cstheme="minorHAnsi"/>
          <w:bCs/>
          <w:i/>
        </w:rPr>
        <w:t>decreto legislativo n. 422</w:t>
      </w:r>
      <w:r w:rsidRPr="000C6009">
        <w:rPr>
          <w:rFonts w:cstheme="minorHAnsi"/>
          <w:bCs/>
        </w:rPr>
        <w:t xml:space="preserve"> del </w:t>
      </w:r>
      <w:r w:rsidRPr="000C6009">
        <w:rPr>
          <w:rFonts w:cstheme="minorHAnsi"/>
          <w:bCs/>
          <w:i/>
        </w:rPr>
        <w:t>19 novembre 1997</w:t>
      </w:r>
      <w:r w:rsidRPr="000C6009">
        <w:rPr>
          <w:rFonts w:cstheme="minorHAnsi"/>
          <w:b/>
          <w:bCs/>
        </w:rPr>
        <w:t xml:space="preserve">, </w:t>
      </w:r>
      <w:r w:rsidRPr="000C6009">
        <w:rPr>
          <w:rFonts w:cstheme="minorHAnsi"/>
        </w:rPr>
        <w:t>sono stati trasferiti alle Regioni tutti i compiti e le funzioni relative al trasporto pubblico locale e regionale.</w:t>
      </w:r>
    </w:p>
    <w:p w14:paraId="63336302" w14:textId="77777777" w:rsidR="00C42A5A" w:rsidRPr="000C6009" w:rsidRDefault="00C42A5A" w:rsidP="00C42A5A">
      <w:pPr>
        <w:spacing w:before="120" w:after="0" w:line="240" w:lineRule="auto"/>
        <w:rPr>
          <w:rFonts w:cstheme="minorHAnsi"/>
        </w:rPr>
      </w:pPr>
      <w:r w:rsidRPr="000C6009">
        <w:rPr>
          <w:rFonts w:cstheme="minorHAnsi"/>
          <w:u w:val="single"/>
        </w:rPr>
        <w:t>A livello regionale</w:t>
      </w:r>
      <w:r w:rsidRPr="000C6009">
        <w:rPr>
          <w:rFonts w:cstheme="minorHAnsi"/>
        </w:rPr>
        <w:t xml:space="preserve">, i principi di cui al succitato decreto legislativo sono stati recepiti con </w:t>
      </w:r>
      <w:r w:rsidRPr="000C6009">
        <w:rPr>
          <w:rFonts w:cstheme="minorHAnsi"/>
          <w:b/>
        </w:rPr>
        <w:t xml:space="preserve">la </w:t>
      </w:r>
      <w:r w:rsidRPr="000C6009">
        <w:rPr>
          <w:rFonts w:cstheme="minorHAnsi"/>
          <w:b/>
          <w:bCs/>
        </w:rPr>
        <w:t xml:space="preserve">legge </w:t>
      </w:r>
      <w:r w:rsidRPr="000C6009">
        <w:rPr>
          <w:rFonts w:cstheme="minorHAnsi"/>
          <w:b/>
          <w:bCs/>
          <w:i/>
        </w:rPr>
        <w:t>regionale n. 1</w:t>
      </w:r>
      <w:r w:rsidRPr="000C6009">
        <w:rPr>
          <w:rFonts w:cstheme="minorHAnsi"/>
          <w:b/>
        </w:rPr>
        <w:t xml:space="preserve"> del </w:t>
      </w:r>
      <w:r w:rsidRPr="000C6009">
        <w:rPr>
          <w:rFonts w:cstheme="minorHAnsi"/>
          <w:b/>
          <w:bCs/>
          <w:i/>
        </w:rPr>
        <w:t>4 gennaio 2000</w:t>
      </w:r>
      <w:r w:rsidRPr="000C6009">
        <w:rPr>
          <w:rFonts w:cstheme="minorHAnsi"/>
          <w:bCs/>
        </w:rPr>
        <w:t xml:space="preserve"> (L.R. n. 1/2000)</w:t>
      </w:r>
      <w:r w:rsidRPr="000C6009">
        <w:rPr>
          <w:rFonts w:cstheme="minorHAnsi"/>
          <w:b/>
          <w:bCs/>
        </w:rPr>
        <w:t xml:space="preserve">, </w:t>
      </w:r>
      <w:r w:rsidRPr="000C6009">
        <w:rPr>
          <w:rFonts w:cstheme="minorHAnsi"/>
        </w:rPr>
        <w:t>che attribuisce alla Regione le </w:t>
      </w:r>
      <w:r w:rsidRPr="000C6009">
        <w:rPr>
          <w:rFonts w:cstheme="minorHAnsi"/>
          <w:bCs/>
          <w:i/>
        </w:rPr>
        <w:t>funzioni di indirizzo, promozione, coordinamento e controllo di tutti i servizi di TPL</w:t>
      </w:r>
      <w:r w:rsidRPr="000C6009">
        <w:rPr>
          <w:rFonts w:cstheme="minorHAnsi"/>
        </w:rPr>
        <w:t xml:space="preserve"> al fine di garantire la necessaria </w:t>
      </w:r>
      <w:r w:rsidRPr="000C6009">
        <w:rPr>
          <w:rFonts w:cstheme="minorHAnsi"/>
        </w:rPr>
        <w:lastRenderedPageBreak/>
        <w:t xml:space="preserve">integrazione tra le diverse modalità di trasporto. La L.R. n. 1/2000 aveva individuato i soggetti ai quali delegare le competenze sul TPL: le province per servizi extraurbani provinciali (non ferroviari) e urbani dei comuni sotto i 30 mila abitanti e i Comuni con più di 30 mila abitanti per i propri servizi urbani. </w:t>
      </w:r>
    </w:p>
    <w:p w14:paraId="456A40EF" w14:textId="77777777" w:rsidR="00C42A5A" w:rsidRPr="000C6009" w:rsidRDefault="00C42A5A" w:rsidP="00C42A5A">
      <w:pPr>
        <w:spacing w:before="120" w:after="0" w:line="240" w:lineRule="auto"/>
        <w:rPr>
          <w:rFonts w:cstheme="minorHAnsi"/>
        </w:rPr>
      </w:pPr>
      <w:r w:rsidRPr="000C6009">
        <w:rPr>
          <w:rFonts w:cstheme="minorHAnsi"/>
          <w:u w:val="single"/>
        </w:rPr>
        <w:t>Per la conurbazione torinese,</w:t>
      </w:r>
      <w:r w:rsidRPr="000C6009">
        <w:rPr>
          <w:rFonts w:cstheme="minorHAnsi"/>
        </w:rPr>
        <w:t xml:space="preserve"> la legge istituiva l’</w:t>
      </w:r>
      <w:r w:rsidRPr="000C6009">
        <w:rPr>
          <w:rFonts w:cstheme="minorHAnsi"/>
          <w:i/>
        </w:rPr>
        <w:t>Agenzia per la Mobilità Metropolitana</w:t>
      </w:r>
      <w:r w:rsidRPr="000C6009">
        <w:rPr>
          <w:rFonts w:cstheme="minorHAnsi"/>
        </w:rPr>
        <w:t xml:space="preserve"> in forma di Consorzio tra Regione Piemonte, Provincia di Torino, Comune di Torino e 31 (ora 32</w:t>
      </w:r>
      <w:r w:rsidRPr="000C6009">
        <w:rPr>
          <w:rStyle w:val="Rimandonotaapidipagina"/>
          <w:rFonts w:cstheme="minorHAnsi"/>
        </w:rPr>
        <w:footnoteReference w:id="3"/>
      </w:r>
      <w:r w:rsidRPr="000C6009">
        <w:rPr>
          <w:rFonts w:cstheme="minorHAnsi"/>
        </w:rPr>
        <w:t xml:space="preserve">) Comuni di cintura.  Le competenze dell’Agenzia si estendevano sui servizi urbani nei Comuni consorziati, sui servizi extraurbani con sviluppo maggioritario nell’area della conurbazione e sui servizi ferroviari </w:t>
      </w:r>
      <w:r w:rsidRPr="000C6009">
        <w:rPr>
          <w:rFonts w:cstheme="minorHAnsi"/>
          <w:i/>
        </w:rPr>
        <w:t xml:space="preserve">Regionali </w:t>
      </w:r>
      <w:r w:rsidRPr="000C6009">
        <w:rPr>
          <w:rFonts w:cstheme="minorHAnsi"/>
        </w:rPr>
        <w:t xml:space="preserve">(locali) convergenti sul capoluogo regionale. </w:t>
      </w:r>
    </w:p>
    <w:p w14:paraId="1849D84F" w14:textId="77777777" w:rsidR="00C42A5A" w:rsidRPr="000C6009" w:rsidRDefault="00C42A5A" w:rsidP="00C42A5A">
      <w:pPr>
        <w:spacing w:before="120" w:after="0" w:line="240" w:lineRule="auto"/>
        <w:rPr>
          <w:rFonts w:cstheme="minorHAnsi"/>
        </w:rPr>
      </w:pPr>
      <w:r w:rsidRPr="000C6009">
        <w:rPr>
          <w:rFonts w:cstheme="minorHAnsi"/>
        </w:rPr>
        <w:t xml:space="preserve">La Regione Piemonte manteneva in prima persona le competenze sui servizi ferroviari </w:t>
      </w:r>
      <w:r w:rsidRPr="000C6009">
        <w:rPr>
          <w:rFonts w:cstheme="minorHAnsi"/>
          <w:i/>
        </w:rPr>
        <w:t>Regionali Veloci</w:t>
      </w:r>
      <w:r w:rsidRPr="000C6009">
        <w:rPr>
          <w:rFonts w:cstheme="minorHAnsi"/>
        </w:rPr>
        <w:t xml:space="preserve"> e </w:t>
      </w:r>
      <w:r w:rsidRPr="000C6009">
        <w:rPr>
          <w:rFonts w:cstheme="minorHAnsi"/>
          <w:i/>
        </w:rPr>
        <w:t>Regionali</w:t>
      </w:r>
      <w:r w:rsidRPr="000C6009">
        <w:rPr>
          <w:rFonts w:cstheme="minorHAnsi"/>
        </w:rPr>
        <w:t xml:space="preserve"> (locali) non convergenti su Torino e sui servizi extraurbani interprovinciali e regionali. Successivamente la Regione delegava anche queste competenze all’Agenzia divenendo “</w:t>
      </w:r>
      <w:r w:rsidRPr="000C6009">
        <w:rPr>
          <w:rFonts w:cstheme="minorHAnsi"/>
          <w:i/>
        </w:rPr>
        <w:t>Agenzia per la Mobilità che diveniva Metropolitana e Regionale</w:t>
      </w:r>
      <w:r w:rsidRPr="000C6009">
        <w:rPr>
          <w:rFonts w:cstheme="minorHAnsi"/>
          <w:iCs/>
        </w:rPr>
        <w:t>”</w:t>
      </w:r>
      <w:r w:rsidRPr="000C6009">
        <w:rPr>
          <w:rFonts w:cstheme="minorHAnsi"/>
          <w:i/>
        </w:rPr>
        <w:t xml:space="preserve"> </w:t>
      </w:r>
      <w:r w:rsidRPr="000C6009">
        <w:rPr>
          <w:rFonts w:cstheme="minorHAnsi"/>
          <w:iCs/>
        </w:rPr>
        <w:t>(L.R n. 10 del 11/07/2011)</w:t>
      </w:r>
      <w:r w:rsidRPr="000C6009">
        <w:rPr>
          <w:rFonts w:cstheme="minorHAnsi"/>
        </w:rPr>
        <w:t>.</w:t>
      </w:r>
    </w:p>
    <w:p w14:paraId="63FC0D1D" w14:textId="77777777" w:rsidR="00C42A5A" w:rsidRPr="000C6009" w:rsidRDefault="00C42A5A" w:rsidP="00C42A5A">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 xml:space="preserve">Con </w:t>
      </w:r>
      <w:r w:rsidRPr="000C6009">
        <w:rPr>
          <w:rFonts w:asciiTheme="minorHAnsi" w:hAnsiTheme="minorHAnsi" w:cstheme="minorHAnsi"/>
          <w:b/>
          <w:i/>
          <w:color w:val="000000" w:themeColor="text1"/>
          <w:sz w:val="22"/>
          <w:szCs w:val="22"/>
        </w:rPr>
        <w:t>l</w:t>
      </w:r>
      <w:r w:rsidRPr="000C6009">
        <w:rPr>
          <w:rStyle w:val="Enfasigrassetto"/>
          <w:rFonts w:asciiTheme="minorHAnsi" w:hAnsiTheme="minorHAnsi" w:cstheme="minorHAnsi"/>
          <w:i/>
          <w:color w:val="000000" w:themeColor="text1"/>
          <w:sz w:val="22"/>
          <w:szCs w:val="22"/>
        </w:rPr>
        <w:t xml:space="preserve">egge regionale n. 1 </w:t>
      </w:r>
      <w:r w:rsidRPr="000C6009">
        <w:rPr>
          <w:rStyle w:val="Enfasigrassetto"/>
          <w:rFonts w:asciiTheme="minorHAnsi" w:hAnsiTheme="minorHAnsi" w:cstheme="minorHAnsi"/>
          <w:color w:val="000000" w:themeColor="text1"/>
          <w:sz w:val="22"/>
          <w:szCs w:val="22"/>
        </w:rPr>
        <w:t>del</w:t>
      </w:r>
      <w:r w:rsidRPr="000C6009">
        <w:rPr>
          <w:rStyle w:val="Enfasigrassetto"/>
          <w:rFonts w:asciiTheme="minorHAnsi" w:hAnsiTheme="minorHAnsi" w:cstheme="minorHAnsi"/>
          <w:i/>
          <w:color w:val="000000" w:themeColor="text1"/>
          <w:sz w:val="22"/>
          <w:szCs w:val="22"/>
        </w:rPr>
        <w:t xml:space="preserve"> 27 gennaio 2015</w:t>
      </w:r>
      <w:r w:rsidRPr="000C6009">
        <w:rPr>
          <w:rStyle w:val="Enfasigrassetto"/>
          <w:rFonts w:asciiTheme="minorHAnsi" w:hAnsiTheme="minorHAnsi" w:cstheme="minorHAnsi"/>
          <w:color w:val="000000" w:themeColor="text1"/>
          <w:sz w:val="22"/>
          <w:szCs w:val="22"/>
        </w:rPr>
        <w:t xml:space="preserve"> (L.R. n. 1/2015)</w:t>
      </w:r>
      <w:r w:rsidRPr="000C6009">
        <w:rPr>
          <w:rFonts w:asciiTheme="minorHAnsi" w:hAnsiTheme="minorHAnsi" w:cstheme="minorHAnsi"/>
          <w:color w:val="000000" w:themeColor="text1"/>
          <w:sz w:val="22"/>
          <w:szCs w:val="22"/>
        </w:rPr>
        <w:t xml:space="preserve"> è stato ampliato l’ambito di operatività dell’</w:t>
      </w:r>
      <w:r w:rsidRPr="000C6009">
        <w:rPr>
          <w:rFonts w:asciiTheme="minorHAnsi" w:hAnsiTheme="minorHAnsi" w:cstheme="minorHAnsi"/>
          <w:i/>
          <w:color w:val="000000" w:themeColor="text1"/>
          <w:sz w:val="22"/>
          <w:szCs w:val="22"/>
        </w:rPr>
        <w:t>Agenzia per la Mobilità Metropolitana e Regionale</w:t>
      </w:r>
      <w:r w:rsidRPr="000C6009">
        <w:rPr>
          <w:rFonts w:asciiTheme="minorHAnsi" w:hAnsiTheme="minorHAnsi" w:cstheme="minorHAnsi"/>
          <w:color w:val="000000" w:themeColor="text1"/>
          <w:sz w:val="22"/>
          <w:szCs w:val="22"/>
        </w:rPr>
        <w:t xml:space="preserve"> definendo l’</w:t>
      </w:r>
      <w:r w:rsidRPr="000C6009">
        <w:rPr>
          <w:rFonts w:asciiTheme="minorHAnsi" w:hAnsiTheme="minorHAnsi" w:cstheme="minorHAnsi"/>
          <w:i/>
          <w:color w:val="000000" w:themeColor="text1"/>
          <w:sz w:val="22"/>
          <w:szCs w:val="22"/>
        </w:rPr>
        <w:t>Agenzia della mobilità piemontese</w:t>
      </w:r>
      <w:r w:rsidRPr="000C6009">
        <w:rPr>
          <w:rFonts w:asciiTheme="minorHAnsi" w:hAnsiTheme="minorHAnsi" w:cstheme="minorHAnsi"/>
          <w:color w:val="000000" w:themeColor="text1"/>
          <w:sz w:val="22"/>
          <w:szCs w:val="22"/>
        </w:rPr>
        <w:t xml:space="preserve"> quale ente pubblico di interesse regionale che mantiene la forma di consorzio per l’esercizio in forma obbligatoriamente associate delle funzioni degli enti territoriali in materia di TPL. Nell’</w:t>
      </w:r>
      <w:r w:rsidRPr="000C6009">
        <w:rPr>
          <w:rFonts w:asciiTheme="minorHAnsi" w:hAnsiTheme="minorHAnsi" w:cstheme="minorHAnsi"/>
          <w:i/>
          <w:color w:val="000000" w:themeColor="text1"/>
          <w:sz w:val="22"/>
          <w:szCs w:val="22"/>
        </w:rPr>
        <w:t>Agenzia della mobilità piemontese</w:t>
      </w:r>
      <w:r w:rsidRPr="000C6009">
        <w:rPr>
          <w:rFonts w:asciiTheme="minorHAnsi" w:hAnsiTheme="minorHAnsi" w:cstheme="minorHAnsi"/>
          <w:color w:val="000000" w:themeColor="text1"/>
          <w:sz w:val="22"/>
          <w:szCs w:val="22"/>
        </w:rPr>
        <w:t xml:space="preserve"> sono quindi entrati come consorziati i rimanenti soggetti di delega: le altre 7 Province piemontesi (Alessandria, Asti, Biella, Cuneo, Novara, Verbano Cusio Ossola, Vercelli) oltre quella di Torino (divenuta nel frattempo </w:t>
      </w:r>
      <w:r w:rsidRPr="000C6009">
        <w:rPr>
          <w:rFonts w:asciiTheme="minorHAnsi" w:hAnsiTheme="minorHAnsi" w:cstheme="minorHAnsi"/>
          <w:i/>
          <w:color w:val="000000" w:themeColor="text1"/>
          <w:sz w:val="22"/>
          <w:szCs w:val="22"/>
        </w:rPr>
        <w:t>Città Metropolitana</w:t>
      </w:r>
      <w:r w:rsidRPr="000C6009">
        <w:rPr>
          <w:rFonts w:asciiTheme="minorHAnsi" w:hAnsiTheme="minorHAnsi" w:cstheme="minorHAnsi"/>
          <w:color w:val="000000" w:themeColor="text1"/>
          <w:sz w:val="22"/>
          <w:szCs w:val="22"/>
        </w:rPr>
        <w:t xml:space="preserve">), gli altri 7 Comuni capoluogo di Provincia oltre Torino (Alessandria, Asti, Biella, Cuneo, Novara, Verbania, Vercelli), gli altri 5 Comuni con più di 30 mila abitanti (Alba, Bra, Casale Monferrato, Ivrea, Pinerolo) oltre quelli della conurbazione torinese già presenti. Su base volontaria è data facoltà di aderire all’Agenzia anche ai Comuni e alle Unioni di Comuni con popolazione compresa tra 15 mila e 30 mila abitanti. Attualmente, sono consorziati 9 di questi comuni (Acqui Terme, Carmagnola, Chivasso, Ciriè, Fossano, </w:t>
      </w:r>
      <w:r w:rsidRPr="000C6009">
        <w:rPr>
          <w:rFonts w:asciiTheme="minorHAnsi" w:hAnsiTheme="minorHAnsi" w:cstheme="minorHAnsi"/>
          <w:sz w:val="22"/>
          <w:szCs w:val="22"/>
        </w:rPr>
        <w:t>Giaveno</w:t>
      </w:r>
      <w:r w:rsidRPr="000C6009">
        <w:rPr>
          <w:rFonts w:asciiTheme="minorHAnsi" w:hAnsiTheme="minorHAnsi" w:cstheme="minorHAnsi"/>
          <w:color w:val="000000" w:themeColor="text1"/>
          <w:sz w:val="22"/>
          <w:szCs w:val="22"/>
        </w:rPr>
        <w:t>, Mondovì, Saluzzo, Savigliano</w:t>
      </w:r>
      <w:r w:rsidRPr="000C6009">
        <w:rPr>
          <w:rFonts w:asciiTheme="minorHAnsi" w:hAnsiTheme="minorHAnsi" w:cstheme="minorHAnsi"/>
          <w:sz w:val="22"/>
          <w:szCs w:val="22"/>
        </w:rPr>
        <w:t xml:space="preserve">) </w:t>
      </w:r>
      <w:r w:rsidRPr="000C6009">
        <w:rPr>
          <w:rFonts w:asciiTheme="minorHAnsi" w:hAnsiTheme="minorHAnsi" w:cstheme="minorHAnsi"/>
          <w:color w:val="000000" w:themeColor="text1"/>
          <w:sz w:val="22"/>
          <w:szCs w:val="22"/>
        </w:rPr>
        <w:t>oltre quelli della conurbazione torinese già presenti.</w:t>
      </w:r>
    </w:p>
    <w:p w14:paraId="578FF723" w14:textId="77777777" w:rsidR="00C42A5A" w:rsidRPr="000C6009" w:rsidRDefault="00C42A5A" w:rsidP="00C42A5A">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A seguito dell’entrata in vigore della L.R. 1/2015, la titolarità dei Contratti di Servizio per il TPL nella Regione Piemonte è passata in capo all’Agenzia.</w:t>
      </w:r>
    </w:p>
    <w:p w14:paraId="4908DF3E" w14:textId="77777777" w:rsidR="00C42A5A" w:rsidRPr="000C6009" w:rsidRDefault="00C42A5A" w:rsidP="00C42A5A">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Tra le attività cui è preposta l'Agenzia vi sono: pianificare le strategie di mobilità, programmare gli sviluppi e provvedere agli affidamenti dei servizi di Trasporto Pubblico, amministrare il sistema tariffario, stipulare e amministrare i contratti con le Aziende di trasporto (art. 8 comma 2 L.R. 1/2000).</w:t>
      </w:r>
    </w:p>
    <w:p w14:paraId="74692C14" w14:textId="17D70BFE" w:rsidR="00C42A5A" w:rsidRPr="000C6009" w:rsidRDefault="00C42A5A" w:rsidP="00C42A5A">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In particolare il </w:t>
      </w:r>
      <w:hyperlink r:id="rId24" w:anchor="art11-com1" w:tgtFrame="_blank" w:history="1">
        <w:r w:rsidRPr="000C6009">
          <w:rPr>
            <w:rFonts w:asciiTheme="minorHAnsi" w:hAnsiTheme="minorHAnsi" w:cstheme="minorHAnsi"/>
            <w:color w:val="000000" w:themeColor="text1"/>
            <w:sz w:val="22"/>
            <w:szCs w:val="22"/>
          </w:rPr>
          <w:t>comma 1 dell'articolo 11 della L.R. 1/2000</w:t>
        </w:r>
      </w:hyperlink>
      <w:r w:rsidRPr="000C6009">
        <w:rPr>
          <w:rFonts w:asciiTheme="minorHAnsi" w:hAnsiTheme="minorHAnsi" w:cstheme="minorHAnsi"/>
          <w:color w:val="000000" w:themeColor="text1"/>
          <w:sz w:val="22"/>
          <w:szCs w:val="22"/>
        </w:rPr>
        <w:t>,  così come riformulato dalla L.R. 1/2015, così recita</w:t>
      </w:r>
    </w:p>
    <w:p w14:paraId="01CD0450" w14:textId="77777777" w:rsidR="00C42A5A" w:rsidRPr="000C6009" w:rsidRDefault="00C42A5A" w:rsidP="00C42A5A">
      <w:pPr>
        <w:spacing w:before="120" w:after="0" w:line="240" w:lineRule="auto"/>
        <w:ind w:firstLine="284"/>
        <w:rPr>
          <w:rFonts w:cstheme="minorHAnsi"/>
          <w:color w:val="0F6FC6" w:themeColor="accent1"/>
        </w:rPr>
      </w:pPr>
      <w:r w:rsidRPr="000C6009">
        <w:rPr>
          <w:rFonts w:cstheme="minorHAnsi"/>
          <w:color w:val="0F6FC6" w:themeColor="accent1"/>
        </w:rPr>
        <w:t>L.R. 1/2000 – art. 11 comma 1</w:t>
      </w:r>
    </w:p>
    <w:p w14:paraId="312B2D15" w14:textId="77777777" w:rsidR="00C42A5A" w:rsidRPr="000C6009" w:rsidRDefault="00C42A5A" w:rsidP="00C42A5A">
      <w:pPr>
        <w:pStyle w:val="Stile5"/>
        <w:ind w:right="0"/>
        <w:rPr>
          <w:rFonts w:asciiTheme="minorHAnsi" w:hAnsiTheme="minorHAnsi" w:cstheme="minorHAnsi"/>
          <w:i/>
        </w:rPr>
      </w:pPr>
      <w:r w:rsidRPr="000C6009">
        <w:rPr>
          <w:rFonts w:asciiTheme="minorHAnsi" w:hAnsiTheme="minorHAnsi" w:cstheme="minorHAnsi"/>
          <w:i/>
        </w:rPr>
        <w:t>L'Agenzia della mobilità piemontese stipula i contratti di servizio con i soggetti aggiudicatari o affidatari, a seguito dell'espletamento, ai sensi dell'articolo 5, comma 1 bis, di gare con procedura ad evidenza pubblica o di altra forma di affidamento prevista dalla normativa comunitaria e nazionale vigente. I soggetti devono essere in possesso dei requisiti di idoneità morale, finanziaria e professionale richiesti, ai sensi della normativa vigente, per il conseguimento della prescritta abilitazione all'autotrasporto di viaggiatori su strada.</w:t>
      </w:r>
    </w:p>
    <w:p w14:paraId="606D4510" w14:textId="77777777" w:rsidR="00C42A5A" w:rsidRPr="000C6009" w:rsidRDefault="00C42A5A" w:rsidP="00C42A5A">
      <w:pPr>
        <w:pStyle w:val="Titolo3"/>
        <w:ind w:left="709"/>
        <w:rPr>
          <w:rFonts w:asciiTheme="minorHAnsi" w:hAnsiTheme="minorHAnsi" w:cstheme="minorHAnsi"/>
        </w:rPr>
      </w:pPr>
      <w:bookmarkStart w:id="32" w:name="_Toc193374074"/>
      <w:bookmarkStart w:id="33" w:name="_Toc204933232"/>
      <w:bookmarkStart w:id="34" w:name="_Toc204616467"/>
      <w:bookmarkStart w:id="35" w:name="_Toc205213697"/>
      <w:r w:rsidRPr="000C6009">
        <w:rPr>
          <w:rFonts w:asciiTheme="minorHAnsi" w:hAnsiTheme="minorHAnsi" w:cstheme="minorHAnsi"/>
        </w:rPr>
        <w:lastRenderedPageBreak/>
        <w:t>D.G.R. N. 17-4134/2012</w:t>
      </w:r>
      <w:bookmarkEnd w:id="32"/>
      <w:bookmarkEnd w:id="33"/>
      <w:bookmarkEnd w:id="34"/>
      <w:bookmarkEnd w:id="35"/>
    </w:p>
    <w:p w14:paraId="5AFF5DC3" w14:textId="77777777" w:rsidR="00C42A5A" w:rsidRPr="000C6009" w:rsidRDefault="00C42A5A" w:rsidP="00C42A5A">
      <w:pPr>
        <w:spacing w:before="120" w:after="0" w:line="240" w:lineRule="auto"/>
        <w:rPr>
          <w:rFonts w:cstheme="minorHAnsi"/>
        </w:rPr>
      </w:pPr>
      <w:r w:rsidRPr="000C6009">
        <w:rPr>
          <w:rFonts w:cstheme="minorHAnsi"/>
        </w:rPr>
        <w:t>Con D.G.R. n. 17‐4134 del 12 luglio 2012, la Giunta Regionale del Piemonte ha definito i Bacini ottimali ai sensi dell’art. 3 bis del D.L. 13 agosto 2011 n. 138, convertito, con modificazioni, dalla Legge 14 settembre 2011, n. 148. Sono stati quindi individuati 4 baci così distinti:</w:t>
      </w:r>
    </w:p>
    <w:p w14:paraId="11BCF1B6" w14:textId="77777777" w:rsidR="00C42A5A" w:rsidRPr="000C6009" w:rsidRDefault="00C42A5A" w:rsidP="00C42A5A">
      <w:pPr>
        <w:pStyle w:val="Paragrafoelenco"/>
        <w:numPr>
          <w:ilvl w:val="0"/>
          <w:numId w:val="19"/>
        </w:numPr>
        <w:spacing w:before="120" w:after="0" w:line="240" w:lineRule="auto"/>
        <w:rPr>
          <w:rFonts w:cstheme="minorHAnsi"/>
        </w:rPr>
      </w:pPr>
      <w:r w:rsidRPr="000C6009">
        <w:rPr>
          <w:rFonts w:cstheme="minorHAnsi"/>
        </w:rPr>
        <w:t>Bacino Metropolitano di Torino coincidente con l’ambito territoriale provinciale,</w:t>
      </w:r>
    </w:p>
    <w:p w14:paraId="18918DDD" w14:textId="77777777" w:rsidR="00C42A5A" w:rsidRPr="000C6009" w:rsidRDefault="00C42A5A" w:rsidP="00C42A5A">
      <w:pPr>
        <w:pStyle w:val="Paragrafoelenco"/>
        <w:numPr>
          <w:ilvl w:val="0"/>
          <w:numId w:val="19"/>
        </w:numPr>
        <w:spacing w:before="120" w:after="0" w:line="240" w:lineRule="auto"/>
        <w:rPr>
          <w:rFonts w:cstheme="minorHAnsi"/>
        </w:rPr>
      </w:pPr>
      <w:r w:rsidRPr="000C6009">
        <w:rPr>
          <w:rFonts w:cstheme="minorHAnsi"/>
        </w:rPr>
        <w:t>Bacino Sud coincidente con l’ambito territoriale della Provincia di Cuneo;</w:t>
      </w:r>
    </w:p>
    <w:p w14:paraId="22FC1A59" w14:textId="77777777" w:rsidR="00C42A5A" w:rsidRPr="000C6009" w:rsidRDefault="00C42A5A" w:rsidP="00C42A5A">
      <w:pPr>
        <w:pStyle w:val="Paragrafoelenco"/>
        <w:numPr>
          <w:ilvl w:val="0"/>
          <w:numId w:val="19"/>
        </w:numPr>
        <w:spacing w:before="120" w:after="0" w:line="240" w:lineRule="auto"/>
        <w:rPr>
          <w:rFonts w:cstheme="minorHAnsi"/>
        </w:rPr>
      </w:pPr>
      <w:r w:rsidRPr="000C6009">
        <w:rPr>
          <w:rFonts w:cstheme="minorHAnsi"/>
        </w:rPr>
        <w:t>Bacino Nord Est coincidente con gli ambiti amministrativi delle province di Biella, Novara, Vercelli e Verbano Cusio Ossola;</w:t>
      </w:r>
    </w:p>
    <w:p w14:paraId="3C8B919D" w14:textId="77777777" w:rsidR="00C42A5A" w:rsidRPr="000C6009" w:rsidRDefault="00C42A5A" w:rsidP="00C42A5A">
      <w:pPr>
        <w:pStyle w:val="Paragrafoelenco"/>
        <w:numPr>
          <w:ilvl w:val="0"/>
          <w:numId w:val="19"/>
        </w:numPr>
        <w:spacing w:before="120" w:after="0" w:line="240" w:lineRule="auto"/>
        <w:rPr>
          <w:rFonts w:cstheme="minorHAnsi"/>
        </w:rPr>
      </w:pPr>
      <w:r w:rsidRPr="000C6009">
        <w:rPr>
          <w:rFonts w:cstheme="minorHAnsi"/>
        </w:rPr>
        <w:t>Bacino Sud Est coincidente con gli ambiti amministrativi delle province di Alessandria e Asti.</w:t>
      </w:r>
    </w:p>
    <w:p w14:paraId="515E003D" w14:textId="77777777" w:rsidR="00C42A5A" w:rsidRPr="000C6009" w:rsidRDefault="00C42A5A" w:rsidP="00C42A5A">
      <w:pPr>
        <w:spacing w:before="120" w:after="0" w:line="240" w:lineRule="auto"/>
        <w:rPr>
          <w:rFonts w:cstheme="minorHAnsi"/>
        </w:rPr>
      </w:pPr>
      <w:r w:rsidRPr="000C6009">
        <w:rPr>
          <w:rFonts w:cstheme="minorHAnsi"/>
        </w:rPr>
        <w:t>All’interno di ciascun Bacino afferiscono i servizi e le risorse regionali per il finanziamento dei servizi minimi di trasporto pubblico locale assegnate dalla regione a ciascun Ente soggetto di delega rientrante nel bacino stesso.</w:t>
      </w:r>
    </w:p>
    <w:p w14:paraId="1E3BF396" w14:textId="77777777" w:rsidR="00C42A5A" w:rsidRPr="000C6009" w:rsidRDefault="00C42A5A" w:rsidP="00C42A5A">
      <w:pPr>
        <w:spacing w:before="120" w:after="0" w:line="240" w:lineRule="auto"/>
        <w:rPr>
          <w:rFonts w:eastAsia="Times New Roman" w:cstheme="minorHAnsi"/>
          <w:sz w:val="24"/>
          <w:szCs w:val="24"/>
        </w:rPr>
      </w:pPr>
      <w:r w:rsidRPr="000C6009">
        <w:rPr>
          <w:rFonts w:cstheme="minorHAnsi"/>
        </w:rPr>
        <w:t>Essi sono stati utilizzati per segmentare i servizi di trasporto non ferroviari e per definire l’architettura istituzionale dell'</w:t>
      </w:r>
      <w:r w:rsidRPr="000C6009">
        <w:rPr>
          <w:rFonts w:cstheme="minorHAnsi"/>
          <w:i/>
        </w:rPr>
        <w:t>Agenzia della Mobilità Piemontese</w:t>
      </w:r>
      <w:r w:rsidRPr="000C6009">
        <w:rPr>
          <w:rFonts w:cstheme="minorHAnsi"/>
        </w:rPr>
        <w:t xml:space="preserve">, evoluta dal 12 novembre 2015, dalla precedente </w:t>
      </w:r>
      <w:r w:rsidRPr="000C6009">
        <w:rPr>
          <w:rFonts w:cstheme="minorHAnsi"/>
          <w:i/>
        </w:rPr>
        <w:t>Agenzia per la Mobilità Metropolitana e Regionale</w:t>
      </w:r>
      <w:r w:rsidRPr="000C6009">
        <w:rPr>
          <w:rFonts w:eastAsia="Times New Roman" w:cstheme="minorHAnsi"/>
          <w:sz w:val="24"/>
          <w:szCs w:val="24"/>
        </w:rPr>
        <w:t>.</w:t>
      </w:r>
    </w:p>
    <w:p w14:paraId="7CFC89A5" w14:textId="77777777" w:rsidR="00C42A5A" w:rsidRPr="000C6009" w:rsidRDefault="00C42A5A" w:rsidP="00C42A5A">
      <w:pPr>
        <w:spacing w:before="120" w:after="0" w:line="240" w:lineRule="auto"/>
        <w:rPr>
          <w:rFonts w:cstheme="minorHAnsi"/>
        </w:rPr>
      </w:pPr>
      <w:r w:rsidRPr="000C6009">
        <w:rPr>
          <w:rFonts w:cstheme="minorHAnsi"/>
        </w:rPr>
        <w:t>Gli organi di governo del consorzio sono stati strutturati affinché tutti gli aderenti siano rappresentati in particolare lo statuto prevede:</w:t>
      </w:r>
    </w:p>
    <w:p w14:paraId="7F397C11" w14:textId="77777777" w:rsidR="00C42A5A" w:rsidRPr="000C6009" w:rsidRDefault="00C42A5A" w:rsidP="00C42A5A">
      <w:pPr>
        <w:pStyle w:val="Paragrafoelenco"/>
        <w:numPr>
          <w:ilvl w:val="0"/>
          <w:numId w:val="24"/>
        </w:numPr>
        <w:spacing w:before="120" w:after="0" w:line="240" w:lineRule="auto"/>
        <w:rPr>
          <w:rFonts w:cstheme="minorHAnsi"/>
        </w:rPr>
      </w:pPr>
      <w:r w:rsidRPr="000C6009">
        <w:rPr>
          <w:rFonts w:cstheme="minorHAnsi"/>
        </w:rPr>
        <w:t>un’Assemblea composta dai rappresentanti dei 62 enti aderenti nella persona del Sindaco o del Presidente.</w:t>
      </w:r>
    </w:p>
    <w:p w14:paraId="5B59A590" w14:textId="77777777" w:rsidR="00C42A5A" w:rsidRPr="000C6009" w:rsidRDefault="00C42A5A" w:rsidP="00C42A5A">
      <w:pPr>
        <w:pStyle w:val="Paragrafoelenco"/>
        <w:numPr>
          <w:ilvl w:val="0"/>
          <w:numId w:val="24"/>
        </w:numPr>
        <w:spacing w:before="120" w:after="0" w:line="240" w:lineRule="auto"/>
        <w:rPr>
          <w:rFonts w:cstheme="minorHAnsi"/>
        </w:rPr>
      </w:pPr>
      <w:r w:rsidRPr="000C6009">
        <w:rPr>
          <w:rFonts w:cstheme="minorHAnsi"/>
        </w:rPr>
        <w:t>un Consiglio di Amministrazione costituito da 4 rappresentanti uno per bacino di mobilità più un presidente nominato di concerto tra la Regione Piemonte e la Città di Torino.</w:t>
      </w:r>
    </w:p>
    <w:p w14:paraId="19317C3A" w14:textId="77777777" w:rsidR="00C42A5A" w:rsidRPr="000C6009" w:rsidRDefault="00C42A5A" w:rsidP="00C42A5A">
      <w:pPr>
        <w:spacing w:before="120" w:after="0" w:line="240" w:lineRule="auto"/>
        <w:rPr>
          <w:rFonts w:cstheme="minorHAnsi"/>
        </w:rPr>
      </w:pPr>
      <w:r w:rsidRPr="000C6009">
        <w:rPr>
          <w:rFonts w:cstheme="minorHAnsi"/>
        </w:rPr>
        <w:t>Ogni bacino ha una propria Assemblea presieduta dal rappresentante del bacino in Consiglio di Amministrazione e ad esse partecipano tutti gli enti consorziati appartenenti al bacino, alle assemblee di bacino sono sottoposti, prima dell’approvazione, gli schemi dei piani e dei programmi triennali di bacino, predisposti, in coerenza con il programma triennale dei servizi di trasporto pubblico regionale, dalle commissioni tecniche di bacino di concerto con l’Agenzia.</w:t>
      </w:r>
    </w:p>
    <w:p w14:paraId="1A777AAA" w14:textId="77777777" w:rsidR="00C42A5A" w:rsidRPr="000C6009" w:rsidRDefault="00C42A5A" w:rsidP="00C42A5A">
      <w:pPr>
        <w:spacing w:before="120" w:after="0" w:line="240" w:lineRule="auto"/>
        <w:rPr>
          <w:rFonts w:cstheme="minorHAnsi"/>
        </w:rPr>
      </w:pPr>
      <w:r w:rsidRPr="000C6009">
        <w:rPr>
          <w:rFonts w:cstheme="minorHAnsi"/>
        </w:rPr>
        <w:t>È inoltre istituito per statuto un Comitato tecnico composto dal Direttore Generale ed almeno 6 dirigenti competenti in materia di trasporti, uno in rappresentanza di Regione Piemonte, uno in rappresentanza del Comune di Torino e uno per ogni bacino designato dagli enti di appartenenza. Lo stesso si articola attraverso commissioni tecniche di bacino, composte dai dirigenti dei singoli enti afferenti al bacino coordinate dal rappresentante di bacino in seno al comitato.</w:t>
      </w:r>
    </w:p>
    <w:p w14:paraId="74A98B12" w14:textId="77777777" w:rsidR="00C42A5A" w:rsidRPr="000C6009" w:rsidRDefault="00C42A5A" w:rsidP="00C42A5A">
      <w:pPr>
        <w:pStyle w:val="Titolo3"/>
        <w:ind w:left="709"/>
        <w:rPr>
          <w:rFonts w:asciiTheme="minorHAnsi" w:hAnsiTheme="minorHAnsi" w:cstheme="minorHAnsi"/>
          <w:i w:val="0"/>
        </w:rPr>
      </w:pPr>
      <w:bookmarkStart w:id="36" w:name="_Toc193374075"/>
      <w:bookmarkStart w:id="37" w:name="_Ref193386102"/>
      <w:bookmarkStart w:id="38" w:name="_Toc1382273104"/>
      <w:bookmarkStart w:id="39" w:name="_Toc204616468"/>
      <w:bookmarkStart w:id="40" w:name="_Toc205213698"/>
      <w:r w:rsidRPr="000C6009">
        <w:rPr>
          <w:rFonts w:asciiTheme="minorHAnsi" w:hAnsiTheme="minorHAnsi" w:cstheme="minorHAnsi"/>
          <w:i w:val="0"/>
        </w:rPr>
        <w:t>D.G.R. n. 13-6608/2013</w:t>
      </w:r>
      <w:bookmarkEnd w:id="30"/>
      <w:bookmarkEnd w:id="31"/>
      <w:bookmarkEnd w:id="36"/>
      <w:bookmarkEnd w:id="37"/>
      <w:bookmarkEnd w:id="38"/>
      <w:bookmarkEnd w:id="39"/>
      <w:bookmarkEnd w:id="40"/>
      <w:r w:rsidRPr="000C6009">
        <w:rPr>
          <w:rFonts w:asciiTheme="minorHAnsi" w:hAnsiTheme="minorHAnsi" w:cstheme="minorHAnsi"/>
          <w:i w:val="0"/>
        </w:rPr>
        <w:t xml:space="preserve"> </w:t>
      </w:r>
    </w:p>
    <w:p w14:paraId="27491E09" w14:textId="77777777" w:rsidR="00C42A5A" w:rsidRPr="000C6009" w:rsidRDefault="00C42A5A" w:rsidP="00C42A5A">
      <w:pPr>
        <w:spacing w:before="120" w:after="0" w:line="240" w:lineRule="auto"/>
        <w:rPr>
          <w:rFonts w:cstheme="minorHAnsi"/>
        </w:rPr>
      </w:pPr>
      <w:r w:rsidRPr="000C6009">
        <w:rPr>
          <w:rFonts w:cstheme="minorHAnsi"/>
        </w:rPr>
        <w:t xml:space="preserve">ll </w:t>
      </w:r>
      <w:r w:rsidRPr="000C6009">
        <w:rPr>
          <w:rFonts w:cstheme="minorHAnsi"/>
          <w:b/>
        </w:rPr>
        <w:t>sistema tariffario</w:t>
      </w:r>
      <w:r w:rsidRPr="000C6009">
        <w:rPr>
          <w:rFonts w:cstheme="minorHAnsi"/>
        </w:rPr>
        <w:t xml:space="preserve"> per i servizi di TPL in Piemonte è disciplinato dall'</w:t>
      </w:r>
      <w:r w:rsidRPr="000C6009">
        <w:rPr>
          <w:rFonts w:cstheme="minorHAnsi"/>
          <w:b/>
        </w:rPr>
        <w:t>articolo 12 della L.R. 1/2000</w:t>
      </w:r>
      <w:r w:rsidRPr="000C6009">
        <w:rPr>
          <w:rFonts w:cstheme="minorHAnsi"/>
        </w:rPr>
        <w:t xml:space="preserve">, che assegna alla Giunta regionale il compito di definire, in collaborazione con gli Enti locali, la politica tariffaria in linea con principi di uniformità e integrazione tra i diversi sistemi di trasporto e con gli obiettivi di equilibrio tra ricavi e costi dei servizi. </w:t>
      </w:r>
    </w:p>
    <w:p w14:paraId="3B1219B5" w14:textId="77777777" w:rsidR="00C42A5A" w:rsidRPr="000C6009" w:rsidRDefault="00C42A5A" w:rsidP="00C42A5A">
      <w:pPr>
        <w:spacing w:before="120" w:after="0" w:line="240" w:lineRule="auto"/>
        <w:rPr>
          <w:rFonts w:cstheme="minorHAnsi"/>
        </w:rPr>
      </w:pPr>
      <w:r w:rsidRPr="000C6009">
        <w:rPr>
          <w:rFonts w:cstheme="minorHAnsi"/>
          <w:b/>
        </w:rPr>
        <w:t>La D.G.R. n. 13-6608/2013</w:t>
      </w:r>
      <w:r w:rsidRPr="000C6009">
        <w:rPr>
          <w:rFonts w:cstheme="minorHAnsi"/>
        </w:rPr>
        <w:t xml:space="preserve"> ha stabilito le </w:t>
      </w:r>
      <w:r w:rsidRPr="000C6009">
        <w:rPr>
          <w:rFonts w:cstheme="minorHAnsi"/>
          <w:b/>
        </w:rPr>
        <w:t xml:space="preserve">tariffe </w:t>
      </w:r>
      <w:r w:rsidRPr="000C6009">
        <w:rPr>
          <w:rFonts w:cstheme="minorHAnsi"/>
        </w:rPr>
        <w:t>dei servizi TPL e ha introdotto un meccanismo di adeguamento automatico basato sull'inflazione programmata. A partire dal 2015, le tariffe sono state incrementate annualmente in base all'inflazione programmata, con arrotondamenti specifici per biglietti e abbonamenti. Tuttavia, durante il 2020 e il 2021, tali adeguamenti non sono stati applicati a causa dell'emergenza COVID-19.</w:t>
      </w:r>
    </w:p>
    <w:p w14:paraId="407117CF" w14:textId="77777777" w:rsidR="00C42A5A" w:rsidRPr="000C6009" w:rsidRDefault="00C42A5A" w:rsidP="00C42A5A">
      <w:pPr>
        <w:spacing w:before="120" w:after="0" w:line="240" w:lineRule="auto"/>
        <w:rPr>
          <w:rFonts w:cstheme="minorHAnsi"/>
        </w:rPr>
      </w:pPr>
      <w:r w:rsidRPr="000C6009">
        <w:rPr>
          <w:rFonts w:cstheme="minorHAnsi"/>
        </w:rPr>
        <w:lastRenderedPageBreak/>
        <w:t>L'intesa tariffaria tra la Regione e gli Enti Locali avviene nell'Assemblea dell'Agenzia della mobilità piemontese, che ha deliberato, nel corso degli anni, diversi adeguamenti tariffari. Nel 2019 è stato approvato un aumento medio del 2,86%, mentre nel 2021 sono stati recepiti gli adeguamenti relativi agli anni precedenti, con un incremento medio dell'1,51%. Nel 2022 le tariffe sono state adeguate al tasso di inflazione programmata del 2022, con un aumento medio del 5,45% per i servizi automobilistici extraurbani. Nel 2023, è stato nuovamente applicato l'adeguamento automatico con decorrenza dal 1° luglio, portando a un incremento medio del 5,88%. Nel 2024 è stato approvato un aumento medio delle tariffe, rispetto ai livelli del 2023, del 3,61. Per l’adeguamento tariffario 2025 l’aumento medio applicato è dello 0,60%.</w:t>
      </w:r>
    </w:p>
    <w:p w14:paraId="4DAB3EFC" w14:textId="77777777" w:rsidR="00C42A5A" w:rsidRPr="000C6009" w:rsidRDefault="00C42A5A" w:rsidP="00C42A5A">
      <w:pPr>
        <w:spacing w:before="120" w:after="0" w:line="240" w:lineRule="auto"/>
        <w:rPr>
          <w:rFonts w:cstheme="minorHAnsi"/>
        </w:rPr>
      </w:pPr>
      <w:r w:rsidRPr="000C6009">
        <w:rPr>
          <w:rFonts w:cstheme="minorHAnsi"/>
        </w:rPr>
        <w:t>Gli aggiornamenti tariffari vengono calcolati sulla base delle revisioni periodiche dei tassi di inflazione programmata, indicati in apposite delibere e documenti ufficiali. Tali revisioni tengono conto delle variazioni introdotte nei documenti di programmazione economica e finanziaria, come DEF e NADEF, e sono dettagliate nelle tabelle allegate alle delibere dell'Assemblea</w:t>
      </w:r>
      <w:r w:rsidRPr="000C6009">
        <w:rPr>
          <w:rStyle w:val="Rimandonotaapidipagina"/>
          <w:rFonts w:cstheme="minorHAnsi"/>
        </w:rPr>
        <w:footnoteReference w:id="4"/>
      </w:r>
      <w:r w:rsidRPr="000C6009">
        <w:rPr>
          <w:rFonts w:cstheme="minorHAnsi"/>
        </w:rPr>
        <w:t>.</w:t>
      </w:r>
    </w:p>
    <w:p w14:paraId="3D9C1AC5" w14:textId="77777777" w:rsidR="00C42A5A" w:rsidRPr="000C6009" w:rsidRDefault="00C42A5A" w:rsidP="00C42A5A">
      <w:pPr>
        <w:pStyle w:val="Titolo3"/>
        <w:ind w:left="709"/>
        <w:rPr>
          <w:rFonts w:asciiTheme="minorHAnsi" w:hAnsiTheme="minorHAnsi" w:cstheme="minorHAnsi"/>
          <w:i w:val="0"/>
        </w:rPr>
      </w:pPr>
      <w:bookmarkStart w:id="41" w:name="_Toc193374076"/>
      <w:bookmarkStart w:id="42" w:name="_Toc99314454"/>
      <w:bookmarkStart w:id="43" w:name="_Toc204616469"/>
      <w:bookmarkStart w:id="44" w:name="_Toc205213699"/>
      <w:r w:rsidRPr="000C6009">
        <w:rPr>
          <w:rFonts w:asciiTheme="minorHAnsi" w:hAnsiTheme="minorHAnsi" w:cstheme="minorHAnsi"/>
          <w:i w:val="0"/>
        </w:rPr>
        <w:t>D.G.R. n. 7-4621/2017</w:t>
      </w:r>
      <w:bookmarkEnd w:id="41"/>
      <w:bookmarkEnd w:id="42"/>
      <w:bookmarkEnd w:id="43"/>
      <w:bookmarkEnd w:id="44"/>
    </w:p>
    <w:p w14:paraId="28BBCD83" w14:textId="77777777" w:rsidR="00C42A5A" w:rsidRPr="000C6009" w:rsidRDefault="00C42A5A" w:rsidP="00C42A5A">
      <w:pPr>
        <w:spacing w:before="120" w:after="0" w:line="240" w:lineRule="auto"/>
        <w:rPr>
          <w:rFonts w:cstheme="minorHAnsi"/>
        </w:rPr>
      </w:pPr>
      <w:r w:rsidRPr="000C6009">
        <w:rPr>
          <w:rFonts w:cstheme="minorHAnsi"/>
        </w:rPr>
        <w:t>La Deliberazione della Giunta Regionale del Piemonte</w:t>
      </w:r>
      <w:r w:rsidRPr="000C6009">
        <w:rPr>
          <w:rFonts w:cstheme="minorHAnsi"/>
          <w:b/>
        </w:rPr>
        <w:t xml:space="preserve"> n. 7-4621/2017 </w:t>
      </w:r>
      <w:r w:rsidRPr="000C6009">
        <w:rPr>
          <w:rFonts w:cstheme="minorHAnsi"/>
        </w:rPr>
        <w:t xml:space="preserve">ha istituito il </w:t>
      </w:r>
      <w:r w:rsidRPr="000C6009">
        <w:rPr>
          <w:rFonts w:cstheme="minorHAnsi"/>
          <w:b/>
        </w:rPr>
        <w:t>Sistema Informativo Regionale Trasporti (SIRT) e regolamentato il Debito Informativo Trasporti (DIT)</w:t>
      </w:r>
      <w:r w:rsidRPr="000C6009">
        <w:rPr>
          <w:rFonts w:cstheme="minorHAnsi"/>
        </w:rPr>
        <w:t>, strumenti concepiti per supportare le attività funzionali della regione in materia di trasporti.</w:t>
      </w:r>
    </w:p>
    <w:p w14:paraId="47C7DB2E" w14:textId="77777777" w:rsidR="00C42A5A" w:rsidRPr="000C6009" w:rsidRDefault="00C42A5A" w:rsidP="00C42A5A">
      <w:pPr>
        <w:spacing w:before="120" w:after="0" w:line="240" w:lineRule="auto"/>
        <w:rPr>
          <w:rFonts w:cstheme="minorHAnsi"/>
        </w:rPr>
      </w:pPr>
      <w:r w:rsidRPr="000C6009">
        <w:rPr>
          <w:rFonts w:cstheme="minorHAnsi"/>
        </w:rPr>
        <w:t xml:space="preserve">Il SIRT è un sistema basato su banche dati specifiche definite nell’allegato tecnico della delibera stessa, che funge da riferimento per le funzioni di pianificazione, programmazione e controllo in materia di trasporto pubblico locale e regionale. </w:t>
      </w:r>
    </w:p>
    <w:p w14:paraId="59303D37" w14:textId="77777777" w:rsidR="00C42A5A" w:rsidRPr="000C6009" w:rsidRDefault="00C42A5A" w:rsidP="00C42A5A">
      <w:pPr>
        <w:spacing w:before="120" w:after="0" w:line="240" w:lineRule="auto"/>
        <w:rPr>
          <w:rFonts w:cstheme="minorHAnsi"/>
        </w:rPr>
      </w:pPr>
      <w:r w:rsidRPr="000C6009">
        <w:rPr>
          <w:rFonts w:cstheme="minorHAnsi"/>
        </w:rPr>
        <w:t>Il DIT, invece, obbliga enti e aziende del settore a fornire dati secondo flussi, tempistiche e modalità stabilite nel medesimo allegato, assicurando l’adempimento normativo tramite conformità con le indicazioni previste. Il monitoraggio è basato su modalità di certificazione dei singoli flussi informativi. La direzione regionale competente è dunque incaricata di aggiornare la documentazione tecnica e sviluppare indicatori per il monitoraggio del trasporto pubblico al fine di implementare un Cruscotto di Monitoraggio Regionale dei Trasporti (CMRT)</w:t>
      </w:r>
      <w:r w:rsidRPr="000C6009">
        <w:rPr>
          <w:rFonts w:cstheme="minorHAnsi"/>
          <w:vertAlign w:val="superscript"/>
        </w:rPr>
        <w:footnoteReference w:id="5"/>
      </w:r>
      <w:r w:rsidRPr="000C6009">
        <w:rPr>
          <w:rFonts w:cstheme="minorHAnsi"/>
        </w:rPr>
        <w:t xml:space="preserve"> con funzioni automatizzate per analisi e reportistica. In caso di inadempienze al DIT, sono previste sanzioni, incluse la sospensione del 5% delle compensazioni regionali durante il periodo di mancata conformità. Inoltre, la pubblicazione dei dati sarà soggetta alle normative in materia di trasparenza, secondo le linee guida dell'Autorità Nazionale Anticorruzione. </w:t>
      </w:r>
    </w:p>
    <w:p w14:paraId="2AA94817" w14:textId="77777777" w:rsidR="00C42A5A" w:rsidRPr="000C6009" w:rsidRDefault="00C42A5A" w:rsidP="00C42A5A">
      <w:pPr>
        <w:pStyle w:val="Titolo2"/>
        <w:tabs>
          <w:tab w:val="clear" w:pos="1276"/>
        </w:tabs>
        <w:ind w:left="567" w:hanging="567"/>
        <w:rPr>
          <w:rFonts w:asciiTheme="minorHAnsi" w:hAnsiTheme="minorHAnsi" w:cstheme="minorHAnsi"/>
        </w:rPr>
      </w:pPr>
      <w:bookmarkStart w:id="45" w:name="_Ref93326321"/>
      <w:bookmarkStart w:id="46" w:name="_Toc155362336"/>
      <w:bookmarkStart w:id="47" w:name="_Toc193374077"/>
      <w:bookmarkStart w:id="48" w:name="_Toc1870428770"/>
      <w:bookmarkStart w:id="49" w:name="_Toc204616470"/>
      <w:bookmarkStart w:id="50" w:name="_Toc205213700"/>
      <w:r w:rsidRPr="000C6009">
        <w:rPr>
          <w:rFonts w:asciiTheme="minorHAnsi" w:hAnsiTheme="minorHAnsi" w:cstheme="minorHAnsi"/>
        </w:rPr>
        <w:t>Quadro di riferimento per la pianificazione del sistema di trasporto pubblico regionale</w:t>
      </w:r>
      <w:bookmarkEnd w:id="45"/>
      <w:bookmarkEnd w:id="46"/>
      <w:bookmarkEnd w:id="47"/>
      <w:bookmarkEnd w:id="48"/>
      <w:bookmarkEnd w:id="49"/>
      <w:bookmarkEnd w:id="50"/>
      <w:r w:rsidRPr="000C6009">
        <w:rPr>
          <w:rFonts w:asciiTheme="minorHAnsi" w:hAnsiTheme="minorHAnsi" w:cstheme="minorHAnsi"/>
        </w:rPr>
        <w:t xml:space="preserve"> </w:t>
      </w:r>
    </w:p>
    <w:p w14:paraId="3B3F5D6B" w14:textId="77777777" w:rsidR="00C42A5A" w:rsidRPr="000C6009" w:rsidRDefault="00C42A5A" w:rsidP="00C42A5A">
      <w:pPr>
        <w:spacing w:before="120" w:after="0" w:line="240" w:lineRule="auto"/>
        <w:rPr>
          <w:rFonts w:cstheme="minorHAnsi"/>
        </w:rPr>
      </w:pPr>
      <w:bookmarkStart w:id="51" w:name="_Ref92961403"/>
      <w:bookmarkStart w:id="52" w:name="_Ref92961414"/>
      <w:bookmarkStart w:id="53" w:name="_Ref93325217"/>
      <w:bookmarkStart w:id="54" w:name="_Toc155362337"/>
      <w:r w:rsidRPr="000C6009">
        <w:rPr>
          <w:rFonts w:cstheme="minorHAnsi"/>
        </w:rPr>
        <w:t xml:space="preserve">A livello regionale, sono previsti due principali livelli di pianificazione: il piano strategico e i piani di settore. Il piano strategico fissa gli obiettivi di lungo periodo e ha come strumento di riferimento il </w:t>
      </w:r>
      <w:r w:rsidRPr="000C6009">
        <w:rPr>
          <w:rFonts w:cstheme="minorHAnsi"/>
          <w:b/>
        </w:rPr>
        <w:t>Piano Regionale della Mobilità e dei Trasporti</w:t>
      </w:r>
      <w:r w:rsidRPr="000C6009">
        <w:rPr>
          <w:rFonts w:cstheme="minorHAnsi"/>
        </w:rPr>
        <w:t xml:space="preserve"> (PRMT). I piani di settore, invece, definiscono le caratteristiche che il sistema dei trasporti deve assumere nel medio periodo per raggiungere tali obiettivi, in Piemonte sono stati declinati nel </w:t>
      </w:r>
      <w:r w:rsidRPr="000C6009">
        <w:rPr>
          <w:rFonts w:cstheme="minorHAnsi"/>
          <w:b/>
          <w:i/>
        </w:rPr>
        <w:t>Piano Regionale per la Mobilità delle Persone</w:t>
      </w:r>
      <w:r w:rsidRPr="000C6009">
        <w:rPr>
          <w:rFonts w:cstheme="minorHAnsi"/>
        </w:rPr>
        <w:t xml:space="preserve"> (PrMoP), nel </w:t>
      </w:r>
      <w:r w:rsidRPr="000C6009">
        <w:rPr>
          <w:rFonts w:cstheme="minorHAnsi"/>
          <w:b/>
          <w:i/>
        </w:rPr>
        <w:t>Piano Regionale della Logistica</w:t>
      </w:r>
      <w:r w:rsidRPr="000C6009">
        <w:rPr>
          <w:rFonts w:cstheme="minorHAnsi"/>
        </w:rPr>
        <w:t xml:space="preserve"> (PrLog) e nel </w:t>
      </w:r>
      <w:r w:rsidRPr="000C6009">
        <w:rPr>
          <w:rFonts w:cstheme="minorHAnsi"/>
          <w:b/>
          <w:bCs/>
          <w:i/>
        </w:rPr>
        <w:t>Piano Regionale della Mobilità Ciclistica</w:t>
      </w:r>
      <w:r w:rsidRPr="000C6009">
        <w:rPr>
          <w:rFonts w:cstheme="minorHAnsi"/>
        </w:rPr>
        <w:t> (PRMC).</w:t>
      </w:r>
    </w:p>
    <w:p w14:paraId="08EF9B28" w14:textId="77777777" w:rsidR="00C42A5A" w:rsidRPr="000C6009" w:rsidRDefault="00C42A5A" w:rsidP="00C42A5A">
      <w:pPr>
        <w:pStyle w:val="Titolo3"/>
        <w:ind w:left="709"/>
        <w:rPr>
          <w:rFonts w:asciiTheme="minorHAnsi" w:hAnsiTheme="minorHAnsi" w:cstheme="minorHAnsi"/>
          <w:i w:val="0"/>
        </w:rPr>
      </w:pPr>
      <w:bookmarkStart w:id="55" w:name="_Toc155362338"/>
      <w:bookmarkStart w:id="56" w:name="_Toc193374078"/>
      <w:bookmarkStart w:id="57" w:name="_Toc389641052"/>
      <w:bookmarkStart w:id="58" w:name="_Toc204616471"/>
      <w:bookmarkStart w:id="59" w:name="_Toc205213701"/>
      <w:bookmarkEnd w:id="51"/>
      <w:bookmarkEnd w:id="52"/>
      <w:bookmarkEnd w:id="53"/>
      <w:bookmarkEnd w:id="54"/>
      <w:r w:rsidRPr="000C6009">
        <w:rPr>
          <w:rFonts w:asciiTheme="minorHAnsi" w:hAnsiTheme="minorHAnsi" w:cstheme="minorHAnsi"/>
          <w:i w:val="0"/>
        </w:rPr>
        <w:lastRenderedPageBreak/>
        <w:t>Il Piano Regionale della Mobilità e dei Trasporti</w:t>
      </w:r>
      <w:bookmarkEnd w:id="55"/>
      <w:bookmarkEnd w:id="56"/>
      <w:bookmarkEnd w:id="57"/>
      <w:bookmarkEnd w:id="58"/>
      <w:bookmarkEnd w:id="59"/>
      <w:r w:rsidRPr="000C6009">
        <w:rPr>
          <w:rFonts w:asciiTheme="minorHAnsi" w:hAnsiTheme="minorHAnsi" w:cstheme="minorHAnsi"/>
          <w:i w:val="0"/>
        </w:rPr>
        <w:t xml:space="preserve"> </w:t>
      </w:r>
    </w:p>
    <w:p w14:paraId="6B1FF35E" w14:textId="1D093C89"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Il PRMT, approvato con </w:t>
      </w:r>
      <w:hyperlink r:id="rId25" w:history="1">
        <w:r w:rsidRPr="000C6009">
          <w:rPr>
            <w:rFonts w:cstheme="minorHAnsi"/>
            <w:color w:val="000000" w:themeColor="text1"/>
          </w:rPr>
          <w:t>D.C.R. n. 256-2458/2018</w:t>
        </w:r>
      </w:hyperlink>
      <w:r w:rsidRPr="000C6009">
        <w:rPr>
          <w:rFonts w:cstheme="minorHAnsi"/>
          <w:color w:val="000000" w:themeColor="text1"/>
        </w:rPr>
        <w:t xml:space="preserve">, ragiona su un orizzonte temporale di lungo periodo, ha fissato le linee guida per lo sviluppo del settore e gli obiettivi da raggiungere al 2020, 2030 e 2050.  </w:t>
      </w:r>
    </w:p>
    <w:p w14:paraId="43C852F0"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Le strategie del PRMT mirano a incrementare:</w:t>
      </w:r>
    </w:p>
    <w:p w14:paraId="77228957"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la sicurezza di cittadini e imprese (protezione e incolumità);</w:t>
      </w:r>
    </w:p>
    <w:p w14:paraId="02FBCBBD"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l’accessibilità (disponibilità di reti, fruibilità di servizi, accessibilità alle informazioni, integrazione dei sistemi);</w:t>
      </w:r>
    </w:p>
    <w:p w14:paraId="10C3D254"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l’efficacia (utilità del sistema, qualità dell’offerta);</w:t>
      </w:r>
    </w:p>
    <w:p w14:paraId="43688AA1"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l’efficienza (razionalizzazione della spesa, internalizzazione dei costi esterni);</w:t>
      </w:r>
    </w:p>
    <w:p w14:paraId="1C9B101E"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l’attenzione agli impatti energetici e ambientali (riqualificazione energetica, uso razionale del suolo, limitazione delle emissioni, contenimento della produzione di rifiuti);</w:t>
      </w:r>
    </w:p>
    <w:p w14:paraId="03C60946"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il sostegno alle imprese (competitività, occupazione);</w:t>
      </w:r>
    </w:p>
    <w:p w14:paraId="5F5E62A6" w14:textId="77777777" w:rsidR="00C42A5A" w:rsidRPr="000C6009" w:rsidRDefault="00C42A5A" w:rsidP="00C42A5A">
      <w:pPr>
        <w:pStyle w:val="Paragrafoelenco"/>
        <w:numPr>
          <w:ilvl w:val="0"/>
          <w:numId w:val="16"/>
        </w:numPr>
        <w:spacing w:before="120" w:after="0" w:line="240" w:lineRule="auto"/>
        <w:ind w:left="426" w:hanging="426"/>
        <w:rPr>
          <w:rFonts w:cstheme="minorHAnsi"/>
          <w:color w:val="000000" w:themeColor="text1"/>
        </w:rPr>
      </w:pPr>
      <w:r w:rsidRPr="000C6009">
        <w:rPr>
          <w:rFonts w:cstheme="minorHAnsi"/>
          <w:color w:val="000000" w:themeColor="text1"/>
        </w:rPr>
        <w:t>la vivibilità del territorio e la qualità della vita (salvaguardia, recupero).</w:t>
      </w:r>
    </w:p>
    <w:p w14:paraId="42FB5831"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Il PRMT è lo strumento di riferimento a livello regionale per la definizione dei propri programmi di settore, delle gare e dei bandi in tema di trasporti, nonché lo strumento di indirizzo a cui gli enti locali devono attenersi per la pianificazione locale. Riconosce le relazioni tra mobilità e territorio e l’importanza di operare in settori e a livelli istituzionali diversi.</w:t>
      </w:r>
    </w:p>
    <w:p w14:paraId="3F731A21" w14:textId="77777777" w:rsidR="00C42A5A" w:rsidRPr="000C6009" w:rsidRDefault="00C42A5A" w:rsidP="00C42A5A">
      <w:pPr>
        <w:pStyle w:val="Titolo3"/>
        <w:ind w:left="709"/>
        <w:rPr>
          <w:rFonts w:asciiTheme="minorHAnsi" w:hAnsiTheme="minorHAnsi" w:cstheme="minorHAnsi"/>
          <w:i w:val="0"/>
        </w:rPr>
      </w:pPr>
      <w:bookmarkStart w:id="60" w:name="_Toc193374079"/>
      <w:bookmarkStart w:id="61" w:name="_Toc558792948"/>
      <w:bookmarkStart w:id="62" w:name="_Toc204616472"/>
      <w:bookmarkStart w:id="63" w:name="_Toc205213702"/>
      <w:r w:rsidRPr="000C6009">
        <w:rPr>
          <w:rFonts w:asciiTheme="minorHAnsi" w:hAnsiTheme="minorHAnsi" w:cstheme="minorHAnsi"/>
          <w:i w:val="0"/>
        </w:rPr>
        <w:t>I piani di settore del PRMT</w:t>
      </w:r>
      <w:bookmarkEnd w:id="60"/>
      <w:bookmarkEnd w:id="61"/>
      <w:bookmarkEnd w:id="62"/>
      <w:bookmarkEnd w:id="63"/>
    </w:p>
    <w:p w14:paraId="3DBE4505" w14:textId="77777777" w:rsidR="00C42A5A" w:rsidRPr="000C6009" w:rsidRDefault="00C42A5A" w:rsidP="00C42A5A">
      <w:pPr>
        <w:spacing w:before="120" w:after="0" w:line="240" w:lineRule="auto"/>
        <w:rPr>
          <w:rFonts w:cstheme="minorHAnsi"/>
          <w:color w:val="000000" w:themeColor="text1"/>
        </w:rPr>
      </w:pPr>
      <w:r w:rsidRPr="000C6009">
        <w:rPr>
          <w:rFonts w:cstheme="minorHAnsi"/>
          <w:b/>
          <w:color w:val="000000" w:themeColor="text1"/>
        </w:rPr>
        <w:t xml:space="preserve">Il Piano Regionale della Mobilità delle Persone (PrMoP) </w:t>
      </w:r>
      <w:r w:rsidRPr="000C6009">
        <w:rPr>
          <w:rFonts w:cstheme="minorHAnsi"/>
          <w:color w:val="000000" w:themeColor="text1"/>
        </w:rPr>
        <w:t xml:space="preserve">e il </w:t>
      </w:r>
      <w:r w:rsidRPr="000C6009">
        <w:rPr>
          <w:rFonts w:cstheme="minorHAnsi"/>
          <w:b/>
          <w:color w:val="000000" w:themeColor="text1"/>
        </w:rPr>
        <w:t>Piano Regionale della Logistica (PrLog),</w:t>
      </w:r>
      <w:r w:rsidRPr="000C6009">
        <w:rPr>
          <w:rFonts w:cstheme="minorHAnsi"/>
          <w:color w:val="000000" w:themeColor="text1"/>
        </w:rPr>
        <w:t xml:space="preserve"> </w:t>
      </w:r>
      <w:r w:rsidRPr="000C6009">
        <w:rPr>
          <w:rFonts w:cstheme="minorHAnsi"/>
        </w:rPr>
        <w:t xml:space="preserve">approvati con la </w:t>
      </w:r>
      <w:r w:rsidRPr="000C6009">
        <w:rPr>
          <w:rStyle w:val="Enfasigrassetto"/>
          <w:rFonts w:cstheme="minorHAnsi"/>
        </w:rPr>
        <w:t>D.G.R. n. 6-7459 del 25 settembre 2023</w:t>
      </w:r>
      <w:r w:rsidRPr="000C6009">
        <w:rPr>
          <w:rFonts w:cstheme="minorHAnsi"/>
        </w:rPr>
        <w:t>,</w:t>
      </w:r>
      <w:r w:rsidRPr="000C6009">
        <w:rPr>
          <w:rFonts w:cstheme="minorHAnsi"/>
          <w:color w:val="000000" w:themeColor="text1"/>
        </w:rPr>
        <w:t xml:space="preserve"> sono documenti chiave per la pianificazione della mobilità e della logistica in Piemonte. Entrambi, sviluppati con l'obiettivo di promuovere una mobilità sostenibile e un sistema logistico efficiente, definiscono strategie e azioni per il periodo fino al 2030. Il</w:t>
      </w:r>
      <w:r w:rsidRPr="000C6009">
        <w:rPr>
          <w:rFonts w:cstheme="minorHAnsi"/>
          <w:b/>
          <w:color w:val="000000" w:themeColor="text1"/>
        </w:rPr>
        <w:t xml:space="preserve"> PrMoP</w:t>
      </w:r>
      <w:r w:rsidRPr="000C6009">
        <w:rPr>
          <w:rFonts w:cstheme="minorHAnsi"/>
          <w:color w:val="000000" w:themeColor="text1"/>
        </w:rPr>
        <w:t xml:space="preserve"> si concentra sulla mobilità delle persone e propone diverse azioni per migliorare l'accessibilità e ridurre l'impatto ambientale dei trasporti. Si articola in diverse sezioni che includono un'analisi dell'assetto territoriale e delle criticità, la definizione delle azioni strategiche da intraprendere, e la gestione delle risorse. Include misure specifiche per integrare i trasporti urbani ed extraurbani, e promuove iniziative come il miglioramento del trasporto pubblico e la transizione verso forme di mobilità meno inquinanti. Il </w:t>
      </w:r>
      <w:r w:rsidRPr="000C6009">
        <w:rPr>
          <w:rFonts w:cstheme="minorHAnsi"/>
          <w:b/>
          <w:color w:val="000000" w:themeColor="text1"/>
        </w:rPr>
        <w:t>PrLog</w:t>
      </w:r>
      <w:r w:rsidRPr="000C6009">
        <w:rPr>
          <w:rFonts w:cstheme="minorHAnsi"/>
          <w:color w:val="000000" w:themeColor="text1"/>
        </w:rPr>
        <w:t>, invece, si occupa della logistica delle merci e propone interventi per migliorare l'efficienza del trasporto e della distribuzione delle merci nel Piemonte, facilitando anche la connessione con i principali</w:t>
      </w:r>
      <w:r w:rsidRPr="000C6009">
        <w:rPr>
          <w:rFonts w:cstheme="minorHAnsi"/>
          <w:i/>
          <w:color w:val="000000" w:themeColor="text1"/>
        </w:rPr>
        <w:t xml:space="preserve"> hub</w:t>
      </w:r>
      <w:r w:rsidRPr="000C6009">
        <w:rPr>
          <w:rFonts w:cstheme="minorHAnsi"/>
          <w:color w:val="000000" w:themeColor="text1"/>
        </w:rPr>
        <w:t xml:space="preserve"> logistici europei. Entrambi sono parte di una visione più ampia che mira ad un'evoluzione sostenibile del sistema di trasporto, in linea con le politiche europee e nazionali. </w:t>
      </w:r>
    </w:p>
    <w:p w14:paraId="476AB346"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I suddetti piani contengono 7 Linee Strategiche d’intervento così enucleate:</w:t>
      </w:r>
    </w:p>
    <w:p w14:paraId="636C51D4" w14:textId="77777777" w:rsidR="00C42A5A" w:rsidRPr="000C6009" w:rsidRDefault="00C42A5A" w:rsidP="00C42A5A">
      <w:pPr>
        <w:pStyle w:val="Paragrafoelenco"/>
        <w:numPr>
          <w:ilvl w:val="0"/>
          <w:numId w:val="23"/>
        </w:numPr>
        <w:spacing w:before="120" w:after="0" w:line="240" w:lineRule="auto"/>
        <w:rPr>
          <w:rFonts w:cstheme="minorHAnsi"/>
          <w:color w:val="000000" w:themeColor="text1"/>
        </w:rPr>
      </w:pPr>
      <w:r w:rsidRPr="000C6009">
        <w:rPr>
          <w:rFonts w:cstheme="minorHAnsi"/>
          <w:color w:val="000000" w:themeColor="text1"/>
        </w:rPr>
        <w:t>LsA1 Protezione del contesto – LsA2 Incolumità delle persone;</w:t>
      </w:r>
    </w:p>
    <w:p w14:paraId="4D8C2435" w14:textId="77777777" w:rsidR="00C42A5A" w:rsidRPr="000C6009" w:rsidRDefault="00C42A5A" w:rsidP="00C42A5A">
      <w:pPr>
        <w:pStyle w:val="Paragrafoelenco"/>
        <w:numPr>
          <w:ilvl w:val="0"/>
          <w:numId w:val="23"/>
        </w:numPr>
        <w:spacing w:before="120" w:after="0" w:line="240" w:lineRule="auto"/>
        <w:rPr>
          <w:rFonts w:cstheme="minorHAnsi"/>
          <w:color w:val="000000" w:themeColor="text1"/>
        </w:rPr>
      </w:pPr>
      <w:r w:rsidRPr="000C6009">
        <w:rPr>
          <w:rFonts w:cstheme="minorHAnsi"/>
          <w:color w:val="000000" w:themeColor="text1"/>
        </w:rPr>
        <w:t>LsB1 Assetto gerarchico di reti, nodi e servizi di trasporto – LsB2 Integrazione dei sistemi per la mobilità;</w:t>
      </w:r>
    </w:p>
    <w:p w14:paraId="1455D834" w14:textId="77777777" w:rsidR="00C42A5A" w:rsidRPr="000C6009" w:rsidRDefault="00C42A5A" w:rsidP="00C42A5A">
      <w:pPr>
        <w:pStyle w:val="Paragrafoelenco"/>
        <w:numPr>
          <w:ilvl w:val="0"/>
          <w:numId w:val="23"/>
        </w:numPr>
        <w:spacing w:before="120" w:after="0" w:line="240" w:lineRule="auto"/>
        <w:rPr>
          <w:rFonts w:cstheme="minorHAnsi"/>
          <w:color w:val="000000" w:themeColor="text1"/>
        </w:rPr>
      </w:pPr>
      <w:r w:rsidRPr="000C6009">
        <w:rPr>
          <w:rFonts w:cstheme="minorHAnsi"/>
          <w:color w:val="000000" w:themeColor="text1"/>
        </w:rPr>
        <w:t>LsC Affidabilità ed efficacia dei servizi di trasporto pubblico locale;</w:t>
      </w:r>
    </w:p>
    <w:p w14:paraId="3C53F94A" w14:textId="77777777" w:rsidR="00C42A5A" w:rsidRPr="000C6009" w:rsidRDefault="00C42A5A" w:rsidP="00C42A5A">
      <w:pPr>
        <w:pStyle w:val="Paragrafoelenco"/>
        <w:numPr>
          <w:ilvl w:val="0"/>
          <w:numId w:val="23"/>
        </w:numPr>
        <w:spacing w:before="120" w:after="0" w:line="240" w:lineRule="auto"/>
        <w:rPr>
          <w:rFonts w:cstheme="minorHAnsi"/>
          <w:color w:val="000000" w:themeColor="text1"/>
        </w:rPr>
      </w:pPr>
      <w:r w:rsidRPr="000C6009">
        <w:rPr>
          <w:rFonts w:cstheme="minorHAnsi"/>
          <w:color w:val="000000" w:themeColor="text1"/>
        </w:rPr>
        <w:t>LsD Efficienza economica del sistema trasporti;</w:t>
      </w:r>
    </w:p>
    <w:p w14:paraId="7C8F60C6" w14:textId="77777777" w:rsidR="00C42A5A" w:rsidRPr="000C6009" w:rsidRDefault="00C42A5A" w:rsidP="00C42A5A">
      <w:pPr>
        <w:pStyle w:val="Paragrafoelenco"/>
        <w:numPr>
          <w:ilvl w:val="0"/>
          <w:numId w:val="23"/>
        </w:numPr>
        <w:spacing w:before="120" w:after="0" w:line="240" w:lineRule="auto"/>
        <w:rPr>
          <w:rFonts w:cstheme="minorHAnsi"/>
          <w:color w:val="000000" w:themeColor="text1"/>
        </w:rPr>
      </w:pPr>
      <w:r w:rsidRPr="000C6009">
        <w:rPr>
          <w:rFonts w:cstheme="minorHAnsi"/>
          <w:color w:val="000000" w:themeColor="text1"/>
        </w:rPr>
        <w:t>LsE Transizione energetica e ambientale dei trasporti;</w:t>
      </w:r>
    </w:p>
    <w:p w14:paraId="2380846B" w14:textId="77777777" w:rsidR="00C42A5A" w:rsidRPr="000C6009" w:rsidRDefault="00C42A5A" w:rsidP="00C42A5A">
      <w:pPr>
        <w:pStyle w:val="Paragrafoelenco"/>
        <w:numPr>
          <w:ilvl w:val="0"/>
          <w:numId w:val="23"/>
        </w:numPr>
        <w:autoSpaceDE w:val="0"/>
        <w:autoSpaceDN w:val="0"/>
        <w:adjustRightInd w:val="0"/>
        <w:spacing w:before="120" w:after="0" w:line="240" w:lineRule="auto"/>
        <w:jc w:val="left"/>
        <w:rPr>
          <w:rFonts w:cstheme="minorHAnsi"/>
        </w:rPr>
      </w:pPr>
      <w:r w:rsidRPr="000C6009">
        <w:rPr>
          <w:rFonts w:cstheme="minorHAnsi"/>
          <w:color w:val="000000" w:themeColor="text1"/>
        </w:rPr>
        <w:t>LsF Competitività delle imprese e sviluppo dell’occupazione;</w:t>
      </w:r>
    </w:p>
    <w:p w14:paraId="1464B359" w14:textId="77777777" w:rsidR="00C42A5A" w:rsidRPr="000C6009" w:rsidRDefault="00C42A5A" w:rsidP="00C42A5A">
      <w:pPr>
        <w:pStyle w:val="Paragrafoelenco"/>
        <w:numPr>
          <w:ilvl w:val="0"/>
          <w:numId w:val="23"/>
        </w:numPr>
        <w:autoSpaceDE w:val="0"/>
        <w:autoSpaceDN w:val="0"/>
        <w:adjustRightInd w:val="0"/>
        <w:spacing w:before="120" w:after="0" w:line="240" w:lineRule="auto"/>
        <w:jc w:val="left"/>
        <w:rPr>
          <w:rFonts w:cstheme="minorHAnsi"/>
          <w:color w:val="000000" w:themeColor="text1"/>
        </w:rPr>
      </w:pPr>
      <w:r w:rsidRPr="000C6009">
        <w:rPr>
          <w:rFonts w:cstheme="minorHAnsi"/>
          <w:color w:val="000000" w:themeColor="text1"/>
        </w:rPr>
        <w:t xml:space="preserve">LsG1 Fruizione sostenibile dell’ambiente naturale e </w:t>
      </w:r>
      <w:r w:rsidRPr="000C6009">
        <w:rPr>
          <w:rFonts w:cstheme="minorHAnsi"/>
        </w:rPr>
        <w:t>del patrimonio culturale- LsG2 Recupero e vivibilita degli spazi urbani</w:t>
      </w:r>
    </w:p>
    <w:p w14:paraId="764112D4"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lastRenderedPageBreak/>
        <w:t>Le linee LsB, LsC e LsD sono alla base della definizione dei futuri affidamenti dei servizi di trasporto pubblico locale.</w:t>
      </w:r>
    </w:p>
    <w:p w14:paraId="397C4361" w14:textId="49B8680E"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 xml:space="preserve">Inoltre, gli strumenti di piano qui descritti sono stati redatti tenendo a riferimento uno strumento di pianificazione trasversale che è il </w:t>
      </w:r>
      <w:r w:rsidRPr="000C6009">
        <w:rPr>
          <w:rFonts w:cstheme="minorHAnsi"/>
          <w:b/>
          <w:color w:val="000000" w:themeColor="text1"/>
        </w:rPr>
        <w:t>Piano Regionale della Mobilità Ciclistica</w:t>
      </w:r>
      <w:r w:rsidRPr="000C6009">
        <w:rPr>
          <w:rFonts w:cstheme="minorHAnsi"/>
          <w:i/>
          <w:color w:val="000000" w:themeColor="text1"/>
        </w:rPr>
        <w:t xml:space="preserve"> </w:t>
      </w:r>
      <w:r w:rsidRPr="000C6009">
        <w:rPr>
          <w:rFonts w:cstheme="minorHAnsi"/>
          <w:b/>
          <w:color w:val="000000" w:themeColor="text1"/>
        </w:rPr>
        <w:t>(PRMC)</w:t>
      </w:r>
      <w:r w:rsidRPr="000C6009">
        <w:rPr>
          <w:rFonts w:cstheme="minorHAnsi"/>
          <w:color w:val="000000" w:themeColor="text1"/>
        </w:rPr>
        <w:t xml:space="preserve"> previsto a livello nazionale dalla </w:t>
      </w:r>
      <w:hyperlink r:id="rId26" w:history="1">
        <w:r w:rsidRPr="000C6009">
          <w:rPr>
            <w:rFonts w:cstheme="minorHAnsi"/>
            <w:color w:val="000000" w:themeColor="text1"/>
          </w:rPr>
          <w:t>legge n.2/2018 </w:t>
        </w:r>
      </w:hyperlink>
      <w:r w:rsidRPr="000C6009">
        <w:rPr>
          <w:rFonts w:cstheme="minorHAnsi"/>
          <w:color w:val="000000" w:themeColor="text1"/>
        </w:rPr>
        <w:t>e adottato dalla regione Piemonte con D.G.R.  n. 14-6571 del 6/03/2023.</w:t>
      </w:r>
    </w:p>
    <w:p w14:paraId="6F31BD85"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Il Piano regionale per la mobilità delle persone, per quanto attiene le linee strategiche d’intervento legate ai servizi di trasporto pubblico locale è implementato attraverso la definizione di programmi pluriennali specifici descritti nel seguente paragrafo.</w:t>
      </w:r>
    </w:p>
    <w:p w14:paraId="62409CFD" w14:textId="77777777" w:rsidR="00C42A5A" w:rsidRPr="000C6009" w:rsidRDefault="00C42A5A" w:rsidP="00C42A5A">
      <w:pPr>
        <w:pStyle w:val="Titolo2"/>
        <w:tabs>
          <w:tab w:val="clear" w:pos="1276"/>
          <w:tab w:val="left" w:pos="426"/>
        </w:tabs>
        <w:spacing w:line="360" w:lineRule="auto"/>
        <w:ind w:left="0" w:firstLine="0"/>
        <w:rPr>
          <w:rFonts w:asciiTheme="minorHAnsi" w:hAnsiTheme="minorHAnsi" w:cstheme="minorHAnsi"/>
        </w:rPr>
      </w:pPr>
      <w:bookmarkStart w:id="64" w:name="_Toc193374080"/>
      <w:bookmarkStart w:id="65" w:name="_Toc1866630845"/>
      <w:bookmarkStart w:id="66" w:name="_Toc204616473"/>
      <w:bookmarkStart w:id="67" w:name="_Toc205213703"/>
      <w:r w:rsidRPr="000C6009">
        <w:rPr>
          <w:rFonts w:asciiTheme="minorHAnsi" w:hAnsiTheme="minorHAnsi" w:cstheme="minorHAnsi"/>
        </w:rPr>
        <w:t>Altri strumenti di pianificazione</w:t>
      </w:r>
      <w:bookmarkEnd w:id="64"/>
      <w:bookmarkEnd w:id="65"/>
      <w:bookmarkEnd w:id="66"/>
      <w:bookmarkEnd w:id="67"/>
    </w:p>
    <w:p w14:paraId="63D3718C" w14:textId="77777777" w:rsidR="00C42A5A" w:rsidRPr="000C6009" w:rsidRDefault="00C42A5A" w:rsidP="00C42A5A">
      <w:pPr>
        <w:spacing w:before="120" w:after="0" w:line="240" w:lineRule="auto"/>
        <w:rPr>
          <w:rFonts w:cstheme="minorHAnsi"/>
        </w:rPr>
      </w:pPr>
      <w:r w:rsidRPr="000C6009">
        <w:rPr>
          <w:rFonts w:cstheme="minorHAnsi"/>
        </w:rPr>
        <w:t xml:space="preserve">L’Agenzia, ritenendo opportuno che ogni Bacino definisca delle strategie di mobilità condivise tra tutti gli Enti afferenti ad esso e in linea con gli indirizzi contenuti del Piano Regionale della Mobilità e dei Trasporti, con Delibera del CdA n° 33 del 04/12/2023 ha approvato l’assegnazione delle risorse ai Bacini per la redazione del </w:t>
      </w:r>
      <w:r w:rsidRPr="000C6009">
        <w:rPr>
          <w:rFonts w:cstheme="minorHAnsi"/>
          <w:b/>
          <w:bCs/>
        </w:rPr>
        <w:t>Piano Integrato della Mobilità Pubblica e Accessibilità</w:t>
      </w:r>
      <w:r w:rsidRPr="000C6009">
        <w:rPr>
          <w:rFonts w:cstheme="minorHAnsi"/>
        </w:rPr>
        <w:t>. Oltre ad assegnare le risorse, al fine di avere strumenti di indirizzo e pianificazione omogenei ha definito i contenuti che dovranno essere presenti nei Piani.</w:t>
      </w:r>
    </w:p>
    <w:p w14:paraId="41B7E751" w14:textId="77777777" w:rsidR="00C42A5A" w:rsidRPr="000C6009" w:rsidRDefault="00C42A5A" w:rsidP="00C42A5A">
      <w:pPr>
        <w:spacing w:before="120" w:after="0" w:line="240" w:lineRule="auto"/>
        <w:rPr>
          <w:rFonts w:cstheme="minorHAnsi"/>
          <w:color w:val="000000" w:themeColor="text1"/>
        </w:rPr>
      </w:pPr>
      <w:r w:rsidRPr="000C6009">
        <w:rPr>
          <w:rFonts w:cstheme="minorHAnsi"/>
          <w:color w:val="000000" w:themeColor="text1"/>
        </w:rPr>
        <w:t>I Piani saranno definiti e approvati con tempistiche differenti per ciascun Bacino, ma l’implementazione delle strategie previste dagli enti territoriali avverrà in due momenti distinti come descritto di seguito:</w:t>
      </w:r>
    </w:p>
    <w:p w14:paraId="4731F800" w14:textId="77777777" w:rsidR="00C42A5A" w:rsidRPr="000C6009" w:rsidRDefault="00C42A5A" w:rsidP="00C42A5A">
      <w:pPr>
        <w:pStyle w:val="Paragrafoelenco"/>
        <w:numPr>
          <w:ilvl w:val="0"/>
          <w:numId w:val="36"/>
        </w:numPr>
        <w:spacing w:before="120" w:after="0" w:line="240" w:lineRule="auto"/>
        <w:rPr>
          <w:rFonts w:cstheme="minorHAnsi"/>
        </w:rPr>
      </w:pPr>
      <w:r w:rsidRPr="000C6009">
        <w:rPr>
          <w:rFonts w:cstheme="minorHAnsi"/>
        </w:rPr>
        <w:t>qualora il Piano sia temporalmente disponibile tra la pubblicazione del bando di gara e la sottoscrizione del contratto di servizio (CdS) sarà valutato, con l’azienda aggiudicataria, le modalità di attivazione delle strategie all’interno del nuovo contratto in coerenza con le formule di flessibilità contrattuali già previste nello schema di CdS pubblicato con il bando di gara;</w:t>
      </w:r>
    </w:p>
    <w:p w14:paraId="6303EF37" w14:textId="77777777" w:rsidR="00C42A5A" w:rsidRPr="000C6009" w:rsidRDefault="00C42A5A" w:rsidP="00C42A5A">
      <w:pPr>
        <w:pStyle w:val="Paragrafoelenco"/>
        <w:numPr>
          <w:ilvl w:val="0"/>
          <w:numId w:val="36"/>
        </w:numPr>
        <w:spacing w:before="120" w:after="0" w:line="240" w:lineRule="auto"/>
        <w:rPr>
          <w:rFonts w:cstheme="minorHAnsi"/>
        </w:rPr>
      </w:pPr>
      <w:r w:rsidRPr="000C6009">
        <w:rPr>
          <w:rFonts w:cstheme="minorHAnsi"/>
        </w:rPr>
        <w:t>qualora il Piano sia adottato o integrato successivamente all’avvio del contratto di servizio potrà essere percorsa la stessa modalità operativa descritta al punto precedente.</w:t>
      </w:r>
    </w:p>
    <w:p w14:paraId="28FCFB4E" w14:textId="1BC21721" w:rsidR="00C42A5A" w:rsidRPr="000C6009" w:rsidRDefault="00C42A5A" w:rsidP="00C42A5A">
      <w:pPr>
        <w:spacing w:before="120" w:after="0" w:line="240" w:lineRule="auto"/>
        <w:rPr>
          <w:rFonts w:cstheme="minorHAnsi"/>
        </w:rPr>
      </w:pPr>
      <w:r w:rsidRPr="000C6009">
        <w:rPr>
          <w:rFonts w:cstheme="minorHAnsi"/>
        </w:rPr>
        <w:t xml:space="preserve">Tuttavia, se il Piano fosse formalmente approvato in data utile all’inserimento della documentazione di gara, sarà richiesto alle imprese di predisporre proposte dello scenario base e/o dello scenario evolutivo comprendenti gli indirizzi del Piano, come meglio descritto nel paragrafo </w:t>
      </w:r>
      <w:r w:rsidRPr="000C6009">
        <w:rPr>
          <w:rFonts w:cstheme="minorHAnsi"/>
        </w:rPr>
        <w:fldChar w:fldCharType="begin"/>
      </w:r>
      <w:r w:rsidRPr="000C6009">
        <w:rPr>
          <w:rFonts w:cstheme="minorHAnsi"/>
        </w:rPr>
        <w:instrText xml:space="preserve"> REF _Ref197352178 \r \h  \* MERGEFORMAT </w:instrText>
      </w:r>
      <w:r w:rsidRPr="000C6009">
        <w:rPr>
          <w:rFonts w:cstheme="minorHAnsi"/>
        </w:rPr>
      </w:r>
      <w:r w:rsidRPr="000C6009">
        <w:rPr>
          <w:rFonts w:cstheme="minorHAnsi"/>
        </w:rPr>
        <w:fldChar w:fldCharType="separate"/>
      </w:r>
      <w:r w:rsidR="00670903" w:rsidRPr="00670903">
        <w:rPr>
          <w:rFonts w:cstheme="minorHAnsi"/>
          <w:b/>
          <w:bCs/>
        </w:rPr>
        <w:t>0</w:t>
      </w:r>
      <w:r w:rsidRPr="000C6009">
        <w:rPr>
          <w:rFonts w:cstheme="minorHAnsi"/>
        </w:rPr>
        <w:fldChar w:fldCharType="end"/>
      </w:r>
      <w:r w:rsidRPr="000C6009">
        <w:rPr>
          <w:rFonts w:cstheme="minorHAnsi"/>
        </w:rPr>
        <w:t>.</w:t>
      </w:r>
    </w:p>
    <w:p w14:paraId="0C41AF83" w14:textId="77777777" w:rsidR="00C42A5A" w:rsidRPr="000C6009" w:rsidRDefault="00C42A5A" w:rsidP="00C42A5A">
      <w:pPr>
        <w:spacing w:before="120" w:after="0" w:line="240" w:lineRule="auto"/>
        <w:rPr>
          <w:rFonts w:cstheme="minorHAnsi"/>
        </w:rPr>
      </w:pPr>
      <w:r w:rsidRPr="000C6009">
        <w:rPr>
          <w:rFonts w:cstheme="minorHAnsi"/>
          <w:u w:val="single"/>
        </w:rPr>
        <w:t>A livello di Bacino e provinciale</w:t>
      </w:r>
      <w:r w:rsidRPr="000C6009">
        <w:rPr>
          <w:rFonts w:cstheme="minorHAnsi"/>
        </w:rPr>
        <w:t xml:space="preserve"> sono previsti tre Piani Integrati della Mobilità Pubblica e Accessibilità; il Piano per il Bacino Sud è stato approvato dall’Assemblea del Bacino Sud nella seduta del 12/05/2025 ed è stato approvato dalla Provincia di Cuneo con Delibera del Consiglio Provinciale n° 27 del 28/05/2025; anche il CDA di AMP con delibera n. 15 del 06/06/2025 ha preso atto della approvazione e lo ha reso pubblico nella documentazione di gara.</w:t>
      </w:r>
    </w:p>
    <w:p w14:paraId="4EF6F5B4" w14:textId="77777777" w:rsidR="00C42A5A" w:rsidRPr="000C6009" w:rsidRDefault="00C42A5A" w:rsidP="00C42A5A">
      <w:pPr>
        <w:spacing w:before="120" w:after="0" w:line="240" w:lineRule="auto"/>
        <w:rPr>
          <w:rFonts w:cstheme="minorHAnsi"/>
        </w:rPr>
      </w:pPr>
      <w:r w:rsidRPr="000C6009">
        <w:rPr>
          <w:rFonts w:cstheme="minorHAnsi"/>
        </w:rPr>
        <w:t xml:space="preserve">Per il Bacino Sud Est e il Bacino Nord Est sono in corso le attività di definizione del Piano. Come per il Bacino Sud i futuri piani saranno approvati dalle rispettive Assemblee di Bacino nei prossimi mesi. </w:t>
      </w:r>
    </w:p>
    <w:p w14:paraId="733CCE4F" w14:textId="77777777" w:rsidR="00C42A5A" w:rsidRPr="000C6009" w:rsidRDefault="00C42A5A" w:rsidP="00C42A5A">
      <w:pPr>
        <w:spacing w:before="120" w:after="0" w:line="240" w:lineRule="auto"/>
        <w:rPr>
          <w:rFonts w:cstheme="minorHAnsi"/>
        </w:rPr>
      </w:pPr>
      <w:r w:rsidRPr="000C6009">
        <w:rPr>
          <w:rFonts w:cstheme="minorHAnsi"/>
          <w:u w:val="single"/>
        </w:rPr>
        <w:t>La Città Metropolitana</w:t>
      </w:r>
      <w:r w:rsidRPr="000C6009">
        <w:rPr>
          <w:rFonts w:cstheme="minorHAnsi"/>
        </w:rPr>
        <w:t xml:space="preserve"> ha già approvato il PUMS nel 2021 e sta sviluppando attualmente il proprio Piano dell’intermodalità e dell’accessibilità con l’obiettivo di migliorare l'efficacia e l'efficienza del sistema di mobilità attraverso un potenziamento del trasporto pubblico e della rete metropolitana, ridurre l'impatto ambientale promuovendo modalità di trasporto sostenibili e riducendo le emissioni di gas serra e garantire l'accessibilità e la sicurezza per tutti i cittadini.</w:t>
      </w:r>
    </w:p>
    <w:p w14:paraId="7EC39752" w14:textId="77777777" w:rsidR="00C42A5A" w:rsidRPr="000C6009" w:rsidRDefault="00C42A5A" w:rsidP="00C42A5A">
      <w:pPr>
        <w:spacing w:before="120" w:after="0" w:line="240" w:lineRule="auto"/>
        <w:rPr>
          <w:rFonts w:cstheme="minorHAnsi"/>
        </w:rPr>
      </w:pPr>
      <w:r w:rsidRPr="000C6009">
        <w:rPr>
          <w:rFonts w:cstheme="minorHAnsi"/>
          <w:u w:val="single"/>
        </w:rPr>
        <w:t>A livello comunale</w:t>
      </w:r>
      <w:r w:rsidRPr="000C6009">
        <w:rPr>
          <w:rFonts w:cstheme="minorHAnsi"/>
        </w:rPr>
        <w:t>, la città di Alessandria ha approvato il Piano Urbano della Mobilità Sostenibile con Delibera di Consiglio Comunale n. 31 del 10/06/2020</w:t>
      </w:r>
      <w:r w:rsidRPr="000C6009">
        <w:rPr>
          <w:rFonts w:cstheme="minorHAnsi"/>
          <w:color w:val="787D82"/>
          <w:sz w:val="21"/>
          <w:szCs w:val="21"/>
          <w:shd w:val="clear" w:color="auto" w:fill="FFFFFF"/>
        </w:rPr>
        <w:t xml:space="preserve">, </w:t>
      </w:r>
      <w:r w:rsidRPr="000C6009">
        <w:rPr>
          <w:rFonts w:cstheme="minorHAnsi"/>
        </w:rPr>
        <w:t xml:space="preserve">a sottolineare l’attenzione per una visione </w:t>
      </w:r>
      <w:r w:rsidRPr="000C6009">
        <w:rPr>
          <w:rFonts w:cstheme="minorHAnsi"/>
        </w:rPr>
        <w:lastRenderedPageBreak/>
        <w:t>strategica d’integrazione a livello comunale del sistema di trasporto pubblico con le altre modalità di trasporto.</w:t>
      </w:r>
    </w:p>
    <w:p w14:paraId="309110E9" w14:textId="77777777" w:rsidR="00C42A5A" w:rsidRPr="000C6009" w:rsidRDefault="00C42A5A" w:rsidP="00C42A5A">
      <w:pPr>
        <w:pStyle w:val="Titolo2"/>
        <w:tabs>
          <w:tab w:val="clear" w:pos="1276"/>
          <w:tab w:val="left" w:pos="426"/>
        </w:tabs>
        <w:spacing w:line="360" w:lineRule="auto"/>
        <w:ind w:left="0" w:firstLine="0"/>
        <w:rPr>
          <w:rFonts w:asciiTheme="minorHAnsi" w:hAnsiTheme="minorHAnsi" w:cstheme="minorHAnsi"/>
        </w:rPr>
      </w:pPr>
      <w:bookmarkStart w:id="68" w:name="_Toc193374081"/>
      <w:bookmarkStart w:id="69" w:name="_Toc2135842802"/>
      <w:bookmarkStart w:id="70" w:name="_Toc204616474"/>
      <w:bookmarkStart w:id="71" w:name="_Toc205213704"/>
      <w:r w:rsidRPr="000C6009">
        <w:rPr>
          <w:rFonts w:asciiTheme="minorHAnsi" w:hAnsiTheme="minorHAnsi" w:cstheme="minorHAnsi"/>
        </w:rPr>
        <w:t>La programmazione del sistema di trasporto pubblico piemontese</w:t>
      </w:r>
      <w:bookmarkEnd w:id="68"/>
      <w:bookmarkEnd w:id="69"/>
      <w:bookmarkEnd w:id="70"/>
      <w:bookmarkEnd w:id="71"/>
    </w:p>
    <w:p w14:paraId="484298AE" w14:textId="77777777" w:rsidR="00C42A5A" w:rsidRPr="000C6009" w:rsidRDefault="00C42A5A" w:rsidP="00C42A5A">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La programmazione dei servizi di trasporto pubblico avviene attraverso programmi triennali. </w:t>
      </w:r>
    </w:p>
    <w:p w14:paraId="3DE8237A" w14:textId="77777777" w:rsidR="00C42A5A" w:rsidRPr="000C6009" w:rsidRDefault="00C42A5A" w:rsidP="00C42A5A">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Il </w:t>
      </w:r>
      <w:r w:rsidRPr="000C6009">
        <w:rPr>
          <w:rFonts w:asciiTheme="minorHAnsi" w:hAnsiTheme="minorHAnsi" w:cstheme="minorHAnsi"/>
          <w:b/>
          <w:bCs/>
          <w:sz w:val="22"/>
          <w:szCs w:val="22"/>
        </w:rPr>
        <w:t>Programma Triennale dei Servizi di Trasporto Pubblico Locale (PTS) 2019-2021</w:t>
      </w:r>
      <w:r w:rsidRPr="000C6009">
        <w:rPr>
          <w:rFonts w:asciiTheme="minorHAnsi" w:hAnsiTheme="minorHAnsi" w:cstheme="minorHAnsi"/>
          <w:sz w:val="22"/>
          <w:szCs w:val="22"/>
        </w:rPr>
        <w:t xml:space="preserve"> approvato con D.G.R. 7-1721 del 31 luglio 2020, </w:t>
      </w:r>
      <w:r w:rsidRPr="000C6009">
        <w:rPr>
          <w:rFonts w:asciiTheme="minorHAnsi" w:hAnsiTheme="minorHAnsi" w:cstheme="minorHAnsi"/>
          <w:bCs/>
          <w:sz w:val="22"/>
          <w:szCs w:val="22"/>
        </w:rPr>
        <w:t>prorogato fino</w:t>
      </w:r>
      <w:r w:rsidRPr="000C6009">
        <w:rPr>
          <w:rStyle w:val="Enfasigrassetto"/>
          <w:rFonts w:asciiTheme="minorHAnsi" w:hAnsiTheme="minorHAnsi" w:cstheme="minorHAnsi"/>
          <w:b w:val="0"/>
          <w:sz w:val="22"/>
          <w:szCs w:val="22"/>
        </w:rPr>
        <w:t xml:space="preserve"> al 2022 a causa dell’emergenza epidemiologica,</w:t>
      </w:r>
      <w:r w:rsidRPr="000C6009">
        <w:rPr>
          <w:rStyle w:val="Enfasigrassetto"/>
          <w:rFonts w:asciiTheme="minorHAnsi" w:hAnsiTheme="minorHAnsi" w:cstheme="minorHAnsi"/>
          <w:sz w:val="22"/>
          <w:szCs w:val="22"/>
        </w:rPr>
        <w:t xml:space="preserve"> </w:t>
      </w:r>
      <w:r w:rsidRPr="000C6009">
        <w:rPr>
          <w:rFonts w:asciiTheme="minorHAnsi" w:hAnsiTheme="minorHAnsi" w:cstheme="minorHAnsi"/>
          <w:sz w:val="22"/>
          <w:szCs w:val="22"/>
        </w:rPr>
        <w:t>aveva visto l’introduzione di un sistema più integrato tra le diverse reti di trasporto e una maggiore efficienza nella gestione dei servizi, grazie al rafforzamento del ruolo dell’AMP, che aveva sviluppato proposte di programmazione e gestito i processi di consultazione con sindacati, aziende e consumatori, al fine di migliorare l’offerta ed ottimizzare i costi operativi. Le risorse assegnate (535 milioni di euro nel 2019) includevano finanziamenti per nuovi mezzi e agevolazioni tariffarie. Il programma si poneva obiettivi importanti, che si sono poi inevitabilmente scontrati con gli impatti della pandemia, durante la quale sono state introdotte misure straordinarie per il sostegno della domanda ridotta e per garantire la continuità dei servizi, e parallelamente sono stati incrementati gli investimenti in sicurezza sanitaria destinati ai mezzi pubblici.</w:t>
      </w:r>
    </w:p>
    <w:p w14:paraId="0DA5D81D" w14:textId="77777777" w:rsidR="00C42A5A" w:rsidRPr="000C6009" w:rsidRDefault="00C42A5A" w:rsidP="00C42A5A">
      <w:pPr>
        <w:spacing w:before="120" w:after="0" w:line="240" w:lineRule="auto"/>
        <w:rPr>
          <w:rFonts w:cstheme="minorHAnsi"/>
        </w:rPr>
      </w:pPr>
      <w:r w:rsidRPr="000C6009">
        <w:rPr>
          <w:rFonts w:cstheme="minorHAnsi"/>
        </w:rPr>
        <w:t>Era stato strutturato in base ai principi di efficienza, sostenibilità e integrazione con gli obiettivi regionali, in linea con le direttive nazionali ed europee; definiva, tra l’altro, d’intesa con gli Enti locali aggregati nel consorzio le risorse da destinare all'esercizio specificando l'entità di quelle relative al trasporto ferroviario, la ripartizione tra servizi urbani ed extraurbani di ciascun bacino ottimale.</w:t>
      </w:r>
    </w:p>
    <w:p w14:paraId="2E608D61" w14:textId="77777777" w:rsidR="00C42A5A" w:rsidRPr="000C6009" w:rsidRDefault="00C42A5A" w:rsidP="00C42A5A">
      <w:pPr>
        <w:spacing w:before="120" w:after="0" w:line="240" w:lineRule="auto"/>
        <w:rPr>
          <w:rFonts w:cstheme="minorHAnsi"/>
        </w:rPr>
      </w:pPr>
      <w:r w:rsidRPr="000C6009">
        <w:rPr>
          <w:rFonts w:cstheme="minorHAnsi"/>
        </w:rPr>
        <w:t xml:space="preserve">La componente finanziaria del PTS 2019-2021 è stata annualmente estesa in continuità sino al 2024. </w:t>
      </w:r>
    </w:p>
    <w:p w14:paraId="491C8899" w14:textId="77777777" w:rsidR="00C42A5A" w:rsidRPr="000C6009" w:rsidRDefault="00C42A5A" w:rsidP="00C42A5A">
      <w:pPr>
        <w:spacing w:before="120" w:after="0" w:line="240" w:lineRule="auto"/>
        <w:rPr>
          <w:rFonts w:cstheme="minorHAnsi"/>
        </w:rPr>
      </w:pPr>
      <w:r w:rsidRPr="000C6009">
        <w:rPr>
          <w:rFonts w:cstheme="minorHAnsi"/>
        </w:rPr>
        <w:t>Con la D.G.R. n. 52-6344 del 22 dicembre 2022 la Regione ha avviato il percorso per la redazione del Programma Triennale dei servizi 2023-2025 prevedendo, fra l'altro, l’applicazione a tutti i contratti di servizio in essere, ove possibile, della proroga ex art. 24 comma 5 bis D.L. 4/22 convertito, con modificazioni dalla L. 25/22, c.d. "proroga per investimenti". Disposizione a cui l’Agenzia ha dato adempimento con deliberazione del proprio CdA n. 4 del 3/03/2023, attivando il Piano Stralcio relativo alle proroghe del TPL, adottando gli indirizzi per la definizione delle proroghe stesse e indicando quest’ultimi come elementi da inserire nello Stralcio del Programma Triennale.</w:t>
      </w:r>
    </w:p>
    <w:p w14:paraId="66B11E8F" w14:textId="77777777" w:rsidR="00C42A5A" w:rsidRPr="000C6009" w:rsidRDefault="00C42A5A" w:rsidP="00C42A5A">
      <w:pPr>
        <w:spacing w:before="120" w:after="0" w:line="240" w:lineRule="auto"/>
        <w:rPr>
          <w:rFonts w:cstheme="minorHAnsi"/>
        </w:rPr>
      </w:pPr>
      <w:r w:rsidRPr="000C6009">
        <w:rPr>
          <w:rFonts w:cstheme="minorHAnsi"/>
        </w:rPr>
        <w:t>L’aggiornamento del Programma Triennale dei Servizi è attualmente in fase di elaborazione.</w:t>
      </w:r>
    </w:p>
    <w:p w14:paraId="33EE5101" w14:textId="77777777" w:rsidR="00C42A5A" w:rsidRPr="001D5603" w:rsidRDefault="00C42A5A" w:rsidP="00C42A5A">
      <w:pPr>
        <w:pStyle w:val="Titolo2"/>
        <w:tabs>
          <w:tab w:val="clear" w:pos="1276"/>
          <w:tab w:val="left" w:pos="426"/>
        </w:tabs>
        <w:spacing w:line="360" w:lineRule="auto"/>
        <w:ind w:left="0" w:firstLine="0"/>
        <w:rPr>
          <w:rFonts w:asciiTheme="minorHAnsi" w:hAnsiTheme="minorHAnsi" w:cstheme="minorHAnsi"/>
        </w:rPr>
      </w:pPr>
      <w:bookmarkStart w:id="72" w:name="_Toc193374082"/>
      <w:bookmarkStart w:id="73" w:name="_Toc211117213"/>
      <w:bookmarkStart w:id="74" w:name="_Toc204616475"/>
      <w:bookmarkStart w:id="75" w:name="_Toc205213705"/>
      <w:r w:rsidRPr="001D5603">
        <w:rPr>
          <w:rFonts w:asciiTheme="minorHAnsi" w:hAnsiTheme="minorHAnsi" w:cstheme="minorHAnsi"/>
        </w:rPr>
        <w:t>Indirizzi regionali a supporto dell’Agenzia della Mobilità Piemontese</w:t>
      </w:r>
      <w:bookmarkEnd w:id="72"/>
      <w:bookmarkEnd w:id="73"/>
      <w:bookmarkEnd w:id="74"/>
      <w:bookmarkEnd w:id="75"/>
    </w:p>
    <w:p w14:paraId="58A67345" w14:textId="77777777" w:rsidR="00C42A5A" w:rsidRPr="000C6009" w:rsidRDefault="00C42A5A" w:rsidP="00C42A5A">
      <w:pPr>
        <w:pStyle w:val="NormaleWeb"/>
        <w:spacing w:before="120" w:after="0" w:line="240" w:lineRule="auto"/>
        <w:rPr>
          <w:rFonts w:asciiTheme="minorHAnsi" w:hAnsiTheme="minorHAnsi" w:cstheme="minorHAnsi"/>
          <w:color w:val="242424"/>
          <w:sz w:val="22"/>
          <w:szCs w:val="22"/>
          <w:shd w:val="clear" w:color="auto" w:fill="FAFAFA"/>
        </w:rPr>
      </w:pPr>
      <w:r w:rsidRPr="000C6009">
        <w:rPr>
          <w:rFonts w:asciiTheme="minorHAnsi" w:hAnsiTheme="minorHAnsi" w:cstheme="minorHAnsi"/>
          <w:color w:val="242424"/>
          <w:sz w:val="22"/>
          <w:szCs w:val="22"/>
          <w:shd w:val="clear" w:color="auto" w:fill="FAFAFA"/>
        </w:rPr>
        <w:t>A valle del processo di consultazione degli stakeholder territoriali previsto dalle delibere ART n. 154/2019 e n. 48/2017 (Allegato 1), la Regione Piemonte ha inviato all’Agenzia un documento specifico</w:t>
      </w:r>
      <w:r w:rsidRPr="000C6009">
        <w:rPr>
          <w:rFonts w:asciiTheme="minorHAnsi" w:hAnsiTheme="minorHAnsi" w:cstheme="minorHAnsi"/>
          <w:color w:val="242424"/>
          <w:sz w:val="22"/>
          <w:szCs w:val="22"/>
          <w:shd w:val="clear" w:color="auto" w:fill="FAFAFA"/>
          <w:vertAlign w:val="superscript"/>
        </w:rPr>
        <w:footnoteReference w:id="6"/>
      </w:r>
      <w:r w:rsidRPr="000C6009">
        <w:rPr>
          <w:rFonts w:asciiTheme="minorHAnsi" w:hAnsiTheme="minorHAnsi" w:cstheme="minorHAnsi"/>
          <w:color w:val="242424"/>
          <w:sz w:val="22"/>
          <w:szCs w:val="22"/>
          <w:shd w:val="clear" w:color="auto" w:fill="FAFAFA"/>
          <w:vertAlign w:val="superscript"/>
        </w:rPr>
        <w:t xml:space="preserve"> </w:t>
      </w:r>
      <w:r w:rsidRPr="000C6009">
        <w:rPr>
          <w:rFonts w:asciiTheme="minorHAnsi" w:hAnsiTheme="minorHAnsi" w:cstheme="minorHAnsi"/>
          <w:color w:val="242424"/>
          <w:sz w:val="22"/>
          <w:szCs w:val="22"/>
          <w:shd w:val="clear" w:color="auto" w:fill="FAFAFA"/>
        </w:rPr>
        <w:t xml:space="preserve">sugli indirizzi da adottare per la predisposizione della documentazione di affidamento dei servizi di trasporto pubblico locale. </w:t>
      </w:r>
      <w:r w:rsidRPr="000C6009">
        <w:rPr>
          <w:rFonts w:asciiTheme="minorHAnsi" w:hAnsiTheme="minorHAnsi" w:cstheme="minorHAnsi"/>
          <w:color w:val="242424"/>
          <w:sz w:val="22"/>
          <w:szCs w:val="22"/>
        </w:rPr>
        <w:t>Questi indirizzi mirano a garantire efficienza, qualità e unitarietà del servizio di trasporto pubblico locale, promuovendo la partecipazione alle gare e ottimizzando le risorse disponibili. In particolare sono state fornite indicazioni in merito ai seguenti punti:</w:t>
      </w:r>
    </w:p>
    <w:p w14:paraId="04A10B17" w14:textId="77777777" w:rsidR="00C42A5A" w:rsidRPr="000C6009" w:rsidRDefault="00C42A5A" w:rsidP="00C42A5A">
      <w:pPr>
        <w:pStyle w:val="Paragrafoelenco"/>
        <w:numPr>
          <w:ilvl w:val="0"/>
          <w:numId w:val="21"/>
        </w:numPr>
        <w:spacing w:before="120" w:after="0" w:line="240" w:lineRule="auto"/>
        <w:rPr>
          <w:rFonts w:cstheme="minorHAnsi"/>
          <w:b/>
          <w:bCs/>
        </w:rPr>
      </w:pPr>
      <w:r w:rsidRPr="000C6009">
        <w:rPr>
          <w:rFonts w:cstheme="minorHAnsi"/>
          <w:b/>
          <w:bCs/>
        </w:rPr>
        <w:t>Modalità di affidamento</w:t>
      </w:r>
    </w:p>
    <w:p w14:paraId="31332FD9"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Il servizio di trasporto pubblico locale può essere affidato tramite gara, in house o gestione diretta</w:t>
      </w:r>
    </w:p>
    <w:p w14:paraId="13BF5E0B"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lastRenderedPageBreak/>
        <w:t>Per gli affidamenti in house, l'AMP deve verificare la "qualificata motivazione" e prevedere l'avvio di una nuova gara se gli obiettivi del contratto di servizio non vengono raggiunti.</w:t>
      </w:r>
    </w:p>
    <w:p w14:paraId="2F87870A"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Sono previsti limiti ai subaffidamenti per gli affidamenti in house.</w:t>
      </w:r>
    </w:p>
    <w:p w14:paraId="7D546990" w14:textId="77777777" w:rsidR="00C42A5A" w:rsidRPr="000C6009" w:rsidRDefault="00C42A5A" w:rsidP="00C42A5A">
      <w:pPr>
        <w:pStyle w:val="Paragrafoelenco"/>
        <w:numPr>
          <w:ilvl w:val="0"/>
          <w:numId w:val="20"/>
        </w:numPr>
        <w:spacing w:before="120" w:after="0" w:line="240" w:lineRule="auto"/>
        <w:rPr>
          <w:rFonts w:cstheme="minorHAnsi"/>
          <w:b/>
          <w:bCs/>
        </w:rPr>
      </w:pPr>
      <w:r w:rsidRPr="000C6009">
        <w:rPr>
          <w:rFonts w:cstheme="minorHAnsi"/>
          <w:b/>
          <w:bCs/>
        </w:rPr>
        <w:t>Definizione dei lotti</w:t>
      </w:r>
    </w:p>
    <w:p w14:paraId="2A62BED6"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I bacini di mobilità vengono suddivisi in lotti per favorire la partecipazione alle gare.</w:t>
      </w:r>
    </w:p>
    <w:p w14:paraId="293FE598"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La dimensione ottimale dei lotti è di circa 4 milioni di bus*km/anno, tenendo conto anche dell'organizzazione provinciale dei servizi.</w:t>
      </w:r>
    </w:p>
    <w:p w14:paraId="1357C77F"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La suddivisione in lotti dimensionalmente pari a circa 4 milioni bus*km consente un costo a base d'asta minimo.</w:t>
      </w:r>
    </w:p>
    <w:p w14:paraId="298D0D5C"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La perimetrazione dei lotti deve tenere conto anche dell'organizzazione provinciale dei servizi.</w:t>
      </w:r>
    </w:p>
    <w:p w14:paraId="23463B12" w14:textId="77777777" w:rsidR="00C42A5A" w:rsidRPr="000C6009" w:rsidRDefault="00C42A5A" w:rsidP="00C42A5A">
      <w:pPr>
        <w:pStyle w:val="Paragrafoelenco"/>
        <w:numPr>
          <w:ilvl w:val="0"/>
          <w:numId w:val="20"/>
        </w:numPr>
        <w:spacing w:before="120" w:after="0" w:line="240" w:lineRule="auto"/>
        <w:rPr>
          <w:rFonts w:cstheme="minorHAnsi"/>
          <w:b/>
          <w:bCs/>
        </w:rPr>
      </w:pPr>
      <w:r w:rsidRPr="000C6009">
        <w:rPr>
          <w:rFonts w:cstheme="minorHAnsi"/>
          <w:b/>
          <w:bCs/>
        </w:rPr>
        <w:t>Soggetti ammessi alla partecipazione</w:t>
      </w:r>
    </w:p>
    <w:p w14:paraId="5854E14D"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I requisiti di partecipazione variano a seconda delle caratteristiche di ciascun lotto.</w:t>
      </w:r>
    </w:p>
    <w:p w14:paraId="4B5436EA"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Sono previste limitazioni alla partecipazione in forma aggregata.</w:t>
      </w:r>
    </w:p>
    <w:p w14:paraId="78CB9714"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I partecipanti alla procedura di affidamento di un singolo lotto non possono essere presenti in più di un consorzio stabile/reti di imprese o equivalente forma aggregata.</w:t>
      </w:r>
    </w:p>
    <w:p w14:paraId="356FE5EF" w14:textId="77777777" w:rsidR="00C42A5A" w:rsidRPr="000C6009" w:rsidRDefault="00C42A5A" w:rsidP="00C42A5A">
      <w:pPr>
        <w:pStyle w:val="Paragrafoelenco"/>
        <w:numPr>
          <w:ilvl w:val="0"/>
          <w:numId w:val="20"/>
        </w:numPr>
        <w:spacing w:before="120" w:after="0" w:line="240" w:lineRule="auto"/>
        <w:rPr>
          <w:rFonts w:cstheme="minorHAnsi"/>
          <w:b/>
          <w:bCs/>
        </w:rPr>
      </w:pPr>
      <w:r w:rsidRPr="000C6009">
        <w:rPr>
          <w:rFonts w:cstheme="minorHAnsi"/>
          <w:b/>
          <w:bCs/>
        </w:rPr>
        <w:t>Aggiudicazione dei lotti</w:t>
      </w:r>
    </w:p>
    <w:p w14:paraId="20D4CB7B"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Un soggetto partecipante può presentare un'unica offerta economica per tutti i lotti di un bacino.</w:t>
      </w:r>
    </w:p>
    <w:p w14:paraId="1E8EF65E"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Un soggetto partecipante può aggiudicarsi lotti in massimo due bacini.</w:t>
      </w:r>
    </w:p>
    <w:p w14:paraId="6D8E2EF7"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Per le zone "a domanda debole", si possono prevedere affidamenti diretti.</w:t>
      </w:r>
    </w:p>
    <w:p w14:paraId="02ACAA21" w14:textId="77777777" w:rsidR="00C42A5A" w:rsidRPr="000C6009" w:rsidRDefault="00C42A5A" w:rsidP="00C42A5A">
      <w:pPr>
        <w:pStyle w:val="Paragrafoelenco"/>
        <w:numPr>
          <w:ilvl w:val="0"/>
          <w:numId w:val="20"/>
        </w:numPr>
        <w:spacing w:before="120" w:after="0" w:line="240" w:lineRule="auto"/>
        <w:rPr>
          <w:rFonts w:cstheme="minorHAnsi"/>
          <w:b/>
          <w:bCs/>
        </w:rPr>
      </w:pPr>
      <w:r w:rsidRPr="000C6009">
        <w:rPr>
          <w:rFonts w:cstheme="minorHAnsi"/>
          <w:b/>
          <w:bCs/>
        </w:rPr>
        <w:t>Beni essenziali</w:t>
      </w:r>
    </w:p>
    <w:p w14:paraId="350752C9" w14:textId="77777777" w:rsidR="00C42A5A" w:rsidRPr="000C6009" w:rsidRDefault="00C42A5A" w:rsidP="00C42A5A">
      <w:pPr>
        <w:numPr>
          <w:ilvl w:val="0"/>
          <w:numId w:val="22"/>
        </w:numPr>
        <w:tabs>
          <w:tab w:val="clear" w:pos="720"/>
          <w:tab w:val="num" w:pos="1276"/>
        </w:tabs>
        <w:spacing w:before="120" w:after="0" w:line="240" w:lineRule="auto"/>
        <w:ind w:left="993" w:hanging="426"/>
        <w:rPr>
          <w:rFonts w:cstheme="minorHAnsi"/>
          <w:color w:val="242424"/>
        </w:rPr>
      </w:pPr>
      <w:r w:rsidRPr="000C6009">
        <w:rPr>
          <w:rFonts w:cstheme="minorHAnsi"/>
          <w:color w:val="242424"/>
        </w:rPr>
        <w:t>Nel caso di mancata disponibilità di beni essenziali, come depositi/officine, è previsto un periodo transitorio a canone concordato per permettere all'impresa aggiudicataria di dotarsi di tali beni.</w:t>
      </w:r>
    </w:p>
    <w:p w14:paraId="74FFB598" w14:textId="77777777" w:rsidR="00C42A5A" w:rsidRDefault="00C42A5A" w:rsidP="00C42A5A">
      <w:pPr>
        <w:pStyle w:val="NormaleWeb"/>
        <w:spacing w:before="120" w:after="0" w:line="240" w:lineRule="auto"/>
        <w:rPr>
          <w:rFonts w:asciiTheme="minorHAnsi" w:hAnsiTheme="minorHAnsi" w:cstheme="minorHAnsi"/>
          <w:color w:val="242424"/>
          <w:sz w:val="22"/>
          <w:szCs w:val="22"/>
          <w:shd w:val="clear" w:color="auto" w:fill="FAFAFA"/>
        </w:rPr>
      </w:pPr>
      <w:r w:rsidRPr="000C6009">
        <w:rPr>
          <w:rFonts w:asciiTheme="minorHAnsi" w:hAnsiTheme="minorHAnsi" w:cstheme="minorHAnsi"/>
          <w:color w:val="242424"/>
          <w:sz w:val="22"/>
          <w:szCs w:val="22"/>
          <w:shd w:val="clear" w:color="auto" w:fill="FAFAFA"/>
        </w:rPr>
        <w:t>Successivamente alla comunicazione degli indirizzi sono pervenute da parte delle Associazioni di categoria Agens, Anav e Confservizi, e da parte delle aziende, Autoguidovie, Arriva e GTT una serie di osservazioni. In merito alle osservazioni pervenute, d’intesa con Regione, sono stati forniti alcuni chiarimenti ed alcune precisazioni, nonché la rimozione del vincolo posto per l’aggiudicazione congiunta di lotti di servizio del bacino metropolitano con lotti di altri bacini.</w:t>
      </w:r>
    </w:p>
    <w:p w14:paraId="265C4D5C" w14:textId="77777777" w:rsidR="00F80EC5" w:rsidRPr="004500E3" w:rsidRDefault="00F80EC5" w:rsidP="00F80EC5">
      <w:pPr>
        <w:pStyle w:val="Titolo3"/>
        <w:ind w:left="709"/>
        <w:rPr>
          <w:rFonts w:cs="Calibri"/>
          <w:sz w:val="22"/>
          <w:szCs w:val="22"/>
        </w:rPr>
      </w:pPr>
      <w:bookmarkStart w:id="76" w:name="_Toc205213706"/>
      <w:r w:rsidRPr="004500E3">
        <w:rPr>
          <w:rFonts w:cs="Calibri"/>
          <w:sz w:val="22"/>
          <w:szCs w:val="22"/>
        </w:rPr>
        <w:t>Sintesi delle Osservazioni a</w:t>
      </w:r>
      <w:r>
        <w:rPr>
          <w:rFonts w:cs="Calibri"/>
          <w:sz w:val="22"/>
          <w:szCs w:val="22"/>
        </w:rPr>
        <w:t>gli</w:t>
      </w:r>
      <w:r w:rsidRPr="004500E3">
        <w:rPr>
          <w:rFonts w:cs="Calibri"/>
          <w:sz w:val="22"/>
          <w:szCs w:val="22"/>
        </w:rPr>
        <w:t xml:space="preserve"> Indirizzi della Regione Piemonte</w:t>
      </w:r>
      <w:bookmarkEnd w:id="76"/>
    </w:p>
    <w:p w14:paraId="3E107DB1" w14:textId="77777777" w:rsidR="00F80EC5" w:rsidRPr="004500E3" w:rsidRDefault="00F80EC5" w:rsidP="00F80EC5">
      <w:pPr>
        <w:spacing w:before="120" w:after="0" w:line="240" w:lineRule="auto"/>
        <w:rPr>
          <w:rFonts w:ascii="Calibri" w:hAnsi="Calibri" w:cs="Calibri"/>
        </w:rPr>
      </w:pPr>
      <w:r>
        <w:rPr>
          <w:rFonts w:ascii="Calibri" w:hAnsi="Calibri" w:cs="Calibri"/>
        </w:rPr>
        <w:t>Di seguito si</w:t>
      </w:r>
      <w:r w:rsidRPr="004500E3">
        <w:rPr>
          <w:rFonts w:ascii="Calibri" w:hAnsi="Calibri" w:cs="Calibri"/>
        </w:rPr>
        <w:t xml:space="preserve"> riporta una sintesi strutturata delle osservazioni ricevute da aziende e associazioni in merito ai</w:t>
      </w:r>
      <w:r>
        <w:rPr>
          <w:rFonts w:ascii="Calibri" w:hAnsi="Calibri" w:cs="Calibri"/>
        </w:rPr>
        <w:t xml:space="preserve"> detti</w:t>
      </w:r>
      <w:r w:rsidRPr="004500E3">
        <w:rPr>
          <w:rFonts w:ascii="Calibri" w:hAnsi="Calibri" w:cs="Calibri"/>
        </w:rPr>
        <w:t xml:space="preserve"> Indirizzi. Le osservazioni sono organizzate per tema con indicazione del soggetto proponente e del contenuto dell’osservazione.</w:t>
      </w:r>
    </w:p>
    <w:p w14:paraId="19B2BCC8"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Considerazioni Preliminari e Metodologiche</w:t>
      </w:r>
    </w:p>
    <w:p w14:paraId="7900F11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AGENS</w:t>
      </w:r>
    </w:p>
    <w:p w14:paraId="342DCE2E"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Riconosce la non vincolatività degli indirizzi regionali e propone l’apertura di una consultazione strutturata con operatori e associazioni. Richiede incontri per definire modalità e calendario.</w:t>
      </w:r>
    </w:p>
    <w:p w14:paraId="5C4B97D8"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lastRenderedPageBreak/>
        <w:t>Beni essenziali/indispensabili</w:t>
      </w:r>
    </w:p>
    <w:p w14:paraId="5B0D3134"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ANAV, Confservizi, Autoguidovie</w:t>
      </w:r>
    </w:p>
    <w:p w14:paraId="24257BC6"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Contestano l’obbligo di messa a disposizione di depositi/officine a canone concordato, ritenendolo privo di base normativa e contrario alla delibera ART 154/2019. Propongono di limitare l’obbligo al solo materiale rotabile (art. 11 L.R. 1/2000) e di definire un limite temporale chiaro.</w:t>
      </w:r>
    </w:p>
    <w:p w14:paraId="4D0A134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Arriva Italia</w:t>
      </w:r>
    </w:p>
    <w:p w14:paraId="1692550D"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Segnala che l’assenza di disponibilità dei depositi può creare disparità di trattamento e percorsi a vuoto. Chiede verifica della domanda di primo/ultimo miglio per linee con capolinea presso depositi non disponibili.</w:t>
      </w:r>
    </w:p>
    <w:p w14:paraId="06D5876D"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Soggetti ammessi alla partecipazione e forma giuridica</w:t>
      </w:r>
    </w:p>
    <w:p w14:paraId="48B920D0"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ANAV, Arriva Italia, Autoguidovie</w:t>
      </w:r>
    </w:p>
    <w:p w14:paraId="012C9898"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Contestano l’imposizione di una forma giuridica specifica agli aggiudicatari, richiamando il principio di neutralità sancito dalla Direttiva 2014/24/UE e dal Codice dei Contratti. L’unica eccezione ammessa riguarda i RTI. Arriva chiede che eventuali obblighi siano recepiti nel PEFS. ANAV contesta limitazioni alla partecipazione aggregata, ritenendole dannose per le aziende locali.</w:t>
      </w:r>
    </w:p>
    <w:p w14:paraId="26E6A835"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Aggiudicazione dei lotti e limiti di partecipazione</w:t>
      </w:r>
    </w:p>
    <w:p w14:paraId="79CFBA71" w14:textId="77777777" w:rsidR="00F80EC5" w:rsidRDefault="00F80EC5" w:rsidP="00F80EC5">
      <w:pPr>
        <w:spacing w:before="120" w:after="0" w:line="240" w:lineRule="auto"/>
        <w:ind w:left="284"/>
        <w:rPr>
          <w:rFonts w:ascii="Calibri" w:hAnsi="Calibri" w:cs="Calibri"/>
        </w:rPr>
      </w:pPr>
      <w:r w:rsidRPr="004500E3">
        <w:rPr>
          <w:rFonts w:ascii="Calibri" w:hAnsi="Calibri" w:cs="Calibri"/>
        </w:rPr>
        <w:t>Soggetto proponente: GTT</w:t>
      </w:r>
    </w:p>
    <w:p w14:paraId="31306771"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chiarimenti su cosa si intenda per 'controllata' o 'collegata' e se partecipazioni inferiori al 20% siano escluse dal vincolo.</w:t>
      </w:r>
    </w:p>
    <w:p w14:paraId="28FD28F4"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ANAV</w:t>
      </w:r>
    </w:p>
    <w:p w14:paraId="1318D662"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Presenta esempi di RTI con partecipazioni incrociate e chiede se ciò pregiudichi l’aggiudicazione.</w:t>
      </w:r>
    </w:p>
    <w:p w14:paraId="3AE53ADA"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Autoguidovie</w:t>
      </w:r>
    </w:p>
    <w:p w14:paraId="070FA174"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Evidenzia asimmetrie concorrenziali e chiede motivazioni dettagliate per i limiti.</w:t>
      </w:r>
    </w:p>
    <w:p w14:paraId="7DB193F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Arriva Italia</w:t>
      </w:r>
    </w:p>
    <w:p w14:paraId="208646BF"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Contesta la limitazione per bacino metropolitano e chiede chiarimenti sull’impossibilità di aggiudicarsi lotti in bacini diversi.</w:t>
      </w:r>
    </w:p>
    <w:p w14:paraId="5A54C2F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Confservizi</w:t>
      </w:r>
    </w:p>
    <w:p w14:paraId="00C82C57"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se siano previste misure correttive o compensative per evitare distorsioni.</w:t>
      </w:r>
    </w:p>
    <w:p w14:paraId="1A59B856"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Valutazione dei mezzi acquistati con contributo pubblico</w:t>
      </w:r>
    </w:p>
    <w:p w14:paraId="7F016D97"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Confservizi</w:t>
      </w:r>
    </w:p>
    <w:p w14:paraId="74D647F4"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se i mezzi a gasolio Euro VI per servizi extraurbani saranno penalizzati rispetto ad altre tecnologie. Richiede criteri chiari e trasparenti per la valutazione tecnica.</w:t>
      </w:r>
    </w:p>
    <w:p w14:paraId="5B935B3E"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Affidamento in house</w:t>
      </w:r>
    </w:p>
    <w:p w14:paraId="3F204040"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Arriva Italia</w:t>
      </w:r>
    </w:p>
    <w:p w14:paraId="534DB236"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lastRenderedPageBreak/>
        <w:t>Osservazione: Chiede che venga considerata la valutazione dei risultati delle gestioni in house precedenti, come previsto dal D.Lgs. 201/2022.</w:t>
      </w:r>
    </w:p>
    <w:p w14:paraId="66BAAF1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GTT</w:t>
      </w:r>
    </w:p>
    <w:p w14:paraId="22DBC74B"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conferma che l’art. 4-bis del DL 78/2009 sia tacitamente abrogato e che valgano solo le limitazioni del Reg. CE 1370/2007.</w:t>
      </w:r>
    </w:p>
    <w:p w14:paraId="64795C17"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Ripartizione in lotti</w:t>
      </w:r>
    </w:p>
    <w:p w14:paraId="1ECEC203"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Arriva Italia</w:t>
      </w:r>
    </w:p>
    <w:p w14:paraId="7CF5B6E4"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maggiore trasparenza sugli scenari di ripartizione. Propone un tavolo tecnico congiunto con i gestori. Segnala criticità nella previsione di annullamento automatico della gara in caso di unica offerta.</w:t>
      </w:r>
    </w:p>
    <w:p w14:paraId="797645CE"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Sistema di qualificazione</w:t>
      </w:r>
    </w:p>
    <w:p w14:paraId="4960EF24"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ANAV</w:t>
      </w:r>
    </w:p>
    <w:p w14:paraId="26C302EF"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Chiede conferma che il limite superiore della classe possa essere aumentato di un quinto per partecipare alle gare, come previsto dal sistema di qualificazione.</w:t>
      </w:r>
    </w:p>
    <w:p w14:paraId="22544FE9"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Offerta economica unica per bacino</w:t>
      </w:r>
    </w:p>
    <w:p w14:paraId="178A6341"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Arriva Italia</w:t>
      </w:r>
    </w:p>
    <w:p w14:paraId="330E84A3" w14:textId="77777777" w:rsidR="00F80EC5" w:rsidRPr="004500E3" w:rsidRDefault="00F80EC5" w:rsidP="00F80EC5">
      <w:pPr>
        <w:spacing w:before="120" w:after="0" w:line="240" w:lineRule="auto"/>
        <w:ind w:left="708"/>
        <w:rPr>
          <w:rFonts w:ascii="Calibri" w:hAnsi="Calibri" w:cs="Calibri"/>
        </w:rPr>
      </w:pPr>
      <w:r w:rsidRPr="004500E3">
        <w:rPr>
          <w:rFonts w:ascii="Calibri" w:hAnsi="Calibri" w:cs="Calibri"/>
        </w:rPr>
        <w:t>Osservazione: Contesta la legittimità della possibilità di presentare un’offerta economica unica per tutti i lotti di un bacino. Ritiene che possa generare disparità di trattamento e allungare i tempi di aggiudicazione.</w:t>
      </w:r>
    </w:p>
    <w:p w14:paraId="4F033AC1" w14:textId="77777777" w:rsidR="00F80EC5" w:rsidRPr="004500E3" w:rsidRDefault="00F80EC5" w:rsidP="00F80EC5">
      <w:pPr>
        <w:spacing w:before="120" w:after="0" w:line="240" w:lineRule="auto"/>
        <w:rPr>
          <w:rFonts w:ascii="Calibri" w:hAnsi="Calibri" w:cs="Calibri"/>
          <w:u w:val="single"/>
        </w:rPr>
      </w:pPr>
      <w:r w:rsidRPr="004500E3">
        <w:rPr>
          <w:rFonts w:ascii="Calibri" w:hAnsi="Calibri" w:cs="Calibri"/>
          <w:u w:val="single"/>
        </w:rPr>
        <w:t>Univocità degli indirizzi</w:t>
      </w:r>
    </w:p>
    <w:p w14:paraId="49F1DA46" w14:textId="77777777" w:rsidR="00F80EC5" w:rsidRPr="004500E3" w:rsidRDefault="00F80EC5" w:rsidP="00F80EC5">
      <w:pPr>
        <w:spacing w:before="120" w:after="0" w:line="240" w:lineRule="auto"/>
        <w:ind w:left="284"/>
        <w:rPr>
          <w:rFonts w:ascii="Calibri" w:hAnsi="Calibri" w:cs="Calibri"/>
        </w:rPr>
      </w:pPr>
      <w:r w:rsidRPr="004500E3">
        <w:rPr>
          <w:rFonts w:ascii="Calibri" w:hAnsi="Calibri" w:cs="Calibri"/>
        </w:rPr>
        <w:t>Soggetto proponente: ANAV</w:t>
      </w:r>
    </w:p>
    <w:p w14:paraId="5E4F994D" w14:textId="77777777" w:rsidR="00F80EC5" w:rsidRDefault="00F80EC5" w:rsidP="00F80EC5">
      <w:pPr>
        <w:spacing w:before="120" w:after="0" w:line="240" w:lineRule="auto"/>
        <w:ind w:left="708"/>
        <w:rPr>
          <w:rFonts w:ascii="Calibri" w:hAnsi="Calibri" w:cs="Calibri"/>
        </w:rPr>
      </w:pPr>
      <w:r w:rsidRPr="004500E3">
        <w:rPr>
          <w:rFonts w:ascii="Calibri" w:hAnsi="Calibri" w:cs="Calibri"/>
        </w:rPr>
        <w:t>Osservazione: Segnala incoerenze tra le Linee Guida regionali e la Relazione dei lotti del Bacino Sud-Ovest. Chiede contestualità delle procedure per evitare distorsioni.</w:t>
      </w:r>
    </w:p>
    <w:p w14:paraId="2EB91210" w14:textId="77777777" w:rsidR="00F80EC5" w:rsidRPr="004500E3" w:rsidRDefault="00F80EC5" w:rsidP="00F80EC5">
      <w:pPr>
        <w:spacing w:before="120" w:after="0" w:line="240" w:lineRule="auto"/>
        <w:rPr>
          <w:rFonts w:ascii="Calibri" w:hAnsi="Calibri" w:cs="Calibri"/>
        </w:rPr>
      </w:pPr>
      <w:r>
        <w:rPr>
          <w:rFonts w:ascii="Calibri" w:hAnsi="Calibri" w:cs="Calibri"/>
        </w:rPr>
        <w:t>L’insieme delle Osservazioni è già stato analizzato e si è effettuato un primo confronto con le aziende per chiarire gli aspetti reputati controversi; non sarà sempre possibile conciliare le varie posizioni che, in alcuni casi, le posizioni siano contrastanti.</w:t>
      </w:r>
    </w:p>
    <w:p w14:paraId="7EABF82A" w14:textId="77777777" w:rsidR="00F80EC5" w:rsidRPr="000C6009" w:rsidRDefault="00F80EC5" w:rsidP="00C42A5A">
      <w:pPr>
        <w:pStyle w:val="NormaleWeb"/>
        <w:spacing w:before="120" w:after="0" w:line="240" w:lineRule="auto"/>
        <w:rPr>
          <w:rFonts w:asciiTheme="minorHAnsi" w:hAnsiTheme="minorHAnsi" w:cstheme="minorHAnsi"/>
          <w:color w:val="242424"/>
          <w:sz w:val="22"/>
          <w:szCs w:val="22"/>
          <w:shd w:val="clear" w:color="auto" w:fill="FAFAFA"/>
        </w:rPr>
      </w:pPr>
    </w:p>
    <w:p w14:paraId="4A35E185" w14:textId="77777777" w:rsidR="003B7E88" w:rsidRPr="000C6009" w:rsidRDefault="003B7E88" w:rsidP="00A15EAA">
      <w:pPr>
        <w:pStyle w:val="Contenuto"/>
        <w:rPr>
          <w:rFonts w:cstheme="minorHAnsi"/>
        </w:rPr>
        <w:sectPr w:rsidR="003B7E88" w:rsidRPr="000C6009" w:rsidSect="00390EC3">
          <w:footerReference w:type="default" r:id="rId27"/>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11A9B01B" w14:textId="77777777" w:rsidR="003B7E88" w:rsidRPr="000C6009" w:rsidRDefault="003B7E88" w:rsidP="003B7E88">
      <w:pPr>
        <w:pStyle w:val="Titolo1"/>
        <w:spacing w:after="360"/>
        <w:ind w:left="431" w:hanging="431"/>
        <w:rPr>
          <w:rFonts w:asciiTheme="minorHAnsi" w:hAnsiTheme="minorHAnsi" w:cstheme="minorHAnsi"/>
        </w:rPr>
      </w:pPr>
      <w:bookmarkStart w:id="77" w:name="_Ref190357248"/>
      <w:bookmarkStart w:id="78" w:name="_Ref190681337"/>
      <w:bookmarkStart w:id="79" w:name="_Toc193374083"/>
      <w:bookmarkStart w:id="80" w:name="_Ref193376132"/>
      <w:bookmarkStart w:id="81" w:name="_Ref193377952"/>
      <w:bookmarkStart w:id="82" w:name="_Toc440997623"/>
      <w:bookmarkStart w:id="83" w:name="_Toc204616476"/>
      <w:bookmarkStart w:id="84" w:name="_Ref205195905"/>
      <w:bookmarkStart w:id="85" w:name="_Toc205213707"/>
      <w:r w:rsidRPr="000C6009">
        <w:rPr>
          <w:rFonts w:asciiTheme="minorHAnsi" w:hAnsiTheme="minorHAnsi" w:cstheme="minorHAnsi"/>
        </w:rPr>
        <w:lastRenderedPageBreak/>
        <w:t>Quadro di riferimento attuale degli affidamenti</w:t>
      </w:r>
      <w:bookmarkEnd w:id="77"/>
      <w:bookmarkEnd w:id="78"/>
      <w:r w:rsidRPr="000C6009">
        <w:rPr>
          <w:rFonts w:asciiTheme="minorHAnsi" w:hAnsiTheme="minorHAnsi" w:cstheme="minorHAnsi"/>
        </w:rPr>
        <w:t xml:space="preserve"> del Bacino </w:t>
      </w:r>
      <w:bookmarkEnd w:id="79"/>
      <w:bookmarkEnd w:id="80"/>
      <w:bookmarkEnd w:id="81"/>
      <w:bookmarkEnd w:id="82"/>
      <w:r w:rsidRPr="000C6009">
        <w:rPr>
          <w:rFonts w:asciiTheme="minorHAnsi" w:hAnsiTheme="minorHAnsi" w:cstheme="minorHAnsi"/>
        </w:rPr>
        <w:t>Sud Est</w:t>
      </w:r>
      <w:bookmarkEnd w:id="83"/>
      <w:bookmarkEnd w:id="84"/>
      <w:bookmarkEnd w:id="85"/>
    </w:p>
    <w:p w14:paraId="35D5C1CB" w14:textId="76B79A30" w:rsidR="003B7E88" w:rsidRPr="000C6009" w:rsidRDefault="003B7E88" w:rsidP="003B7E88">
      <w:pPr>
        <w:pStyle w:val="Titolo2"/>
        <w:ind w:left="426" w:hanging="426"/>
        <w:rPr>
          <w:rFonts w:asciiTheme="minorHAnsi" w:hAnsiTheme="minorHAnsi" w:cstheme="minorHAnsi"/>
        </w:rPr>
      </w:pPr>
      <w:bookmarkStart w:id="86" w:name="_Toc193374084"/>
      <w:bookmarkStart w:id="87" w:name="_Toc204616477"/>
      <w:bookmarkStart w:id="88" w:name="_Toc2064554025"/>
      <w:bookmarkStart w:id="89" w:name="_Toc205213708"/>
      <w:r w:rsidRPr="000C6009">
        <w:rPr>
          <w:rFonts w:asciiTheme="minorHAnsi" w:hAnsiTheme="minorHAnsi" w:cstheme="minorHAnsi"/>
        </w:rPr>
        <w:t xml:space="preserve">Modalità di affidamento del </w:t>
      </w:r>
      <w:r w:rsidRPr="000C6009">
        <w:rPr>
          <w:rFonts w:asciiTheme="minorHAnsi" w:hAnsiTheme="minorHAnsi" w:cstheme="minorHAnsi"/>
        </w:rPr>
        <w:fldChar w:fldCharType="begin"/>
      </w:r>
      <w:r w:rsidRPr="000C6009">
        <w:rPr>
          <w:rFonts w:asciiTheme="minorHAnsi" w:hAnsiTheme="minorHAnsi" w:cstheme="minorHAnsi"/>
        </w:rPr>
        <w:instrText xml:space="preserve"> MERGEFIELD "Servizio" </w:instrText>
      </w:r>
      <w:r w:rsidRPr="000C6009">
        <w:rPr>
          <w:rFonts w:asciiTheme="minorHAnsi" w:hAnsiTheme="minorHAnsi" w:cstheme="minorHAnsi"/>
        </w:rPr>
        <w:fldChar w:fldCharType="separate"/>
      </w:r>
      <w:r w:rsidR="00C41A8C">
        <w:rPr>
          <w:rFonts w:asciiTheme="minorHAnsi" w:hAnsiTheme="minorHAnsi" w:cstheme="minorHAnsi"/>
          <w:noProof/>
        </w:rPr>
        <w:t>«Servizio»</w:t>
      </w:r>
      <w:bookmarkEnd w:id="86"/>
      <w:bookmarkEnd w:id="87"/>
      <w:bookmarkEnd w:id="89"/>
      <w:r w:rsidRPr="000C6009">
        <w:rPr>
          <w:rFonts w:asciiTheme="minorHAnsi" w:hAnsiTheme="minorHAnsi" w:cstheme="minorHAnsi"/>
          <w:noProof/>
        </w:rPr>
        <w:fldChar w:fldCharType="end"/>
      </w:r>
      <w:bookmarkEnd w:id="88"/>
    </w:p>
    <w:p w14:paraId="6478553F" w14:textId="77777777" w:rsidR="003B7E88" w:rsidRPr="000C6009" w:rsidRDefault="003B7E88" w:rsidP="003B7E88">
      <w:pPr>
        <w:spacing w:before="120" w:after="0" w:line="240" w:lineRule="auto"/>
        <w:rPr>
          <w:rFonts w:eastAsia="Times New Roman" w:cstheme="minorHAnsi"/>
        </w:rPr>
      </w:pPr>
      <w:bookmarkStart w:id="90" w:name="_Toc193374085"/>
      <w:r w:rsidRPr="000C6009">
        <w:rPr>
          <w:rFonts w:eastAsia="Times New Roman" w:cstheme="minorHAnsi"/>
          <w:szCs w:val="20"/>
        </w:rPr>
        <w:t>I Contratti di servizio che afferiscono al Bacino Sud Est sono quelli relativi ai servizi urbani di Alessandria, Asti, Casale Monferrato e Novi Ligure e ai servizi extraurbani della Provincia di Alessandria e della Provincia di Asti.</w:t>
      </w:r>
    </w:p>
    <w:p w14:paraId="776B3D2E"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rPr>
        <w:t xml:space="preserve">In merito ai servizi sopracitati, ad eccezione del solo servizio urbano di Asti non ancora in scadenza, </w:t>
      </w:r>
      <w:r w:rsidRPr="000C6009">
        <w:rPr>
          <w:rFonts w:eastAsia="Times New Roman" w:cstheme="minorHAnsi"/>
          <w:szCs w:val="20"/>
        </w:rPr>
        <w:t xml:space="preserve">si è provveduto a rilevare la sussistenza dei presupposti per concedere ai rispettivi operatori economici la c.d. “proroga per investimenti” (L. 25/22) </w:t>
      </w:r>
      <w:r w:rsidRPr="000C6009">
        <w:rPr>
          <w:rFonts w:eastAsia="Times New Roman" w:cstheme="minorHAnsi"/>
        </w:rPr>
        <w:t>attraverso</w:t>
      </w:r>
      <w:r w:rsidRPr="000C6009">
        <w:rPr>
          <w:rFonts w:eastAsia="Times New Roman" w:cstheme="minorHAnsi"/>
          <w:szCs w:val="20"/>
        </w:rPr>
        <w:t xml:space="preserve"> le seguenti Determinazioni Dirigenziali:</w:t>
      </w:r>
    </w:p>
    <w:p w14:paraId="6817121B"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N° 743 del 20/10/2023 (Servizio Urbano Casale Monferrato – AMC S.p.A.)</w:t>
      </w:r>
    </w:p>
    <w:p w14:paraId="581E9483"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 xml:space="preserve">N° 750 del 20/10/2023 (Servizio di TPL Extraurbano Provincia di Alessandria afferente comprensivo del servizio urbano del Comune di Novi Ligure </w:t>
      </w:r>
      <w:bookmarkStart w:id="91" w:name="_Hlk196318461"/>
      <w:r w:rsidRPr="000C6009">
        <w:rPr>
          <w:rFonts w:eastAsia="Calibri" w:cstheme="minorHAnsi"/>
          <w:lang w:eastAsia="en-US"/>
        </w:rPr>
        <w:t>– Consorzio SCAT</w:t>
      </w:r>
      <w:bookmarkEnd w:id="91"/>
      <w:r w:rsidRPr="000C6009">
        <w:rPr>
          <w:rFonts w:eastAsia="Calibri" w:cstheme="minorHAnsi"/>
          <w:lang w:eastAsia="en-US"/>
        </w:rPr>
        <w:t>)</w:t>
      </w:r>
    </w:p>
    <w:p w14:paraId="2834455A"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N° 760 del 23/10/2023 (Servizio di TPL Extraurbano - Provincia di Asti – Consorzio COAS)</w:t>
      </w:r>
    </w:p>
    <w:p w14:paraId="7855466A"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N° 771 del 25/10/2023 (Servizio TPL urbano di Alessandria – AMAG Mobilità S.p.A.)</w:t>
      </w:r>
    </w:p>
    <w:p w14:paraId="7A7B3D9A"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Gli Atti aggiuntivi di proroga tra AMP e i rispettivi Concessionari sono stati stipulati e repertoriati come segue:</w:t>
      </w:r>
    </w:p>
    <w:p w14:paraId="64F728C4"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Rep Contr. N° 365 del 07/06/2024 (Servizio di TPL Extraurbano - Provincia di Asti – Consorzio COAS)</w:t>
      </w:r>
    </w:p>
    <w:p w14:paraId="78E3CFBA"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Rep Contr. N° 366 del 07/06/2024 (Servizio di TPL Extraurbano Provincia di Alessandria afferente comprensivo del servizio urbano del Comune di Novi Ligure– Consorzio SCAT)</w:t>
      </w:r>
    </w:p>
    <w:p w14:paraId="56A4FB52"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Rep Contr. N° 370 del 05/08/2024 (Servizio Urbano Casale Monferrato – AMC S.p.A.)</w:t>
      </w:r>
    </w:p>
    <w:p w14:paraId="124A503C" w14:textId="77777777" w:rsidR="003B7E88" w:rsidRPr="000C6009" w:rsidRDefault="003B7E88" w:rsidP="003B7E88">
      <w:pPr>
        <w:numPr>
          <w:ilvl w:val="0"/>
          <w:numId w:val="39"/>
        </w:numPr>
        <w:spacing w:before="120" w:after="0" w:line="240" w:lineRule="auto"/>
        <w:contextualSpacing/>
        <w:jc w:val="left"/>
        <w:rPr>
          <w:rFonts w:eastAsia="Calibri" w:cstheme="minorHAnsi"/>
          <w:lang w:eastAsia="en-US"/>
        </w:rPr>
      </w:pPr>
      <w:r w:rsidRPr="000C6009">
        <w:rPr>
          <w:rFonts w:eastAsia="Calibri" w:cstheme="minorHAnsi"/>
          <w:lang w:eastAsia="en-US"/>
        </w:rPr>
        <w:t>Rep Contr. N° 386 del 18/12/2024 (Servizio TPL urbano di Alessandria – AMAG Mobilità S.p.A.)</w:t>
      </w:r>
    </w:p>
    <w:p w14:paraId="47F4C04C"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quanto riguarda il contratto per il servizio di trasporto pubblico urbano di Asti, la cui Impresa affidataria è Asti Servizi Pubblici S.p.A., esso è stato trasferito all’Agenzia a far data dal 1° gennaio 2022 con apposita Convenzione sottoscritta tra le parti (Comune di Asti e AMP) l’8 marzo 2022. La scadenza di questo affidamento è fissata al 31 dicembre 2027. Pertanto, non è stato oggetto di “proroga per investimenti”.</w:t>
      </w:r>
    </w:p>
    <w:p w14:paraId="13820DC9"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Di seguito si riportano per ciascun contratto le modalità di affidamento e di trasferimento degli stessi all’Agenzia avvenuto ai sensi dell’art. 10, c. 4-bis della L.R. Piemonte n. 1/2000 e s.m.i.</w:t>
      </w:r>
    </w:p>
    <w:p w14:paraId="7F579A41" w14:textId="77777777" w:rsidR="003B7E88" w:rsidRPr="000C6009" w:rsidRDefault="003B7E88" w:rsidP="003B7E88">
      <w:pPr>
        <w:spacing w:before="120" w:after="0" w:line="240" w:lineRule="auto"/>
        <w:rPr>
          <w:rFonts w:eastAsia="Times New Roman" w:cstheme="minorHAnsi"/>
          <w:b/>
          <w:bCs/>
          <w:szCs w:val="20"/>
        </w:rPr>
      </w:pPr>
      <w:r w:rsidRPr="000C6009">
        <w:rPr>
          <w:rFonts w:eastAsia="Times New Roman" w:cstheme="minorHAnsi"/>
          <w:b/>
          <w:bCs/>
          <w:szCs w:val="20"/>
        </w:rPr>
        <w:t>SERVIZIO DI TPL EXTRAURBANO PROVINCIA DI ALESSANDRIA E URBANO NOVI LIGURE</w:t>
      </w:r>
    </w:p>
    <w:p w14:paraId="5EC59F54"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l'esercizio del Servizio di TPL Extraurbano Provincia di Alessandria afferente ai Servizi di TPL del Bacino Sud Est, la SOCIETÀ CONSORTILE ALESSANDRINA TRASPORTI (C.F./P.I. 02265840062) ha sottoscritto il contratto di servizio rep. n. 2625 del 05/08/2010 con durata 13/09/2010-12/09/2016.</w:t>
      </w:r>
    </w:p>
    <w:p w14:paraId="5E7E531F"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il servizio di TPL Urbano di Novi Ligure, il comune aveva provveduto all’affidamento diretto dello stesso al Consorzio Intercomunale Trasporti denominato CIT per il periodo 2002 – 2017 prorogato successivamente con Delibera di Consiglio Comunale N. 274 del 27/12/2018 sino al 30/06/2019.</w:t>
      </w:r>
    </w:p>
    <w:p w14:paraId="2F47C4E6"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In attuazione dell’art. 10, c. 4-bis della L.R. Piemonte n. 1/2000, come modificata dalle LL.RR. nn. 1/2015 e 15/2015, con specifiche convenzioni sottoscritte in data 10/06/20216 e 21/03/2019 sono stati trasferiti i suddetti contratti all’Agenzia, successivamente prorogati con atti specifici fino al 30/09/2023:</w:t>
      </w:r>
    </w:p>
    <w:p w14:paraId="6F596FF6" w14:textId="77777777" w:rsidR="003B7E88" w:rsidRPr="000C6009" w:rsidRDefault="003B7E88" w:rsidP="003B7E88">
      <w:pPr>
        <w:tabs>
          <w:tab w:val="left" w:pos="2911"/>
        </w:tabs>
        <w:rPr>
          <w:rFonts w:eastAsia="Times New Roman" w:cstheme="minorHAnsi"/>
          <w:szCs w:val="20"/>
        </w:rPr>
      </w:pPr>
      <w:r w:rsidRPr="000C6009">
        <w:rPr>
          <w:rFonts w:eastAsia="Times New Roman" w:cstheme="minorHAnsi"/>
          <w:szCs w:val="20"/>
        </w:rPr>
        <w:tab/>
      </w:r>
    </w:p>
    <w:p w14:paraId="55292A59"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lastRenderedPageBreak/>
        <w:t>con Determinazione n.433 del 16/06/2023 è stato dato avvio al procedimento per la definizione della cd. “proroga per investimenti” (L. 25/22),</w:t>
      </w:r>
    </w:p>
    <w:p w14:paraId="274A8D72"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Determinazione n.483 del 30 giugno 2023 è stato preso atto della richiesta degli operatori SCAT e Bus Company di inserire il contratto servizio di TPL Urbano - Novi Ligure nel provvedimento di proroga del contratto di servizio di TPL extraurbano provincia di Alessandria;</w:t>
      </w:r>
    </w:p>
    <w:p w14:paraId="72212494"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DD n. 750 del 20/10/2023 è stata concessa la proroga del servizio ai sensi dell’Art. 24 comma 5-bis del D.L. del 27 gennaio 2022 n. 4 convertito con modificazioni dalla L. 28/03/2022 n. 25 fino al 31/12/2026.</w:t>
      </w:r>
    </w:p>
    <w:p w14:paraId="7C853D9E" w14:textId="77777777" w:rsidR="003B7E88" w:rsidRPr="000C6009" w:rsidRDefault="003B7E88" w:rsidP="003B7E88">
      <w:pPr>
        <w:spacing w:before="120" w:after="0" w:line="240" w:lineRule="auto"/>
        <w:rPr>
          <w:rFonts w:eastAsia="Times New Roman" w:cstheme="minorHAnsi"/>
          <w:szCs w:val="20"/>
        </w:rPr>
      </w:pPr>
    </w:p>
    <w:tbl>
      <w:tblPr>
        <w:tblStyle w:val="Grigliatabella2"/>
        <w:tblW w:w="9072" w:type="dxa"/>
        <w:tblInd w:w="-5" w:type="dxa"/>
        <w:tblLook w:val="04A0" w:firstRow="1" w:lastRow="0" w:firstColumn="1" w:lastColumn="0" w:noHBand="0" w:noVBand="1"/>
      </w:tblPr>
      <w:tblGrid>
        <w:gridCol w:w="2127"/>
        <w:gridCol w:w="6945"/>
      </w:tblGrid>
      <w:tr w:rsidR="003B7E88" w:rsidRPr="000C6009" w14:paraId="104052E2" w14:textId="77777777" w:rsidTr="00BD261D">
        <w:tc>
          <w:tcPr>
            <w:tcW w:w="9072" w:type="dxa"/>
            <w:gridSpan w:val="2"/>
            <w:tcBorders>
              <w:top w:val="single" w:sz="4" w:space="0" w:color="A6A6A6"/>
              <w:left w:val="single" w:sz="4" w:space="0" w:color="A6A6A6"/>
              <w:bottom w:val="single" w:sz="4" w:space="0" w:color="A6A6A6"/>
              <w:right w:val="single" w:sz="4" w:space="0" w:color="A6A6A6"/>
            </w:tcBorders>
            <w:hideMark/>
          </w:tcPr>
          <w:p w14:paraId="1E99E058" w14:textId="77777777" w:rsidR="003B7E88" w:rsidRPr="000C6009" w:rsidRDefault="003B7E88" w:rsidP="00BD261D">
            <w:pPr>
              <w:spacing w:before="120" w:after="0" w:line="240" w:lineRule="auto"/>
              <w:jc w:val="center"/>
              <w:rPr>
                <w:rFonts w:eastAsia="Calibri" w:cstheme="minorHAnsi"/>
                <w:b/>
                <w:caps/>
                <w:color w:val="000000"/>
                <w:spacing w:val="1"/>
                <w:szCs w:val="20"/>
              </w:rPr>
            </w:pPr>
            <w:r w:rsidRPr="000C6009">
              <w:rPr>
                <w:rFonts w:eastAsia="Calibri" w:cstheme="minorHAnsi"/>
                <w:b/>
                <w:caps/>
                <w:color w:val="000000"/>
                <w:spacing w:val="1"/>
                <w:szCs w:val="20"/>
              </w:rPr>
              <w:t>Servizi tpl DI AUTOLINEA EXTRAURBANO DELLA PROVINCIA DI ALESSANDRIA</w:t>
            </w:r>
          </w:p>
        </w:tc>
      </w:tr>
      <w:tr w:rsidR="003B7E88" w:rsidRPr="000C6009" w14:paraId="727E2698"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0EB86373"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6945" w:type="dxa"/>
            <w:tcBorders>
              <w:top w:val="single" w:sz="4" w:space="0" w:color="A6A6A6"/>
              <w:left w:val="single" w:sz="4" w:space="0" w:color="A6A6A6"/>
              <w:bottom w:val="single" w:sz="4" w:space="0" w:color="A6A6A6"/>
              <w:right w:val="single" w:sz="4" w:space="0" w:color="A6A6A6"/>
            </w:tcBorders>
            <w:hideMark/>
          </w:tcPr>
          <w:p w14:paraId="52CBE0DC"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65D5BE24" w14:textId="77777777" w:rsidTr="00BD261D">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6C9B8AC7" w14:textId="77777777" w:rsidR="003B7E88" w:rsidRPr="000C6009" w:rsidRDefault="003B7E88" w:rsidP="00BD261D">
            <w:pPr>
              <w:spacing w:before="120" w:after="0" w:line="240" w:lineRule="auto"/>
              <w:jc w:val="left"/>
              <w:rPr>
                <w:rFonts w:eastAsia="Times New Roman" w:cstheme="minorHAnsi"/>
                <w:b/>
                <w:szCs w:val="20"/>
              </w:rPr>
            </w:pPr>
            <w:r w:rsidRPr="000C6009">
              <w:rPr>
                <w:rFonts w:eastAsia="Times New Roman" w:cstheme="minorHAnsi"/>
                <w:b/>
                <w:bCs/>
                <w:color w:val="000000"/>
                <w:szCs w:val="20"/>
              </w:rPr>
              <w:t>Soggetto Affidatario:</w:t>
            </w:r>
          </w:p>
        </w:tc>
        <w:tc>
          <w:tcPr>
            <w:tcW w:w="6945" w:type="dxa"/>
            <w:tcBorders>
              <w:top w:val="single" w:sz="4" w:space="0" w:color="A6A6A6"/>
              <w:left w:val="single" w:sz="4" w:space="0" w:color="A6A6A6"/>
              <w:bottom w:val="single" w:sz="4" w:space="0" w:color="A6A6A6"/>
              <w:right w:val="single" w:sz="4" w:space="0" w:color="A6A6A6"/>
            </w:tcBorders>
            <w:hideMark/>
          </w:tcPr>
          <w:p w14:paraId="2627F459"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SOCIETÀ CONSORTILE ALESSANDRINA TRASPORTI (C.F./P.I. 02265840062), Viale Milite Ignoto 26/28 – 15121 Alessandria.</w:t>
            </w:r>
          </w:p>
        </w:tc>
      </w:tr>
      <w:tr w:rsidR="003B7E88" w:rsidRPr="000C6009" w14:paraId="07BCA4DA"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53EC53AD"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6945" w:type="dxa"/>
            <w:tcBorders>
              <w:top w:val="single" w:sz="4" w:space="0" w:color="A6A6A6"/>
              <w:left w:val="single" w:sz="4" w:space="0" w:color="A6A6A6"/>
              <w:bottom w:val="single" w:sz="4" w:space="0" w:color="A6A6A6"/>
              <w:right w:val="single" w:sz="4" w:space="0" w:color="A6A6A6"/>
            </w:tcBorders>
            <w:hideMark/>
          </w:tcPr>
          <w:p w14:paraId="2C530391"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A seguito di gara ad evidenza pubblica con procedura aperta, la SOCIETÀ CONSORTILE ALESSANDRINA TRASPORTI ha sottoscritto il contratto Rep. n. 2626 del 5/08/2010 per il periodo 13/09/2010 – 12/09/2016</w:t>
            </w:r>
          </w:p>
        </w:tc>
      </w:tr>
      <w:tr w:rsidR="003B7E88" w:rsidRPr="000C6009" w14:paraId="196F5EB5"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6B0CE422"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Atti di proroga e imposizione di OdS:</w:t>
            </w:r>
          </w:p>
        </w:tc>
        <w:tc>
          <w:tcPr>
            <w:tcW w:w="6945" w:type="dxa"/>
            <w:tcBorders>
              <w:top w:val="single" w:sz="4" w:space="0" w:color="A6A6A6"/>
              <w:left w:val="single" w:sz="4" w:space="0" w:color="A6A6A6"/>
              <w:bottom w:val="single" w:sz="4" w:space="0" w:color="A6A6A6"/>
              <w:right w:val="single" w:sz="4" w:space="0" w:color="A6A6A6"/>
            </w:tcBorders>
            <w:hideMark/>
          </w:tcPr>
          <w:p w14:paraId="6898DB3E" w14:textId="77777777" w:rsidR="003B7E88" w:rsidRPr="000C6009" w:rsidRDefault="003B7E88" w:rsidP="00BD261D">
            <w:pPr>
              <w:numPr>
                <w:ilvl w:val="0"/>
                <w:numId w:val="18"/>
              </w:numPr>
              <w:tabs>
                <w:tab w:val="left" w:pos="1540"/>
              </w:tabs>
              <w:spacing w:before="120" w:after="0" w:line="240" w:lineRule="auto"/>
              <w:ind w:left="357" w:hanging="357"/>
              <w:jc w:val="left"/>
              <w:rPr>
                <w:rFonts w:eastAsia="Calibri" w:cstheme="minorHAnsi"/>
                <w:color w:val="000000"/>
                <w:spacing w:val="1"/>
                <w:lang w:eastAsia="en-US"/>
              </w:rPr>
            </w:pPr>
            <w:r w:rsidRPr="000C6009">
              <w:rPr>
                <w:rFonts w:eastAsia="Calibri" w:cstheme="minorHAnsi"/>
                <w:color w:val="000000"/>
                <w:spacing w:val="1"/>
                <w:lang w:eastAsia="en-US"/>
              </w:rPr>
              <w:t>DD 397/2016 Periodo di ultrattività ex art. 4.2 contratto di servizio al 31/05/2017</w:t>
            </w:r>
          </w:p>
          <w:p w14:paraId="4B1FD322"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401 del 12/09/2017 affidamento ex art. 5, par. 5 Reg. CE 1370/2007 Data fine proroga 15/06/2019</w:t>
            </w:r>
          </w:p>
          <w:p w14:paraId="1EF391A0"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494 DEL 09/08/2019 proroga ex art. 5, par. 5 Reg. CE 1370/2007 Data fine proroga 30/06/2021</w:t>
            </w:r>
          </w:p>
          <w:p w14:paraId="01266B8A"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260 del 13/05/2021 imposizione OdS fino al 31/07/2022</w:t>
            </w:r>
          </w:p>
          <w:p w14:paraId="39F83A64"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1 del 03/01/2022 imposizione OdS fino al 31/03/2023</w:t>
            </w:r>
          </w:p>
          <w:p w14:paraId="02E4DD15"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223/2023 art. 5 par. 5 fino al 30/06/2023</w:t>
            </w:r>
          </w:p>
          <w:p w14:paraId="210229E6" w14:textId="77777777" w:rsidR="003B7E88" w:rsidRPr="000C6009" w:rsidRDefault="003B7E88" w:rsidP="00BD261D">
            <w:pPr>
              <w:numPr>
                <w:ilvl w:val="0"/>
                <w:numId w:val="18"/>
              </w:numPr>
              <w:tabs>
                <w:tab w:val="left" w:pos="1540"/>
              </w:tabs>
              <w:spacing w:before="120" w:after="0" w:line="240" w:lineRule="auto"/>
              <w:contextualSpacing/>
              <w:jc w:val="left"/>
              <w:rPr>
                <w:rFonts w:eastAsia="Calibri" w:cstheme="minorHAnsi"/>
                <w:color w:val="000000"/>
                <w:spacing w:val="1"/>
                <w:lang w:eastAsia="en-US"/>
              </w:rPr>
            </w:pPr>
            <w:r w:rsidRPr="000C6009">
              <w:rPr>
                <w:rFonts w:eastAsia="Calibri" w:cstheme="minorHAnsi"/>
                <w:color w:val="000000"/>
                <w:spacing w:val="1"/>
                <w:lang w:eastAsia="en-US"/>
              </w:rPr>
              <w:t>DD 483/2023 art. 5 par. 5 fino al 30/09/2023</w:t>
            </w:r>
          </w:p>
          <w:p w14:paraId="6B0E2A08" w14:textId="77777777" w:rsidR="003B7E88" w:rsidRPr="000C6009" w:rsidRDefault="003B7E88" w:rsidP="00BD261D">
            <w:pPr>
              <w:numPr>
                <w:ilvl w:val="0"/>
                <w:numId w:val="18"/>
              </w:numPr>
              <w:tabs>
                <w:tab w:val="left" w:pos="1540"/>
              </w:tabs>
              <w:spacing w:before="120" w:after="0" w:line="240" w:lineRule="auto"/>
              <w:contextualSpacing/>
              <w:rPr>
                <w:rFonts w:eastAsia="Calibri" w:cstheme="minorHAnsi"/>
                <w:color w:val="000000"/>
                <w:spacing w:val="1"/>
                <w:lang w:eastAsia="en-US"/>
              </w:rPr>
            </w:pPr>
            <w:r w:rsidRPr="000C6009">
              <w:rPr>
                <w:rFonts w:eastAsia="Calibri" w:cstheme="minorHAnsi"/>
                <w:color w:val="000000"/>
                <w:spacing w:val="1"/>
                <w:lang w:eastAsia="en-US"/>
              </w:rPr>
              <w:t>DD 750/2023 Definizione del procedimento di proroga per investimenti (L.26/22) – sussistenza presupposti per proroga 01/01/2023-31/12/2026</w:t>
            </w:r>
          </w:p>
        </w:tc>
      </w:tr>
      <w:tr w:rsidR="003B7E88" w:rsidRPr="000C6009" w14:paraId="64CAB885"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60910B83"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6945" w:type="dxa"/>
            <w:tcBorders>
              <w:top w:val="single" w:sz="4" w:space="0" w:color="A6A6A6"/>
              <w:left w:val="single" w:sz="4" w:space="0" w:color="A6A6A6"/>
              <w:bottom w:val="single" w:sz="4" w:space="0" w:color="A6A6A6"/>
              <w:right w:val="single" w:sz="4" w:space="0" w:color="A6A6A6"/>
            </w:tcBorders>
            <w:hideMark/>
          </w:tcPr>
          <w:p w14:paraId="37737E8D" w14:textId="77777777" w:rsidR="003B7E88" w:rsidRPr="000C6009" w:rsidRDefault="003B7E88" w:rsidP="00BD261D">
            <w:pPr>
              <w:tabs>
                <w:tab w:val="left" w:pos="1540"/>
              </w:tabs>
              <w:spacing w:before="120" w:after="0" w:line="240" w:lineRule="auto"/>
              <w:rPr>
                <w:rFonts w:eastAsia="Calibri" w:cstheme="minorHAnsi"/>
                <w:color w:val="000000"/>
                <w:spacing w:val="1"/>
                <w:lang w:eastAsia="en-US"/>
              </w:rPr>
            </w:pPr>
            <w:r w:rsidRPr="000C6009">
              <w:rPr>
                <w:rFonts w:eastAsia="Calibri" w:cstheme="minorHAnsi"/>
                <w:color w:val="000000"/>
                <w:spacing w:val="1"/>
                <w:lang w:eastAsia="en-US"/>
              </w:rPr>
              <w:t>Ultima Proroga dal 01/01/2023 al 31/12/2026</w:t>
            </w:r>
          </w:p>
        </w:tc>
      </w:tr>
      <w:tr w:rsidR="003B7E88" w:rsidRPr="000C6009" w14:paraId="1D2BC9CD"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5015A33A"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6945" w:type="dxa"/>
            <w:tcBorders>
              <w:top w:val="single" w:sz="4" w:space="0" w:color="A6A6A6"/>
              <w:left w:val="single" w:sz="4" w:space="0" w:color="A6A6A6"/>
              <w:bottom w:val="single" w:sz="4" w:space="0" w:color="A6A6A6"/>
              <w:right w:val="single" w:sz="4" w:space="0" w:color="A6A6A6"/>
            </w:tcBorders>
            <w:hideMark/>
          </w:tcPr>
          <w:p w14:paraId="6923CAE6"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Servizio extraurbano di autolinea della Provincia di Alessandria</w:t>
            </w:r>
          </w:p>
        </w:tc>
      </w:tr>
    </w:tbl>
    <w:p w14:paraId="33E974B2" w14:textId="7A73B934" w:rsidR="003B7E88" w:rsidRPr="00C41A8C" w:rsidRDefault="003B7E88" w:rsidP="003B7E88">
      <w:pPr>
        <w:pStyle w:val="Didascalia"/>
        <w:jc w:val="center"/>
        <w:rPr>
          <w:rFonts w:cstheme="minorHAnsi"/>
          <w:iCs w:val="0"/>
          <w:color w:val="003366"/>
        </w:rPr>
      </w:pPr>
      <w:r w:rsidRPr="00C41A8C">
        <w:rPr>
          <w:rFonts w:cstheme="minorHAnsi"/>
          <w:color w:val="003366"/>
        </w:rPr>
        <w:t xml:space="preserve">Tabella </w:t>
      </w:r>
      <w:r w:rsidRPr="00C41A8C">
        <w:rPr>
          <w:rFonts w:cstheme="minorHAnsi"/>
          <w:color w:val="003366"/>
        </w:rPr>
        <w:fldChar w:fldCharType="begin"/>
      </w:r>
      <w:r w:rsidRPr="00C41A8C">
        <w:rPr>
          <w:rFonts w:cstheme="minorHAnsi"/>
          <w:color w:val="003366"/>
        </w:rPr>
        <w:instrText xml:space="preserve"> SEQ Tabella \* ARABIC </w:instrText>
      </w:r>
      <w:r w:rsidRPr="00C41A8C">
        <w:rPr>
          <w:rFonts w:cstheme="minorHAnsi"/>
          <w:color w:val="003366"/>
        </w:rPr>
        <w:fldChar w:fldCharType="separate"/>
      </w:r>
      <w:r w:rsidR="00670903">
        <w:rPr>
          <w:rFonts w:cstheme="minorHAnsi"/>
          <w:noProof/>
          <w:color w:val="003366"/>
        </w:rPr>
        <w:t>1</w:t>
      </w:r>
      <w:r w:rsidRPr="00C41A8C">
        <w:rPr>
          <w:rFonts w:cstheme="minorHAnsi"/>
          <w:noProof/>
          <w:color w:val="003366"/>
        </w:rPr>
        <w:fldChar w:fldCharType="end"/>
      </w:r>
      <w:r w:rsidRPr="00C41A8C">
        <w:rPr>
          <w:rFonts w:cstheme="minorHAnsi"/>
          <w:i w:val="0"/>
          <w:color w:val="003366"/>
        </w:rPr>
        <w:t xml:space="preserve"> – </w:t>
      </w:r>
      <w:r w:rsidRPr="00C41A8C">
        <w:rPr>
          <w:rFonts w:cstheme="minorHAnsi"/>
          <w:iCs w:val="0"/>
          <w:color w:val="003366"/>
        </w:rPr>
        <w:t>Quadro affidamento dei servizi di TPL Provincia di Alessandria</w:t>
      </w:r>
    </w:p>
    <w:p w14:paraId="1E2EA57C" w14:textId="670B1D94" w:rsidR="005973F8" w:rsidRDefault="005973F8" w:rsidP="003B7E88">
      <w:pPr>
        <w:rPr>
          <w:rFonts w:cstheme="minorHAnsi"/>
        </w:rPr>
      </w:pPr>
      <w:r>
        <w:rPr>
          <w:rFonts w:cstheme="minorHAnsi"/>
        </w:rPr>
        <w:br w:type="page"/>
      </w:r>
    </w:p>
    <w:tbl>
      <w:tblPr>
        <w:tblStyle w:val="Grigliatabella2"/>
        <w:tblW w:w="9161" w:type="dxa"/>
        <w:tblInd w:w="-5" w:type="dxa"/>
        <w:tblLook w:val="04A0" w:firstRow="1" w:lastRow="0" w:firstColumn="1" w:lastColumn="0" w:noHBand="0" w:noVBand="1"/>
      </w:tblPr>
      <w:tblGrid>
        <w:gridCol w:w="2127"/>
        <w:gridCol w:w="7034"/>
      </w:tblGrid>
      <w:tr w:rsidR="003B7E88" w:rsidRPr="000C6009" w14:paraId="5B2AF27C" w14:textId="77777777" w:rsidTr="00BD261D">
        <w:trPr>
          <w:trHeight w:val="389"/>
        </w:trPr>
        <w:tc>
          <w:tcPr>
            <w:tcW w:w="9161" w:type="dxa"/>
            <w:gridSpan w:val="2"/>
            <w:tcBorders>
              <w:top w:val="single" w:sz="4" w:space="0" w:color="A6A6A6"/>
              <w:left w:val="single" w:sz="4" w:space="0" w:color="A6A6A6"/>
              <w:bottom w:val="single" w:sz="4" w:space="0" w:color="A6A6A6"/>
              <w:right w:val="single" w:sz="4" w:space="0" w:color="A6A6A6"/>
            </w:tcBorders>
            <w:hideMark/>
          </w:tcPr>
          <w:p w14:paraId="7E8F5132" w14:textId="77777777" w:rsidR="003B7E88" w:rsidRPr="000C6009" w:rsidRDefault="003B7E88" w:rsidP="00BD261D">
            <w:pPr>
              <w:spacing w:before="120" w:after="0" w:line="240" w:lineRule="auto"/>
              <w:jc w:val="center"/>
              <w:rPr>
                <w:rFonts w:eastAsia="Calibri" w:cstheme="minorHAnsi"/>
                <w:b/>
                <w:caps/>
                <w:color w:val="000000"/>
                <w:spacing w:val="1"/>
                <w:szCs w:val="20"/>
              </w:rPr>
            </w:pPr>
            <w:r w:rsidRPr="000C6009">
              <w:rPr>
                <w:rFonts w:eastAsia="Calibri" w:cstheme="minorHAnsi"/>
                <w:b/>
                <w:caps/>
                <w:color w:val="000000"/>
                <w:spacing w:val="1"/>
                <w:szCs w:val="20"/>
              </w:rPr>
              <w:lastRenderedPageBreak/>
              <w:t>Servizi tpl DI AUTOLINEA URBANO DI NOVI LIGURE</w:t>
            </w:r>
          </w:p>
        </w:tc>
      </w:tr>
      <w:tr w:rsidR="003B7E88" w:rsidRPr="000C6009" w14:paraId="223DDB7B" w14:textId="77777777" w:rsidTr="00BD261D">
        <w:trPr>
          <w:trHeight w:val="374"/>
        </w:trPr>
        <w:tc>
          <w:tcPr>
            <w:tcW w:w="2127" w:type="dxa"/>
            <w:tcBorders>
              <w:top w:val="single" w:sz="4" w:space="0" w:color="A6A6A6"/>
              <w:left w:val="single" w:sz="4" w:space="0" w:color="A6A6A6"/>
              <w:bottom w:val="single" w:sz="4" w:space="0" w:color="A6A6A6"/>
              <w:right w:val="single" w:sz="4" w:space="0" w:color="A6A6A6"/>
            </w:tcBorders>
            <w:hideMark/>
          </w:tcPr>
          <w:p w14:paraId="19A55AB0"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7034" w:type="dxa"/>
            <w:tcBorders>
              <w:top w:val="single" w:sz="4" w:space="0" w:color="A6A6A6"/>
              <w:left w:val="single" w:sz="4" w:space="0" w:color="A6A6A6"/>
              <w:bottom w:val="single" w:sz="4" w:space="0" w:color="A6A6A6"/>
              <w:right w:val="single" w:sz="4" w:space="0" w:color="A6A6A6"/>
            </w:tcBorders>
            <w:hideMark/>
          </w:tcPr>
          <w:p w14:paraId="7794CB08"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4DDCA2CD" w14:textId="77777777" w:rsidTr="00BD261D">
        <w:trPr>
          <w:trHeight w:val="548"/>
        </w:trPr>
        <w:tc>
          <w:tcPr>
            <w:tcW w:w="2127" w:type="dxa"/>
            <w:tcBorders>
              <w:top w:val="single" w:sz="4" w:space="0" w:color="A6A6A6"/>
              <w:left w:val="single" w:sz="4" w:space="0" w:color="A6A6A6"/>
              <w:bottom w:val="single" w:sz="4" w:space="0" w:color="A6A6A6"/>
              <w:right w:val="single" w:sz="4" w:space="0" w:color="A6A6A6"/>
            </w:tcBorders>
            <w:hideMark/>
          </w:tcPr>
          <w:p w14:paraId="3A19D4FA" w14:textId="77777777" w:rsidR="003B7E88" w:rsidRPr="000C6009" w:rsidRDefault="003B7E88" w:rsidP="00BD261D">
            <w:pPr>
              <w:spacing w:before="120" w:after="0" w:line="240" w:lineRule="auto"/>
              <w:jc w:val="left"/>
              <w:rPr>
                <w:rFonts w:eastAsia="Times New Roman" w:cstheme="minorHAnsi"/>
                <w:b/>
                <w:szCs w:val="20"/>
              </w:rPr>
            </w:pPr>
            <w:r w:rsidRPr="000C6009">
              <w:rPr>
                <w:rFonts w:eastAsia="Times New Roman" w:cstheme="minorHAnsi"/>
                <w:b/>
                <w:bCs/>
                <w:color w:val="000000"/>
                <w:szCs w:val="20"/>
              </w:rPr>
              <w:t>Soggetto Affidatario:</w:t>
            </w:r>
          </w:p>
        </w:tc>
        <w:tc>
          <w:tcPr>
            <w:tcW w:w="7034" w:type="dxa"/>
            <w:tcBorders>
              <w:top w:val="single" w:sz="4" w:space="0" w:color="A6A6A6"/>
              <w:left w:val="single" w:sz="4" w:space="0" w:color="A6A6A6"/>
              <w:bottom w:val="single" w:sz="4" w:space="0" w:color="A6A6A6"/>
              <w:right w:val="single" w:sz="4" w:space="0" w:color="A6A6A6"/>
            </w:tcBorders>
            <w:hideMark/>
          </w:tcPr>
          <w:p w14:paraId="0C0C45C1"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Times New Roman" w:cstheme="minorHAnsi"/>
                <w:szCs w:val="20"/>
              </w:rPr>
              <w:t xml:space="preserve">Consorzio Intercomunale Trasporti denominato CIT – subentro della società BUS COMANY srl a seguito dell’acquisizione di CIT – subentro della </w:t>
            </w:r>
            <w:r w:rsidRPr="000C6009">
              <w:rPr>
                <w:rFonts w:eastAsia="Calibri" w:cstheme="minorHAnsi"/>
                <w:color w:val="000000"/>
                <w:spacing w:val="1"/>
                <w:szCs w:val="20"/>
              </w:rPr>
              <w:t>SOCIETÀ CONSORTILE ALESSANDRINA TRASPORTI (C.F./P.I. 02265840062), Viale Milite Ignoto 26/28 – 15121 Alessandria.</w:t>
            </w:r>
          </w:p>
        </w:tc>
      </w:tr>
      <w:tr w:rsidR="003B7E88" w:rsidRPr="000C6009" w14:paraId="070E013E" w14:textId="77777777" w:rsidTr="00BD261D">
        <w:trPr>
          <w:trHeight w:val="658"/>
        </w:trPr>
        <w:tc>
          <w:tcPr>
            <w:tcW w:w="2127" w:type="dxa"/>
            <w:tcBorders>
              <w:top w:val="single" w:sz="4" w:space="0" w:color="A6A6A6"/>
              <w:left w:val="single" w:sz="4" w:space="0" w:color="A6A6A6"/>
              <w:bottom w:val="single" w:sz="4" w:space="0" w:color="A6A6A6"/>
              <w:right w:val="single" w:sz="4" w:space="0" w:color="A6A6A6"/>
            </w:tcBorders>
            <w:hideMark/>
          </w:tcPr>
          <w:p w14:paraId="245E7A53"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5787928D"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Il comune ha provveduto all’affidamento diretto del servizio a CIT per il periodo 01/01/2002 – 31/12/2017</w:t>
            </w:r>
          </w:p>
        </w:tc>
      </w:tr>
      <w:tr w:rsidR="003B7E88" w:rsidRPr="000C6009" w14:paraId="61DE913E" w14:textId="77777777" w:rsidTr="00BD261D">
        <w:trPr>
          <w:trHeight w:val="2918"/>
        </w:trPr>
        <w:tc>
          <w:tcPr>
            <w:tcW w:w="2127" w:type="dxa"/>
            <w:tcBorders>
              <w:top w:val="single" w:sz="4" w:space="0" w:color="A6A6A6"/>
              <w:left w:val="single" w:sz="4" w:space="0" w:color="A6A6A6"/>
              <w:bottom w:val="single" w:sz="4" w:space="0" w:color="A6A6A6"/>
              <w:right w:val="single" w:sz="4" w:space="0" w:color="A6A6A6"/>
            </w:tcBorders>
            <w:hideMark/>
          </w:tcPr>
          <w:p w14:paraId="3F526F1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Atti di proroga e imposizione di OdS:</w:t>
            </w:r>
          </w:p>
        </w:tc>
        <w:tc>
          <w:tcPr>
            <w:tcW w:w="7034" w:type="dxa"/>
            <w:tcBorders>
              <w:top w:val="single" w:sz="4" w:space="0" w:color="A6A6A6"/>
              <w:left w:val="single" w:sz="4" w:space="0" w:color="A6A6A6"/>
              <w:bottom w:val="single" w:sz="4" w:space="0" w:color="A6A6A6"/>
              <w:right w:val="single" w:sz="4" w:space="0" w:color="A6A6A6"/>
            </w:tcBorders>
            <w:hideMark/>
          </w:tcPr>
          <w:p w14:paraId="587C3E03" w14:textId="77777777" w:rsidR="003B7E88" w:rsidRPr="000C6009" w:rsidRDefault="003B7E88" w:rsidP="00BD261D">
            <w:pPr>
              <w:numPr>
                <w:ilvl w:val="0"/>
                <w:numId w:val="18"/>
              </w:numPr>
              <w:tabs>
                <w:tab w:val="left" w:pos="1540"/>
              </w:tabs>
              <w:spacing w:before="120" w:after="0" w:line="266" w:lineRule="exact"/>
              <w:ind w:left="357" w:hanging="357"/>
              <w:jc w:val="left"/>
              <w:rPr>
                <w:rFonts w:eastAsia="Calibri" w:cstheme="minorHAnsi"/>
                <w:color w:val="000000"/>
                <w:spacing w:val="1"/>
                <w:lang w:eastAsia="en-US"/>
              </w:rPr>
            </w:pPr>
            <w:r w:rsidRPr="000C6009">
              <w:rPr>
                <w:rFonts w:eastAsia="Calibri" w:cstheme="minorHAnsi"/>
                <w:color w:val="000000"/>
                <w:spacing w:val="1"/>
                <w:lang w:eastAsia="en-US"/>
              </w:rPr>
              <w:t>delibera della Giunta del Comune di Novi Ligure, n. 274 del 27/12/2018 Data fine proroga 30/06/2019</w:t>
            </w:r>
          </w:p>
          <w:p w14:paraId="3163DA93"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417 DEL 15/07/2019 proroga ex art. 5, par. 5 Reg. CE 1370/2007 – Data fine proroga 12/06/2021</w:t>
            </w:r>
          </w:p>
          <w:p w14:paraId="5EC4F8F1"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258 del 13/05/2021 imposizione OdS fino al 31/07/2022</w:t>
            </w:r>
          </w:p>
          <w:p w14:paraId="458F1097"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862 del 30/12/2021 imposizione OdS fino al 31/03/2023</w:t>
            </w:r>
          </w:p>
          <w:p w14:paraId="1C7C3EEF"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225/2023 art. 5 par. 5 fino al 30/06/2023</w:t>
            </w:r>
          </w:p>
          <w:p w14:paraId="658714A3"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483/2023 art. 5 par. 5 fino al 30/09/2023</w:t>
            </w:r>
          </w:p>
          <w:p w14:paraId="0A2FABCD" w14:textId="77777777" w:rsidR="003B7E88" w:rsidRPr="000C6009" w:rsidRDefault="003B7E88" w:rsidP="00BD261D">
            <w:pPr>
              <w:numPr>
                <w:ilvl w:val="0"/>
                <w:numId w:val="18"/>
              </w:numPr>
              <w:tabs>
                <w:tab w:val="left" w:pos="1540"/>
              </w:tabs>
              <w:spacing w:before="120" w:after="0" w:line="266" w:lineRule="exact"/>
              <w:contextualSpacing/>
              <w:rPr>
                <w:rFonts w:eastAsia="Calibri" w:cstheme="minorHAnsi"/>
                <w:color w:val="000000"/>
                <w:spacing w:val="1"/>
                <w:lang w:eastAsia="en-US"/>
              </w:rPr>
            </w:pPr>
            <w:r w:rsidRPr="000C6009">
              <w:rPr>
                <w:rFonts w:eastAsia="Calibri" w:cstheme="minorHAnsi"/>
                <w:color w:val="000000"/>
                <w:spacing w:val="1"/>
                <w:lang w:eastAsia="en-US"/>
              </w:rPr>
              <w:t>DD 750/2023 Definizione del procedimento di proroga per investimenti (L.26/22) – sussistenza presupposti per proroga 01/01/2023-31/12/2026 con inclusione nel CdS Rep. 366 del 07/06/2024 con SCAT</w:t>
            </w:r>
            <w:r w:rsidRPr="000C6009">
              <w:rPr>
                <w:rStyle w:val="Rimandonotaapidipagina"/>
                <w:rFonts w:eastAsia="Calibri" w:cstheme="minorHAnsi"/>
                <w:color w:val="000000"/>
                <w:spacing w:val="1"/>
                <w:lang w:eastAsia="en-US"/>
              </w:rPr>
              <w:footnoteReference w:id="7"/>
            </w:r>
          </w:p>
        </w:tc>
      </w:tr>
      <w:tr w:rsidR="003B7E88" w:rsidRPr="000C6009" w14:paraId="1B671B62" w14:textId="77777777" w:rsidTr="00BD261D">
        <w:trPr>
          <w:trHeight w:val="469"/>
        </w:trPr>
        <w:tc>
          <w:tcPr>
            <w:tcW w:w="2127" w:type="dxa"/>
            <w:tcBorders>
              <w:top w:val="single" w:sz="4" w:space="0" w:color="A6A6A6"/>
              <w:left w:val="single" w:sz="4" w:space="0" w:color="A6A6A6"/>
              <w:bottom w:val="single" w:sz="4" w:space="0" w:color="A6A6A6"/>
              <w:right w:val="single" w:sz="4" w:space="0" w:color="A6A6A6"/>
            </w:tcBorders>
            <w:hideMark/>
          </w:tcPr>
          <w:p w14:paraId="3276D316"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138CCB7C" w14:textId="77777777" w:rsidR="003B7E88" w:rsidRPr="000C6009" w:rsidRDefault="003B7E88" w:rsidP="00BD261D">
            <w:pPr>
              <w:tabs>
                <w:tab w:val="left" w:pos="1540"/>
              </w:tabs>
              <w:spacing w:before="120" w:after="0" w:line="266" w:lineRule="exact"/>
              <w:rPr>
                <w:rFonts w:eastAsia="Calibri" w:cstheme="minorHAnsi"/>
                <w:color w:val="000000"/>
                <w:spacing w:val="1"/>
                <w:lang w:eastAsia="en-US"/>
              </w:rPr>
            </w:pPr>
            <w:r w:rsidRPr="000C6009">
              <w:rPr>
                <w:rFonts w:eastAsia="Calibri" w:cstheme="minorHAnsi"/>
                <w:color w:val="000000"/>
                <w:spacing w:val="1"/>
                <w:lang w:eastAsia="en-US"/>
              </w:rPr>
              <w:t>Ultima Proroga dal 01/01/2023 al 31/12/2026</w:t>
            </w:r>
          </w:p>
        </w:tc>
      </w:tr>
      <w:tr w:rsidR="003B7E88" w:rsidRPr="000C6009" w14:paraId="428216F3" w14:textId="77777777" w:rsidTr="00BD261D">
        <w:trPr>
          <w:trHeight w:val="643"/>
        </w:trPr>
        <w:tc>
          <w:tcPr>
            <w:tcW w:w="2127" w:type="dxa"/>
            <w:tcBorders>
              <w:top w:val="single" w:sz="4" w:space="0" w:color="A6A6A6"/>
              <w:left w:val="single" w:sz="4" w:space="0" w:color="A6A6A6"/>
              <w:bottom w:val="single" w:sz="4" w:space="0" w:color="A6A6A6"/>
              <w:right w:val="single" w:sz="4" w:space="0" w:color="A6A6A6"/>
            </w:tcBorders>
            <w:hideMark/>
          </w:tcPr>
          <w:p w14:paraId="5D922F14"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7034" w:type="dxa"/>
            <w:tcBorders>
              <w:top w:val="single" w:sz="4" w:space="0" w:color="A6A6A6"/>
              <w:left w:val="single" w:sz="4" w:space="0" w:color="A6A6A6"/>
              <w:bottom w:val="single" w:sz="4" w:space="0" w:color="A6A6A6"/>
              <w:right w:val="single" w:sz="4" w:space="0" w:color="A6A6A6"/>
            </w:tcBorders>
            <w:hideMark/>
          </w:tcPr>
          <w:p w14:paraId="4C25001C" w14:textId="77777777" w:rsidR="003B7E88" w:rsidRPr="000C6009" w:rsidRDefault="003B7E88" w:rsidP="00BD261D">
            <w:pPr>
              <w:autoSpaceDE w:val="0"/>
              <w:autoSpaceDN w:val="0"/>
              <w:adjustRightInd w:val="0"/>
              <w:spacing w:before="120" w:after="0" w:line="240" w:lineRule="auto"/>
              <w:rPr>
                <w:rFonts w:eastAsia="Calibri" w:cstheme="minorHAnsi"/>
                <w:color w:val="000000"/>
                <w:spacing w:val="1"/>
              </w:rPr>
            </w:pPr>
            <w:r w:rsidRPr="000C6009">
              <w:rPr>
                <w:rFonts w:eastAsia="Calibri" w:cstheme="minorHAnsi"/>
                <w:color w:val="000000"/>
                <w:spacing w:val="1"/>
              </w:rPr>
              <w:t>Servizio urbano di autolinea di Novi Ligure</w:t>
            </w:r>
          </w:p>
        </w:tc>
      </w:tr>
    </w:tbl>
    <w:p w14:paraId="13B74DE2" w14:textId="7FF18315" w:rsidR="003B7E88" w:rsidRPr="000C6009" w:rsidRDefault="003B7E88" w:rsidP="003B7E88">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2</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Quadro affidamento dei servizi di TPL del Comune di Novi Ligure</w:t>
      </w:r>
    </w:p>
    <w:p w14:paraId="7A339643" w14:textId="77777777" w:rsidR="003B7E88" w:rsidRPr="000C6009" w:rsidRDefault="003B7E88" w:rsidP="003B7E88">
      <w:pPr>
        <w:spacing w:before="120" w:after="0" w:line="240" w:lineRule="auto"/>
        <w:rPr>
          <w:rFonts w:eastAsia="Times New Roman" w:cstheme="minorHAnsi"/>
          <w:b/>
          <w:bCs/>
          <w:szCs w:val="20"/>
        </w:rPr>
      </w:pPr>
      <w:r w:rsidRPr="000C6009">
        <w:rPr>
          <w:rFonts w:eastAsia="Times New Roman" w:cstheme="minorHAnsi"/>
          <w:b/>
          <w:bCs/>
          <w:szCs w:val="20"/>
        </w:rPr>
        <w:t xml:space="preserve">SERVIZIO DI TPL URBANO DI CASALE MONFERRATO </w:t>
      </w:r>
    </w:p>
    <w:p w14:paraId="28188D44"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l'esercizio del Servizio di TPL Urbano di Casale Monferrato afferente ai servizi di TPL del Bacino Sud Est, Il Comune di Casale Monferrato ha affidato “in house” il servizio di trasporto pubblico locale all’azienda AZIENDA MULTISERVIZI CASALESE S.p.A., per un periodo, pari ad anni 6 (sei), dal 1 gennaio 2004 al 31 dicembre 2009, regolandolo mediante il contratto di servizio – Rep.n. 2229 del 20 giugno 2005 – rinegoziato con atto – Rep.n. 2603 del 29 dicembre 2009 e, successivamente, prorogato al 31 dicembre 2016;</w:t>
      </w:r>
    </w:p>
    <w:p w14:paraId="50F0262B"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Il medesimo Comune ha affidato “in house” il servizio di trasporto pubblico locale all’azienda AZIENDA MULTISERVIZI CASALESE S.p.A., per il periodo dal 1 gennaio 2017 al 31 dicembre 2018 e, comunque, fino all’espletamento delle procedure di gara avviata con l’avviso di pre informazione ed al subentro del nuovo operatore per il Bacino Sud Est, il cui schema è stato approvato e, successivamente, aggiornato, con le deliberazioni della Giunta Comunale n. 389 del 14 dicembre 2016 e n. 392 del 17 novembre 2017;</w:t>
      </w:r>
    </w:p>
    <w:p w14:paraId="27F52FDE"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Lo stesso Comune ha sottoscritto il contratto di servizio per l’anno 2018 e, comunque, fino all’espletamento delle procedure di gara avviata con l’avviso di pre informazione ed al subentro del nuovo operatore per il Bacino Sud Est – Rep.n.  2930 del 25 gennaio 2018;</w:t>
      </w:r>
    </w:p>
    <w:p w14:paraId="043A0EE0"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lastRenderedPageBreak/>
        <w:t>In forza della Convenzione con il Comune di Casale Monferrato sottoscritta in data 07/02/2022 la titolarità e la gestione del contratto di servizio per il trasporto pubblico locale di persone afferente al Comune di Casale Monferrato, è stata trasferita all’Agenzia con effetto dal 01/01/2022;</w:t>
      </w:r>
    </w:p>
    <w:p w14:paraId="425955D5"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Il contratto di servizi è stato successivamente prorogato con atti specifici fino al 30/09/2023:</w:t>
      </w:r>
    </w:p>
    <w:p w14:paraId="783E9787"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Determinazione n.433 del 16/06/2023 è stato dato avvio al procedimento per la definizione della cd. “proroga per investimenti” (L. 25/22);</w:t>
      </w:r>
    </w:p>
    <w:p w14:paraId="14481D5E"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DD n. 743 del 20/10/2023 è stata concessa la proroga del servizio ai sensi dell’Art. 24 comma 5-bis del D.L. del 27 gennaio 2022 n. 4 convertito con modificazioni dalla L. 28/03/2022 n. 25 fino al 31/12/2026.</w:t>
      </w:r>
    </w:p>
    <w:p w14:paraId="2D9B546D" w14:textId="77777777" w:rsidR="003B7E88" w:rsidRPr="000C6009" w:rsidRDefault="003B7E88" w:rsidP="003B7E88">
      <w:pPr>
        <w:spacing w:before="120" w:after="0" w:line="240" w:lineRule="auto"/>
        <w:rPr>
          <w:rFonts w:eastAsia="Times New Roman" w:cstheme="minorHAnsi"/>
          <w:b/>
          <w:bCs/>
          <w:szCs w:val="20"/>
        </w:rPr>
      </w:pPr>
    </w:p>
    <w:tbl>
      <w:tblPr>
        <w:tblStyle w:val="Grigliatabella2"/>
        <w:tblW w:w="9161" w:type="dxa"/>
        <w:tblInd w:w="-5" w:type="dxa"/>
        <w:tblLook w:val="04A0" w:firstRow="1" w:lastRow="0" w:firstColumn="1" w:lastColumn="0" w:noHBand="0" w:noVBand="1"/>
      </w:tblPr>
      <w:tblGrid>
        <w:gridCol w:w="2127"/>
        <w:gridCol w:w="7034"/>
      </w:tblGrid>
      <w:tr w:rsidR="003B7E88" w:rsidRPr="000C6009" w14:paraId="6CC279DF" w14:textId="77777777" w:rsidTr="00BD261D">
        <w:trPr>
          <w:trHeight w:val="389"/>
        </w:trPr>
        <w:tc>
          <w:tcPr>
            <w:tcW w:w="9161" w:type="dxa"/>
            <w:gridSpan w:val="2"/>
            <w:tcBorders>
              <w:top w:val="single" w:sz="4" w:space="0" w:color="A6A6A6"/>
              <w:left w:val="single" w:sz="4" w:space="0" w:color="A6A6A6"/>
              <w:bottom w:val="single" w:sz="4" w:space="0" w:color="A6A6A6"/>
              <w:right w:val="single" w:sz="4" w:space="0" w:color="A6A6A6"/>
            </w:tcBorders>
            <w:hideMark/>
          </w:tcPr>
          <w:p w14:paraId="3B0292B2" w14:textId="77777777" w:rsidR="003B7E88" w:rsidRPr="000C6009" w:rsidRDefault="003B7E88" w:rsidP="00BD261D">
            <w:pPr>
              <w:spacing w:before="120" w:after="0" w:line="240" w:lineRule="auto"/>
              <w:jc w:val="center"/>
              <w:rPr>
                <w:rFonts w:eastAsia="Calibri" w:cstheme="minorHAnsi"/>
                <w:b/>
                <w:caps/>
                <w:color w:val="000000"/>
                <w:spacing w:val="1"/>
                <w:szCs w:val="20"/>
              </w:rPr>
            </w:pPr>
            <w:r w:rsidRPr="000C6009">
              <w:rPr>
                <w:rFonts w:eastAsia="Calibri" w:cstheme="minorHAnsi"/>
                <w:b/>
                <w:caps/>
                <w:color w:val="000000"/>
                <w:spacing w:val="1"/>
                <w:szCs w:val="20"/>
              </w:rPr>
              <w:t>Servizi tpl DI AUTOLINEA URBANO DI CASALE MONFERRATO</w:t>
            </w:r>
          </w:p>
        </w:tc>
      </w:tr>
      <w:tr w:rsidR="003B7E88" w:rsidRPr="000C6009" w14:paraId="392B38F6" w14:textId="77777777" w:rsidTr="00BD261D">
        <w:trPr>
          <w:trHeight w:val="374"/>
        </w:trPr>
        <w:tc>
          <w:tcPr>
            <w:tcW w:w="2127" w:type="dxa"/>
            <w:tcBorders>
              <w:top w:val="single" w:sz="4" w:space="0" w:color="A6A6A6"/>
              <w:left w:val="single" w:sz="4" w:space="0" w:color="A6A6A6"/>
              <w:bottom w:val="single" w:sz="4" w:space="0" w:color="A6A6A6"/>
              <w:right w:val="single" w:sz="4" w:space="0" w:color="A6A6A6"/>
            </w:tcBorders>
            <w:hideMark/>
          </w:tcPr>
          <w:p w14:paraId="7BCA5D97"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7034" w:type="dxa"/>
            <w:tcBorders>
              <w:top w:val="single" w:sz="4" w:space="0" w:color="A6A6A6"/>
              <w:left w:val="single" w:sz="4" w:space="0" w:color="A6A6A6"/>
              <w:bottom w:val="single" w:sz="4" w:space="0" w:color="A6A6A6"/>
              <w:right w:val="single" w:sz="4" w:space="0" w:color="A6A6A6"/>
            </w:tcBorders>
            <w:hideMark/>
          </w:tcPr>
          <w:p w14:paraId="1D75542E"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10129667" w14:textId="77777777" w:rsidTr="00BD261D">
        <w:trPr>
          <w:trHeight w:val="548"/>
        </w:trPr>
        <w:tc>
          <w:tcPr>
            <w:tcW w:w="2127" w:type="dxa"/>
            <w:tcBorders>
              <w:top w:val="single" w:sz="4" w:space="0" w:color="A6A6A6"/>
              <w:left w:val="single" w:sz="4" w:space="0" w:color="A6A6A6"/>
              <w:bottom w:val="single" w:sz="4" w:space="0" w:color="A6A6A6"/>
              <w:right w:val="single" w:sz="4" w:space="0" w:color="A6A6A6"/>
            </w:tcBorders>
            <w:hideMark/>
          </w:tcPr>
          <w:p w14:paraId="4A34FD73" w14:textId="77777777" w:rsidR="003B7E88" w:rsidRPr="000C6009" w:rsidRDefault="003B7E88" w:rsidP="00BD261D">
            <w:pPr>
              <w:spacing w:before="120" w:after="0" w:line="240" w:lineRule="auto"/>
              <w:jc w:val="left"/>
              <w:rPr>
                <w:rFonts w:eastAsia="Times New Roman" w:cstheme="minorHAnsi"/>
                <w:b/>
                <w:szCs w:val="20"/>
              </w:rPr>
            </w:pPr>
            <w:r w:rsidRPr="000C6009">
              <w:rPr>
                <w:rFonts w:eastAsia="Times New Roman" w:cstheme="minorHAnsi"/>
                <w:b/>
                <w:bCs/>
                <w:color w:val="000000"/>
                <w:szCs w:val="20"/>
              </w:rPr>
              <w:t>Soggetto Affidatario:</w:t>
            </w:r>
          </w:p>
        </w:tc>
        <w:tc>
          <w:tcPr>
            <w:tcW w:w="7034" w:type="dxa"/>
            <w:tcBorders>
              <w:top w:val="single" w:sz="4" w:space="0" w:color="A6A6A6"/>
              <w:left w:val="single" w:sz="4" w:space="0" w:color="A6A6A6"/>
              <w:bottom w:val="single" w:sz="4" w:space="0" w:color="A6A6A6"/>
              <w:right w:val="single" w:sz="4" w:space="0" w:color="A6A6A6"/>
            </w:tcBorders>
            <w:hideMark/>
          </w:tcPr>
          <w:p w14:paraId="6DEBF493"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Times New Roman" w:cstheme="minorHAnsi"/>
                <w:szCs w:val="20"/>
              </w:rPr>
              <w:t>A.M.C. S.P.A.</w:t>
            </w:r>
            <w:r w:rsidRPr="000C6009">
              <w:rPr>
                <w:rFonts w:eastAsia="Calibri" w:cstheme="minorHAnsi"/>
                <w:szCs w:val="20"/>
              </w:rPr>
              <w:t xml:space="preserve"> </w:t>
            </w:r>
            <w:r w:rsidRPr="000C6009">
              <w:rPr>
                <w:rFonts w:eastAsia="Calibri" w:cstheme="minorHAnsi"/>
                <w:color w:val="000000"/>
                <w:spacing w:val="1"/>
                <w:szCs w:val="20"/>
              </w:rPr>
              <w:t>(C.F. 91015980062 - P.IVA n. 01639620069), Via Orti 2 – 15033 Casale Monferrato (AL)</w:t>
            </w:r>
          </w:p>
        </w:tc>
      </w:tr>
      <w:tr w:rsidR="003B7E88" w:rsidRPr="000C6009" w14:paraId="4C00043F" w14:textId="77777777" w:rsidTr="00BD261D">
        <w:trPr>
          <w:trHeight w:val="658"/>
        </w:trPr>
        <w:tc>
          <w:tcPr>
            <w:tcW w:w="2127" w:type="dxa"/>
            <w:tcBorders>
              <w:top w:val="single" w:sz="4" w:space="0" w:color="A6A6A6"/>
              <w:left w:val="single" w:sz="4" w:space="0" w:color="A6A6A6"/>
              <w:bottom w:val="single" w:sz="4" w:space="0" w:color="A6A6A6"/>
              <w:right w:val="single" w:sz="4" w:space="0" w:color="A6A6A6"/>
            </w:tcBorders>
            <w:hideMark/>
          </w:tcPr>
          <w:p w14:paraId="3420AF9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64FCA983"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Il Comune di Casale Monferrato ha provveduto all’affidamento diretto del servizio con l’operatore A.M.C. con contratto rep. n. 2930 del 25/01/2018 con durata dal 01/01/2018 fino ad espletamento delle procedure di gara</w:t>
            </w:r>
          </w:p>
        </w:tc>
      </w:tr>
      <w:tr w:rsidR="003B7E88" w:rsidRPr="000C6009" w14:paraId="100E1CD2" w14:textId="77777777" w:rsidTr="00BD261D">
        <w:trPr>
          <w:trHeight w:val="2270"/>
        </w:trPr>
        <w:tc>
          <w:tcPr>
            <w:tcW w:w="2127" w:type="dxa"/>
            <w:tcBorders>
              <w:top w:val="single" w:sz="4" w:space="0" w:color="A6A6A6"/>
              <w:left w:val="single" w:sz="4" w:space="0" w:color="A6A6A6"/>
              <w:bottom w:val="single" w:sz="4" w:space="0" w:color="A6A6A6"/>
              <w:right w:val="single" w:sz="4" w:space="0" w:color="A6A6A6"/>
            </w:tcBorders>
            <w:hideMark/>
          </w:tcPr>
          <w:p w14:paraId="37AFAFD1"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Atti di proroga e imposizione di OdS:</w:t>
            </w:r>
          </w:p>
        </w:tc>
        <w:tc>
          <w:tcPr>
            <w:tcW w:w="7034" w:type="dxa"/>
            <w:tcBorders>
              <w:top w:val="single" w:sz="4" w:space="0" w:color="A6A6A6"/>
              <w:left w:val="single" w:sz="4" w:space="0" w:color="A6A6A6"/>
              <w:bottom w:val="single" w:sz="4" w:space="0" w:color="A6A6A6"/>
              <w:right w:val="single" w:sz="4" w:space="0" w:color="A6A6A6"/>
            </w:tcBorders>
            <w:hideMark/>
          </w:tcPr>
          <w:p w14:paraId="69F8B0FA" w14:textId="77777777" w:rsidR="003B7E88" w:rsidRPr="000C6009" w:rsidRDefault="003B7E88" w:rsidP="00BD261D">
            <w:pPr>
              <w:numPr>
                <w:ilvl w:val="0"/>
                <w:numId w:val="18"/>
              </w:numPr>
              <w:tabs>
                <w:tab w:val="left" w:pos="1540"/>
              </w:tabs>
              <w:spacing w:before="120" w:after="0" w:line="266" w:lineRule="exact"/>
              <w:ind w:left="357" w:hanging="357"/>
              <w:jc w:val="left"/>
              <w:rPr>
                <w:rFonts w:eastAsia="Calibri" w:cstheme="minorHAnsi"/>
                <w:color w:val="000000"/>
                <w:spacing w:val="1"/>
                <w:lang w:eastAsia="en-US"/>
              </w:rPr>
            </w:pPr>
            <w:r w:rsidRPr="000C6009">
              <w:rPr>
                <w:rFonts w:eastAsia="Calibri" w:cstheme="minorHAnsi"/>
                <w:color w:val="000000"/>
                <w:spacing w:val="1"/>
                <w:lang w:eastAsia="en-US"/>
              </w:rPr>
              <w:t>Trasferito ad AMP a far data dal 01/01/2022 mediante sottoscrizione di Convenzione con il Comune di Casale Monferrato</w:t>
            </w:r>
          </w:p>
          <w:p w14:paraId="04AA4EAD"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367/2023 definizione del termine finale del contratto al 30/06/2023</w:t>
            </w:r>
          </w:p>
          <w:p w14:paraId="1498ECE3"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483/2023 art. 5 par. 5 fino al 30/09/2023</w:t>
            </w:r>
          </w:p>
          <w:p w14:paraId="49C4701E" w14:textId="77777777" w:rsidR="003B7E88" w:rsidRPr="000C6009" w:rsidRDefault="003B7E88" w:rsidP="00BD261D">
            <w:pPr>
              <w:numPr>
                <w:ilvl w:val="0"/>
                <w:numId w:val="18"/>
              </w:numPr>
              <w:tabs>
                <w:tab w:val="left" w:pos="1540"/>
              </w:tabs>
              <w:spacing w:before="120" w:after="0" w:line="266" w:lineRule="exact"/>
              <w:contextualSpacing/>
              <w:rPr>
                <w:rFonts w:eastAsia="Calibri" w:cstheme="minorHAnsi"/>
                <w:color w:val="000000"/>
                <w:spacing w:val="1"/>
                <w:lang w:eastAsia="en-US"/>
              </w:rPr>
            </w:pPr>
            <w:r w:rsidRPr="000C6009">
              <w:rPr>
                <w:rFonts w:eastAsia="Calibri" w:cstheme="minorHAnsi"/>
                <w:color w:val="000000"/>
                <w:spacing w:val="1"/>
                <w:lang w:eastAsia="en-US"/>
              </w:rPr>
              <w:t>DD 743/2023 Definizione del procedimento di proroga per investimenti (L.26/22) – sussistenza presupposti per proroga 01/01/2023-31/12/2026</w:t>
            </w:r>
          </w:p>
        </w:tc>
      </w:tr>
      <w:tr w:rsidR="003B7E88" w:rsidRPr="000C6009" w14:paraId="20F205A3" w14:textId="77777777" w:rsidTr="00BD261D">
        <w:trPr>
          <w:trHeight w:val="469"/>
        </w:trPr>
        <w:tc>
          <w:tcPr>
            <w:tcW w:w="2127" w:type="dxa"/>
            <w:tcBorders>
              <w:top w:val="single" w:sz="4" w:space="0" w:color="A6A6A6"/>
              <w:left w:val="single" w:sz="4" w:space="0" w:color="A6A6A6"/>
              <w:bottom w:val="single" w:sz="4" w:space="0" w:color="A6A6A6"/>
              <w:right w:val="single" w:sz="4" w:space="0" w:color="A6A6A6"/>
            </w:tcBorders>
            <w:hideMark/>
          </w:tcPr>
          <w:p w14:paraId="087469AD"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7506CCF7" w14:textId="77777777" w:rsidR="003B7E88" w:rsidRPr="000C6009" w:rsidRDefault="003B7E88" w:rsidP="00BD261D">
            <w:pPr>
              <w:tabs>
                <w:tab w:val="left" w:pos="1540"/>
              </w:tabs>
              <w:spacing w:before="120" w:after="0" w:line="266" w:lineRule="exact"/>
              <w:rPr>
                <w:rFonts w:eastAsia="Calibri" w:cstheme="minorHAnsi"/>
                <w:color w:val="000000"/>
                <w:spacing w:val="1"/>
                <w:lang w:eastAsia="en-US"/>
              </w:rPr>
            </w:pPr>
            <w:r w:rsidRPr="000C6009">
              <w:rPr>
                <w:rFonts w:eastAsia="Calibri" w:cstheme="minorHAnsi"/>
                <w:color w:val="000000"/>
                <w:spacing w:val="1"/>
                <w:lang w:eastAsia="en-US"/>
              </w:rPr>
              <w:t>Ultima Proroga dal 01/01/2023 al 31/12/2026</w:t>
            </w:r>
          </w:p>
        </w:tc>
      </w:tr>
      <w:tr w:rsidR="003B7E88" w:rsidRPr="000C6009" w14:paraId="24359C40" w14:textId="77777777" w:rsidTr="00BD261D">
        <w:trPr>
          <w:trHeight w:val="643"/>
        </w:trPr>
        <w:tc>
          <w:tcPr>
            <w:tcW w:w="2127" w:type="dxa"/>
            <w:tcBorders>
              <w:top w:val="single" w:sz="4" w:space="0" w:color="A6A6A6"/>
              <w:left w:val="single" w:sz="4" w:space="0" w:color="A6A6A6"/>
              <w:bottom w:val="single" w:sz="4" w:space="0" w:color="A6A6A6"/>
              <w:right w:val="single" w:sz="4" w:space="0" w:color="A6A6A6"/>
            </w:tcBorders>
            <w:hideMark/>
          </w:tcPr>
          <w:p w14:paraId="7FCEF2E3"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7034" w:type="dxa"/>
            <w:tcBorders>
              <w:top w:val="single" w:sz="4" w:space="0" w:color="A6A6A6"/>
              <w:left w:val="single" w:sz="4" w:space="0" w:color="A6A6A6"/>
              <w:bottom w:val="single" w:sz="4" w:space="0" w:color="A6A6A6"/>
              <w:right w:val="single" w:sz="4" w:space="0" w:color="A6A6A6"/>
            </w:tcBorders>
            <w:hideMark/>
          </w:tcPr>
          <w:p w14:paraId="4148E2E7" w14:textId="77777777" w:rsidR="003B7E88" w:rsidRPr="000C6009" w:rsidRDefault="003B7E88" w:rsidP="00BD261D">
            <w:pPr>
              <w:autoSpaceDE w:val="0"/>
              <w:autoSpaceDN w:val="0"/>
              <w:adjustRightInd w:val="0"/>
              <w:spacing w:before="120" w:after="0" w:line="240" w:lineRule="auto"/>
              <w:rPr>
                <w:rFonts w:eastAsia="Calibri" w:cstheme="minorHAnsi"/>
                <w:color w:val="000000"/>
                <w:spacing w:val="1"/>
              </w:rPr>
            </w:pPr>
            <w:r w:rsidRPr="000C6009">
              <w:rPr>
                <w:rFonts w:eastAsia="Calibri" w:cstheme="minorHAnsi"/>
                <w:color w:val="000000"/>
                <w:spacing w:val="1"/>
              </w:rPr>
              <w:t>Servizio urbano di autolinea di Casale Monferrato</w:t>
            </w:r>
          </w:p>
        </w:tc>
      </w:tr>
    </w:tbl>
    <w:p w14:paraId="37B7FF0B" w14:textId="65C008A0" w:rsidR="003B7E88" w:rsidRPr="000C6009" w:rsidRDefault="003B7E88" w:rsidP="003B7E88">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3</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Quadro affidamento dei servizi di TPL del Comune di Casale Monferrato</w:t>
      </w:r>
    </w:p>
    <w:p w14:paraId="28C020E4" w14:textId="77777777" w:rsidR="003B7E88" w:rsidRPr="000C6009" w:rsidRDefault="003B7E88" w:rsidP="003B7E88">
      <w:pPr>
        <w:spacing w:before="120" w:after="0" w:line="240" w:lineRule="auto"/>
        <w:rPr>
          <w:rFonts w:eastAsia="Times New Roman" w:cstheme="minorHAnsi"/>
          <w:b/>
          <w:bCs/>
          <w:szCs w:val="20"/>
        </w:rPr>
      </w:pPr>
      <w:r w:rsidRPr="000C6009">
        <w:rPr>
          <w:rFonts w:eastAsia="Times New Roman" w:cstheme="minorHAnsi"/>
          <w:b/>
          <w:bCs/>
          <w:szCs w:val="20"/>
        </w:rPr>
        <w:t xml:space="preserve">SERVIZIO DI TPL URBANO DI ALESSANDRIA </w:t>
      </w:r>
    </w:p>
    <w:p w14:paraId="6DBA80C6"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l'esercizio del Servizio di TPL Urbano di Alessandria afferente ai servizi di TPL del Bacino Sud Est, il Comune di Alessandria ha sottoscritto con l’operatore ATM spa il contratto di servizio rep. n. 35034/2007 con durata 01/07/2007-31/12/2009, successivamente più volte prorogato con provvedimenti dell’amministrazione.</w:t>
      </w:r>
    </w:p>
    <w:p w14:paraId="26EB23BE"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Nel corso del 2016 l’azienda ATM spa è stata posta in liquidazione, il ramo d’azienda relativo alle prestazioni dei servizi di trasporto pubblico locale TPL, servizio trasporto alunni, servizio trasporto disabili e servizio gestione parcheggi a pagamento è stato acquisito dalla costituenda AMAG MOBILITA' S.P.A. come disposto dalla Delibera del Consiglio Comunale n. 49 del 09/05/20216, subentrando di fatto il 01/04/2017 nella gestione del contratto sopra citato.</w:t>
      </w:r>
    </w:p>
    <w:p w14:paraId="25C6F496"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In attuazione dell’art. 10, c. 4-bis della L.R. Piemonte n. 1/2000, come modificata dalle LL.RR. nn. 1/2015 e 15/2015, con la convenzione sottoscritta in data 10/06/2016 è stata trasferita la titolarità del Contratto di servizio all’Agenzia, successivamente prorogato con atti specifici fino al 30/09/2023:</w:t>
      </w:r>
    </w:p>
    <w:p w14:paraId="5CA1D9AF"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lastRenderedPageBreak/>
        <w:t>con Determinazione n.433 del 16/06/2023 è stato dato avvio al procedimento per la definizione della cd. “proroga per investimenti” (L. 25/22);</w:t>
      </w:r>
    </w:p>
    <w:p w14:paraId="4828FB72"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DD n. 771 del 25/10/2023 è stata concessa la proroga del servizio ai sensi dell’Art. 24 comma 5-bis del D.L. del 27 gennaio 2022 n. 4 convertito con modificazioni dalla L. 28/03/2022 n. 25 fino al 31/12/2026.</w:t>
      </w:r>
    </w:p>
    <w:p w14:paraId="67431B54" w14:textId="77777777" w:rsidR="003B7E88" w:rsidRPr="000C6009" w:rsidRDefault="003B7E88" w:rsidP="003B7E88">
      <w:pPr>
        <w:spacing w:before="120" w:after="0" w:line="240" w:lineRule="auto"/>
        <w:rPr>
          <w:rFonts w:eastAsia="Times New Roman" w:cstheme="minorHAnsi"/>
          <w:b/>
          <w:bCs/>
          <w:szCs w:val="20"/>
        </w:rPr>
      </w:pPr>
    </w:p>
    <w:tbl>
      <w:tblPr>
        <w:tblStyle w:val="Grigliatabella2"/>
        <w:tblW w:w="9161" w:type="dxa"/>
        <w:tblInd w:w="-5" w:type="dxa"/>
        <w:tblLook w:val="04A0" w:firstRow="1" w:lastRow="0" w:firstColumn="1" w:lastColumn="0" w:noHBand="0" w:noVBand="1"/>
      </w:tblPr>
      <w:tblGrid>
        <w:gridCol w:w="2127"/>
        <w:gridCol w:w="7034"/>
      </w:tblGrid>
      <w:tr w:rsidR="003B7E88" w:rsidRPr="000C6009" w14:paraId="01A2292D" w14:textId="77777777" w:rsidTr="00BD261D">
        <w:trPr>
          <w:trHeight w:val="389"/>
        </w:trPr>
        <w:tc>
          <w:tcPr>
            <w:tcW w:w="9161" w:type="dxa"/>
            <w:gridSpan w:val="2"/>
            <w:tcBorders>
              <w:top w:val="single" w:sz="4" w:space="0" w:color="A6A6A6"/>
              <w:left w:val="single" w:sz="4" w:space="0" w:color="A6A6A6"/>
              <w:bottom w:val="single" w:sz="4" w:space="0" w:color="A6A6A6"/>
              <w:right w:val="single" w:sz="4" w:space="0" w:color="A6A6A6"/>
            </w:tcBorders>
            <w:hideMark/>
          </w:tcPr>
          <w:p w14:paraId="147C5A55" w14:textId="77777777" w:rsidR="003B7E88" w:rsidRPr="000C6009" w:rsidRDefault="003B7E88" w:rsidP="00BD261D">
            <w:pPr>
              <w:spacing w:before="120" w:after="0" w:line="240" w:lineRule="auto"/>
              <w:jc w:val="center"/>
              <w:rPr>
                <w:rFonts w:eastAsia="Calibri" w:cstheme="minorHAnsi"/>
                <w:b/>
                <w:caps/>
                <w:color w:val="000000"/>
                <w:spacing w:val="1"/>
                <w:szCs w:val="20"/>
              </w:rPr>
            </w:pPr>
            <w:r w:rsidRPr="000C6009">
              <w:rPr>
                <w:rFonts w:eastAsia="Calibri" w:cstheme="minorHAnsi"/>
                <w:b/>
                <w:caps/>
                <w:color w:val="000000"/>
                <w:spacing w:val="1"/>
                <w:szCs w:val="20"/>
              </w:rPr>
              <w:t>Servizi tpl DI AUTOLINEA URBANO DI ALESSANDRIA</w:t>
            </w:r>
          </w:p>
        </w:tc>
      </w:tr>
      <w:tr w:rsidR="003B7E88" w:rsidRPr="000C6009" w14:paraId="4A508D4B" w14:textId="77777777" w:rsidTr="00BD261D">
        <w:trPr>
          <w:trHeight w:val="374"/>
        </w:trPr>
        <w:tc>
          <w:tcPr>
            <w:tcW w:w="2127" w:type="dxa"/>
            <w:tcBorders>
              <w:top w:val="single" w:sz="4" w:space="0" w:color="A6A6A6"/>
              <w:left w:val="single" w:sz="4" w:space="0" w:color="A6A6A6"/>
              <w:bottom w:val="single" w:sz="4" w:space="0" w:color="A6A6A6"/>
              <w:right w:val="single" w:sz="4" w:space="0" w:color="A6A6A6"/>
            </w:tcBorders>
            <w:hideMark/>
          </w:tcPr>
          <w:p w14:paraId="451262F6"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7034" w:type="dxa"/>
            <w:tcBorders>
              <w:top w:val="single" w:sz="4" w:space="0" w:color="A6A6A6"/>
              <w:left w:val="single" w:sz="4" w:space="0" w:color="A6A6A6"/>
              <w:bottom w:val="single" w:sz="4" w:space="0" w:color="A6A6A6"/>
              <w:right w:val="single" w:sz="4" w:space="0" w:color="A6A6A6"/>
            </w:tcBorders>
            <w:hideMark/>
          </w:tcPr>
          <w:p w14:paraId="6D6B595F"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26D59037" w14:textId="77777777" w:rsidTr="00BD261D">
        <w:trPr>
          <w:trHeight w:val="548"/>
        </w:trPr>
        <w:tc>
          <w:tcPr>
            <w:tcW w:w="2127" w:type="dxa"/>
            <w:tcBorders>
              <w:top w:val="single" w:sz="4" w:space="0" w:color="A6A6A6"/>
              <w:left w:val="single" w:sz="4" w:space="0" w:color="A6A6A6"/>
              <w:bottom w:val="single" w:sz="4" w:space="0" w:color="A6A6A6"/>
              <w:right w:val="single" w:sz="4" w:space="0" w:color="A6A6A6"/>
            </w:tcBorders>
            <w:hideMark/>
          </w:tcPr>
          <w:p w14:paraId="0F4952C9" w14:textId="77777777" w:rsidR="003B7E88" w:rsidRPr="000C6009" w:rsidRDefault="003B7E88" w:rsidP="00BD261D">
            <w:pPr>
              <w:spacing w:before="120" w:after="0" w:line="240" w:lineRule="auto"/>
              <w:jc w:val="left"/>
              <w:rPr>
                <w:rFonts w:eastAsia="Times New Roman" w:cstheme="minorHAnsi"/>
                <w:b/>
                <w:szCs w:val="20"/>
              </w:rPr>
            </w:pPr>
            <w:r w:rsidRPr="000C6009">
              <w:rPr>
                <w:rFonts w:eastAsia="Times New Roman" w:cstheme="minorHAnsi"/>
                <w:b/>
                <w:bCs/>
                <w:color w:val="000000"/>
                <w:szCs w:val="20"/>
              </w:rPr>
              <w:t>Soggetto Affidatario:</w:t>
            </w:r>
          </w:p>
        </w:tc>
        <w:tc>
          <w:tcPr>
            <w:tcW w:w="7034" w:type="dxa"/>
            <w:tcBorders>
              <w:top w:val="single" w:sz="4" w:space="0" w:color="A6A6A6"/>
              <w:left w:val="single" w:sz="4" w:space="0" w:color="A6A6A6"/>
              <w:bottom w:val="single" w:sz="4" w:space="0" w:color="A6A6A6"/>
              <w:right w:val="single" w:sz="4" w:space="0" w:color="A6A6A6"/>
            </w:tcBorders>
            <w:hideMark/>
          </w:tcPr>
          <w:p w14:paraId="0AF9A903"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Times New Roman" w:cstheme="minorHAnsi"/>
                <w:szCs w:val="20"/>
              </w:rPr>
              <w:t>ATM SpA successivamente subentro della società AMAG MOBILITA' SpA.</w:t>
            </w:r>
            <w:r w:rsidRPr="000C6009">
              <w:rPr>
                <w:rFonts w:eastAsia="Calibri" w:cstheme="minorHAnsi"/>
                <w:szCs w:val="20"/>
              </w:rPr>
              <w:t xml:space="preserve"> </w:t>
            </w:r>
            <w:r w:rsidRPr="000C6009">
              <w:rPr>
                <w:rFonts w:eastAsia="Calibri" w:cstheme="minorHAnsi"/>
                <w:color w:val="000000"/>
                <w:spacing w:val="1"/>
                <w:szCs w:val="20"/>
              </w:rPr>
              <w:t xml:space="preserve">(C.F./P.I. </w:t>
            </w:r>
            <w:r w:rsidRPr="000C6009">
              <w:rPr>
                <w:rFonts w:eastAsia="Times New Roman" w:cstheme="minorHAnsi"/>
                <w:szCs w:val="20"/>
              </w:rPr>
              <w:t>02509450066</w:t>
            </w:r>
            <w:r w:rsidRPr="000C6009">
              <w:rPr>
                <w:rFonts w:eastAsia="Calibri" w:cstheme="minorHAnsi"/>
                <w:color w:val="000000"/>
                <w:spacing w:val="1"/>
                <w:szCs w:val="20"/>
              </w:rPr>
              <w:t>), Lungo Tanaro Magenta 7 – 15121 Alessandria.</w:t>
            </w:r>
          </w:p>
        </w:tc>
      </w:tr>
      <w:tr w:rsidR="003B7E88" w:rsidRPr="000C6009" w14:paraId="0E60AA02" w14:textId="77777777" w:rsidTr="00BD261D">
        <w:trPr>
          <w:trHeight w:val="658"/>
        </w:trPr>
        <w:tc>
          <w:tcPr>
            <w:tcW w:w="2127" w:type="dxa"/>
            <w:tcBorders>
              <w:top w:val="single" w:sz="4" w:space="0" w:color="A6A6A6"/>
              <w:left w:val="single" w:sz="4" w:space="0" w:color="A6A6A6"/>
              <w:bottom w:val="single" w:sz="4" w:space="0" w:color="A6A6A6"/>
              <w:right w:val="single" w:sz="4" w:space="0" w:color="A6A6A6"/>
            </w:tcBorders>
            <w:hideMark/>
          </w:tcPr>
          <w:p w14:paraId="6A0A4354"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26C5D3F2"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Il Comune di Alessandria ha provveduto all’affidamento diretto del servizio con l’operatore ATM con contratto rep. n. 35034/2007 con durata 01/07/2007-31/12/2009</w:t>
            </w:r>
          </w:p>
        </w:tc>
      </w:tr>
      <w:tr w:rsidR="003B7E88" w:rsidRPr="000C6009" w14:paraId="6B75FAFB" w14:textId="77777777" w:rsidTr="00BD261D">
        <w:trPr>
          <w:trHeight w:val="2918"/>
        </w:trPr>
        <w:tc>
          <w:tcPr>
            <w:tcW w:w="2127" w:type="dxa"/>
            <w:tcBorders>
              <w:top w:val="single" w:sz="4" w:space="0" w:color="A6A6A6"/>
              <w:left w:val="single" w:sz="4" w:space="0" w:color="A6A6A6"/>
              <w:bottom w:val="single" w:sz="4" w:space="0" w:color="A6A6A6"/>
              <w:right w:val="single" w:sz="4" w:space="0" w:color="A6A6A6"/>
            </w:tcBorders>
            <w:hideMark/>
          </w:tcPr>
          <w:p w14:paraId="2D66BFF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Atti di proroga e imposizione di OdS:</w:t>
            </w:r>
          </w:p>
        </w:tc>
        <w:tc>
          <w:tcPr>
            <w:tcW w:w="7034" w:type="dxa"/>
            <w:tcBorders>
              <w:top w:val="single" w:sz="4" w:space="0" w:color="A6A6A6"/>
              <w:left w:val="single" w:sz="4" w:space="0" w:color="A6A6A6"/>
              <w:bottom w:val="single" w:sz="4" w:space="0" w:color="A6A6A6"/>
              <w:right w:val="single" w:sz="4" w:space="0" w:color="A6A6A6"/>
            </w:tcBorders>
            <w:hideMark/>
          </w:tcPr>
          <w:p w14:paraId="59DEDA71" w14:textId="77777777" w:rsidR="003B7E88" w:rsidRPr="000C6009" w:rsidRDefault="003B7E88" w:rsidP="00BD261D">
            <w:pPr>
              <w:numPr>
                <w:ilvl w:val="0"/>
                <w:numId w:val="18"/>
              </w:numPr>
              <w:tabs>
                <w:tab w:val="left" w:pos="1540"/>
              </w:tabs>
              <w:spacing w:before="120" w:after="0" w:line="266" w:lineRule="exact"/>
              <w:ind w:left="357" w:hanging="357"/>
              <w:jc w:val="left"/>
              <w:rPr>
                <w:rFonts w:eastAsia="Calibri" w:cstheme="minorHAnsi"/>
                <w:color w:val="000000"/>
                <w:spacing w:val="1"/>
                <w:lang w:eastAsia="en-US"/>
              </w:rPr>
            </w:pPr>
            <w:r w:rsidRPr="000C6009">
              <w:rPr>
                <w:rFonts w:eastAsia="Calibri" w:cstheme="minorHAnsi"/>
                <w:color w:val="000000"/>
                <w:spacing w:val="1"/>
                <w:lang w:eastAsia="en-US"/>
              </w:rPr>
              <w:t>deliberazione Consiglio Comunale n. 91 del 30.09.2016 - Data Fine Proroga: 30/06/2020</w:t>
            </w:r>
          </w:p>
          <w:p w14:paraId="556F02FB"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354 DEL 25/06/2020 proroga ex art. 5, par. 5  Reg. CE 1370/2007 fino al 30/06/2022</w:t>
            </w:r>
          </w:p>
          <w:p w14:paraId="1ED24089"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198 del 22/03/2022 proroga ex art. 5, par. 5  Reg. CE 1370/2007 fino al 31/03/2023</w:t>
            </w:r>
          </w:p>
          <w:p w14:paraId="03028A16"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224/2023 art. 5 par. 5 fino al 30/06/2023</w:t>
            </w:r>
          </w:p>
          <w:p w14:paraId="137817F5"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483/2023 art. 5 par. 5 fino al 30/09/2023</w:t>
            </w:r>
          </w:p>
          <w:p w14:paraId="013BBAB2" w14:textId="77777777" w:rsidR="003B7E88" w:rsidRPr="000C6009" w:rsidRDefault="003B7E88" w:rsidP="00BD261D">
            <w:pPr>
              <w:numPr>
                <w:ilvl w:val="0"/>
                <w:numId w:val="18"/>
              </w:numPr>
              <w:tabs>
                <w:tab w:val="left" w:pos="1540"/>
              </w:tabs>
              <w:spacing w:before="120" w:after="0" w:line="266" w:lineRule="exact"/>
              <w:contextualSpacing/>
              <w:rPr>
                <w:rFonts w:eastAsia="Calibri" w:cstheme="minorHAnsi"/>
                <w:color w:val="000000"/>
                <w:spacing w:val="1"/>
                <w:lang w:eastAsia="en-US"/>
              </w:rPr>
            </w:pPr>
            <w:r w:rsidRPr="000C6009">
              <w:rPr>
                <w:rFonts w:eastAsia="Calibri" w:cstheme="minorHAnsi"/>
                <w:color w:val="000000"/>
                <w:spacing w:val="1"/>
                <w:lang w:eastAsia="en-US"/>
              </w:rPr>
              <w:t>DD 771/2023 Definizione del procedimento di proroga per investimenti (L.26/22) – sussistenza presupposti per proroga 01/01/2023-31/12/2026</w:t>
            </w:r>
          </w:p>
        </w:tc>
      </w:tr>
      <w:tr w:rsidR="003B7E88" w:rsidRPr="000C6009" w14:paraId="5F3ABA50" w14:textId="77777777" w:rsidTr="00BD261D">
        <w:trPr>
          <w:trHeight w:val="469"/>
        </w:trPr>
        <w:tc>
          <w:tcPr>
            <w:tcW w:w="2127" w:type="dxa"/>
            <w:tcBorders>
              <w:top w:val="single" w:sz="4" w:space="0" w:color="A6A6A6"/>
              <w:left w:val="single" w:sz="4" w:space="0" w:color="A6A6A6"/>
              <w:bottom w:val="single" w:sz="4" w:space="0" w:color="A6A6A6"/>
              <w:right w:val="single" w:sz="4" w:space="0" w:color="A6A6A6"/>
            </w:tcBorders>
            <w:hideMark/>
          </w:tcPr>
          <w:p w14:paraId="282A517E"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7A8519C6" w14:textId="77777777" w:rsidR="003B7E88" w:rsidRPr="000C6009" w:rsidRDefault="003B7E88" w:rsidP="00BD261D">
            <w:pPr>
              <w:tabs>
                <w:tab w:val="left" w:pos="1540"/>
              </w:tabs>
              <w:spacing w:before="120" w:after="0" w:line="240" w:lineRule="auto"/>
              <w:rPr>
                <w:rFonts w:eastAsia="Calibri" w:cstheme="minorHAnsi"/>
                <w:color w:val="000000"/>
                <w:spacing w:val="1"/>
                <w:lang w:eastAsia="en-US"/>
              </w:rPr>
            </w:pPr>
            <w:r w:rsidRPr="000C6009">
              <w:rPr>
                <w:rFonts w:eastAsia="Calibri" w:cstheme="minorHAnsi"/>
                <w:color w:val="000000"/>
                <w:spacing w:val="1"/>
                <w:lang w:eastAsia="en-US"/>
              </w:rPr>
              <w:t>Ultima Proroga dal 01/01/2023 al 31/12/2026</w:t>
            </w:r>
          </w:p>
        </w:tc>
      </w:tr>
      <w:tr w:rsidR="003B7E88" w:rsidRPr="000C6009" w14:paraId="341B0EF7" w14:textId="77777777" w:rsidTr="00BD261D">
        <w:trPr>
          <w:trHeight w:val="643"/>
        </w:trPr>
        <w:tc>
          <w:tcPr>
            <w:tcW w:w="2127" w:type="dxa"/>
            <w:tcBorders>
              <w:top w:val="single" w:sz="4" w:space="0" w:color="A6A6A6"/>
              <w:left w:val="single" w:sz="4" w:space="0" w:color="A6A6A6"/>
              <w:bottom w:val="single" w:sz="4" w:space="0" w:color="A6A6A6"/>
              <w:right w:val="single" w:sz="4" w:space="0" w:color="A6A6A6"/>
            </w:tcBorders>
            <w:hideMark/>
          </w:tcPr>
          <w:p w14:paraId="6B0A72CA"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7034" w:type="dxa"/>
            <w:tcBorders>
              <w:top w:val="single" w:sz="4" w:space="0" w:color="A6A6A6"/>
              <w:left w:val="single" w:sz="4" w:space="0" w:color="A6A6A6"/>
              <w:bottom w:val="single" w:sz="4" w:space="0" w:color="A6A6A6"/>
              <w:right w:val="single" w:sz="4" w:space="0" w:color="A6A6A6"/>
            </w:tcBorders>
            <w:hideMark/>
          </w:tcPr>
          <w:p w14:paraId="0AE2A686" w14:textId="77777777" w:rsidR="003B7E88" w:rsidRPr="000C6009" w:rsidRDefault="003B7E88" w:rsidP="00BD261D">
            <w:pPr>
              <w:autoSpaceDE w:val="0"/>
              <w:autoSpaceDN w:val="0"/>
              <w:adjustRightInd w:val="0"/>
              <w:spacing w:before="120" w:after="0" w:line="240" w:lineRule="auto"/>
              <w:rPr>
                <w:rFonts w:eastAsia="Calibri" w:cstheme="minorHAnsi"/>
                <w:color w:val="000000"/>
                <w:spacing w:val="1"/>
              </w:rPr>
            </w:pPr>
            <w:r w:rsidRPr="000C6009">
              <w:rPr>
                <w:rFonts w:eastAsia="Calibri" w:cstheme="minorHAnsi"/>
                <w:color w:val="000000"/>
                <w:spacing w:val="1"/>
              </w:rPr>
              <w:t>Servizio urbano di autolinea di Alessandria</w:t>
            </w:r>
          </w:p>
        </w:tc>
      </w:tr>
    </w:tbl>
    <w:p w14:paraId="0D19DA9F" w14:textId="53701829" w:rsidR="003B7E88" w:rsidRPr="000C6009" w:rsidRDefault="003B7E88" w:rsidP="003B7E88">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4</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Quadro affidamento dei servizi di TPL del Comune di Alessandria</w:t>
      </w:r>
    </w:p>
    <w:p w14:paraId="33E4C4C7" w14:textId="77777777" w:rsidR="003B7E88" w:rsidRPr="000C6009" w:rsidRDefault="003B7E88" w:rsidP="003B7E88">
      <w:pPr>
        <w:spacing w:before="120" w:after="0" w:line="240" w:lineRule="auto"/>
        <w:rPr>
          <w:rFonts w:eastAsia="Times New Roman" w:cstheme="minorHAnsi"/>
          <w:b/>
          <w:bCs/>
          <w:szCs w:val="20"/>
        </w:rPr>
      </w:pPr>
      <w:r w:rsidRPr="000C6009">
        <w:rPr>
          <w:rFonts w:eastAsia="Times New Roman" w:cstheme="minorHAnsi"/>
          <w:b/>
          <w:bCs/>
          <w:szCs w:val="20"/>
        </w:rPr>
        <w:t>SERVIZIO DI TPL EXTRAURBANO PROVINCIA DI ASTI</w:t>
      </w:r>
    </w:p>
    <w:p w14:paraId="6A5DD6EA"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l'esercizio del Servizio di TPL Extraurbano Provincia di Asti afferente ai Servizi di TPL del Bacino Sud Est, l’Operatore Economico COAS Consorzio Astigiano (C.F./P.I. 01467520050) ha sottoscritto il contratto di servizio rep. n. 10509 del 22/12/2009 con durata di 72 mesi dall’avvio a partire dal 22/05/2010, successivamente prorogato dalla Provincia di Asti con atto n. 15790 del 17/06/2016 sino al 21/05/2019.</w:t>
      </w:r>
    </w:p>
    <w:p w14:paraId="2D0AB9EF"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In attuazione dell’art. 10, c. 4-bis della L.R. Piemonte n. 1/2000, come modificata dalle LL.RR. nn. 1/2015 e 15/2015, con la convenzione sottoscritta in data 14/12/2016 è stata trasferita la titolarità del Contratto di servizio all’Agenzia, successivamente prorogata con atti specifici fino al 30/09/2023:</w:t>
      </w:r>
    </w:p>
    <w:p w14:paraId="0F8BC105"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Determinazione n.433 del 16/06/2023 è stato dato avvio al procedimento per la definizione della cd. “proroga per investimenti” (L. 25/22),</w:t>
      </w:r>
    </w:p>
    <w:p w14:paraId="7F78A352"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con Determinazione n.483 del 30 giugno 2023 è stato preso atto della richiesta degli operatori SCAT e Bus Company di inserire il contratto servizio di TPL Urbano - Novi Ligure nel provvedimento di proroga del contratto di servizio di TPL extraurbano provincia di Alessandria;</w:t>
      </w:r>
    </w:p>
    <w:p w14:paraId="521E7E12" w14:textId="77777777" w:rsidR="003B7E88" w:rsidRDefault="003B7E88" w:rsidP="003B7E88">
      <w:pPr>
        <w:spacing w:before="120" w:after="0" w:line="240" w:lineRule="auto"/>
        <w:rPr>
          <w:rFonts w:eastAsia="Times New Roman" w:cstheme="minorHAnsi"/>
          <w:szCs w:val="20"/>
        </w:rPr>
      </w:pPr>
      <w:r w:rsidRPr="000C6009">
        <w:rPr>
          <w:rFonts w:eastAsia="Times New Roman" w:cstheme="minorHAnsi"/>
          <w:szCs w:val="20"/>
        </w:rPr>
        <w:lastRenderedPageBreak/>
        <w:t>con DD n. 760 del 23/10/2023 è stata concessa la proroga del servizio ai sensi dell’Art. 24 comma 5-bis del D.L. del 27 gennaio 2022 n. 4 convertito con modificazioni dalla L. 28/03/2022 n. 25 fino al 31/12/2026.</w:t>
      </w:r>
    </w:p>
    <w:p w14:paraId="6EC59383" w14:textId="77777777" w:rsidR="005973F8" w:rsidRPr="000C6009" w:rsidRDefault="005973F8" w:rsidP="003B7E88">
      <w:pPr>
        <w:spacing w:before="120" w:after="0" w:line="240" w:lineRule="auto"/>
        <w:rPr>
          <w:rFonts w:eastAsia="Times New Roman" w:cstheme="minorHAnsi"/>
          <w:szCs w:val="20"/>
        </w:rPr>
      </w:pPr>
    </w:p>
    <w:tbl>
      <w:tblPr>
        <w:tblStyle w:val="Grigliatabella2"/>
        <w:tblW w:w="9072" w:type="dxa"/>
        <w:tblInd w:w="-5" w:type="dxa"/>
        <w:tblLook w:val="04A0" w:firstRow="1" w:lastRow="0" w:firstColumn="1" w:lastColumn="0" w:noHBand="0" w:noVBand="1"/>
      </w:tblPr>
      <w:tblGrid>
        <w:gridCol w:w="2127"/>
        <w:gridCol w:w="6945"/>
      </w:tblGrid>
      <w:tr w:rsidR="003B7E88" w:rsidRPr="000C6009" w14:paraId="7E45F8CD" w14:textId="77777777" w:rsidTr="00BD261D">
        <w:tc>
          <w:tcPr>
            <w:tcW w:w="9072" w:type="dxa"/>
            <w:gridSpan w:val="2"/>
            <w:tcBorders>
              <w:top w:val="single" w:sz="4" w:space="0" w:color="A6A6A6"/>
              <w:left w:val="single" w:sz="4" w:space="0" w:color="A6A6A6"/>
              <w:bottom w:val="single" w:sz="4" w:space="0" w:color="A6A6A6"/>
              <w:right w:val="single" w:sz="4" w:space="0" w:color="A6A6A6"/>
            </w:tcBorders>
            <w:hideMark/>
          </w:tcPr>
          <w:p w14:paraId="3BCB3891" w14:textId="77777777" w:rsidR="003B7E88" w:rsidRPr="000C6009" w:rsidRDefault="003B7E88" w:rsidP="00BD261D">
            <w:pPr>
              <w:spacing w:before="120" w:after="0" w:line="240" w:lineRule="auto"/>
              <w:jc w:val="center"/>
              <w:rPr>
                <w:rFonts w:eastAsia="Calibri" w:cstheme="minorHAnsi"/>
                <w:b/>
                <w:caps/>
                <w:color w:val="000000"/>
                <w:spacing w:val="1"/>
                <w:szCs w:val="20"/>
              </w:rPr>
            </w:pPr>
            <w:r w:rsidRPr="000C6009">
              <w:rPr>
                <w:rFonts w:eastAsia="Calibri" w:cstheme="minorHAnsi"/>
                <w:b/>
                <w:caps/>
                <w:color w:val="000000"/>
                <w:spacing w:val="1"/>
                <w:szCs w:val="20"/>
              </w:rPr>
              <w:t>Servizi tpl DI AUTOLINEA EXTRAURBANO DELLA PROVINCIA DI ASTI</w:t>
            </w:r>
          </w:p>
        </w:tc>
      </w:tr>
      <w:tr w:rsidR="003B7E88" w:rsidRPr="000C6009" w14:paraId="2C071B2D"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5D66C06A"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6945" w:type="dxa"/>
            <w:tcBorders>
              <w:top w:val="single" w:sz="4" w:space="0" w:color="A6A6A6"/>
              <w:left w:val="single" w:sz="4" w:space="0" w:color="A6A6A6"/>
              <w:bottom w:val="single" w:sz="4" w:space="0" w:color="A6A6A6"/>
              <w:right w:val="single" w:sz="4" w:space="0" w:color="A6A6A6"/>
            </w:tcBorders>
            <w:hideMark/>
          </w:tcPr>
          <w:p w14:paraId="49F08ABC"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47F32934" w14:textId="77777777" w:rsidTr="00BD261D">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27AA4EC3" w14:textId="77777777" w:rsidR="003B7E88" w:rsidRPr="000C6009" w:rsidRDefault="003B7E88" w:rsidP="00BD261D">
            <w:pPr>
              <w:spacing w:before="120" w:after="0" w:line="240" w:lineRule="auto"/>
              <w:jc w:val="left"/>
              <w:rPr>
                <w:rFonts w:eastAsia="Times New Roman" w:cstheme="minorHAnsi"/>
                <w:b/>
                <w:szCs w:val="20"/>
              </w:rPr>
            </w:pPr>
            <w:r w:rsidRPr="000C6009">
              <w:rPr>
                <w:rFonts w:eastAsia="Times New Roman" w:cstheme="minorHAnsi"/>
                <w:b/>
                <w:bCs/>
                <w:color w:val="000000"/>
                <w:szCs w:val="20"/>
              </w:rPr>
              <w:t>Soggetto Affidatario:</w:t>
            </w:r>
          </w:p>
        </w:tc>
        <w:tc>
          <w:tcPr>
            <w:tcW w:w="6945" w:type="dxa"/>
            <w:tcBorders>
              <w:top w:val="single" w:sz="4" w:space="0" w:color="A6A6A6"/>
              <w:left w:val="single" w:sz="4" w:space="0" w:color="A6A6A6"/>
              <w:bottom w:val="single" w:sz="4" w:space="0" w:color="A6A6A6"/>
              <w:right w:val="single" w:sz="4" w:space="0" w:color="A6A6A6"/>
            </w:tcBorders>
            <w:hideMark/>
          </w:tcPr>
          <w:p w14:paraId="4B9C5845"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 xml:space="preserve">COAS CONSORZIO ASTIGIANO (C.F./P.I. </w:t>
            </w:r>
            <w:r w:rsidRPr="000C6009">
              <w:rPr>
                <w:rFonts w:eastAsia="Times New Roman" w:cstheme="minorHAnsi"/>
                <w:szCs w:val="20"/>
              </w:rPr>
              <w:t>01467520050</w:t>
            </w:r>
            <w:r w:rsidRPr="000C6009">
              <w:rPr>
                <w:rFonts w:eastAsia="Calibri" w:cstheme="minorHAnsi"/>
                <w:color w:val="000000"/>
                <w:spacing w:val="1"/>
                <w:szCs w:val="20"/>
              </w:rPr>
              <w:t>), Via alla Stazione 29 - 14019 Villanova d'Asti (AT)</w:t>
            </w:r>
          </w:p>
        </w:tc>
      </w:tr>
      <w:tr w:rsidR="003B7E88" w:rsidRPr="000C6009" w14:paraId="5A4B88F1"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56809D6F"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6945" w:type="dxa"/>
            <w:tcBorders>
              <w:top w:val="single" w:sz="4" w:space="0" w:color="A6A6A6"/>
              <w:left w:val="single" w:sz="4" w:space="0" w:color="A6A6A6"/>
              <w:bottom w:val="single" w:sz="4" w:space="0" w:color="A6A6A6"/>
              <w:right w:val="single" w:sz="4" w:space="0" w:color="A6A6A6"/>
            </w:tcBorders>
            <w:hideMark/>
          </w:tcPr>
          <w:p w14:paraId="1F249A98"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A seguito di gara ad evidenza pubblica con procedura aperta, COAS CONSORZIO ASTIGIANO ha sottoscritto il contratto Rep. n. 10509 del 22/12/2009 per il periodo 22/05/2010 – 21/05/2016</w:t>
            </w:r>
          </w:p>
        </w:tc>
      </w:tr>
      <w:tr w:rsidR="003B7E88" w:rsidRPr="000C6009" w14:paraId="2F5236D2"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1ED1699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Atti di proroga e imposizione di OdS:</w:t>
            </w:r>
          </w:p>
        </w:tc>
        <w:tc>
          <w:tcPr>
            <w:tcW w:w="6945" w:type="dxa"/>
            <w:tcBorders>
              <w:top w:val="single" w:sz="4" w:space="0" w:color="A6A6A6"/>
              <w:left w:val="single" w:sz="4" w:space="0" w:color="A6A6A6"/>
              <w:bottom w:val="single" w:sz="4" w:space="0" w:color="A6A6A6"/>
              <w:right w:val="single" w:sz="4" w:space="0" w:color="A6A6A6"/>
            </w:tcBorders>
            <w:hideMark/>
          </w:tcPr>
          <w:p w14:paraId="62CC3F69" w14:textId="77777777" w:rsidR="003B7E88" w:rsidRPr="000C6009" w:rsidRDefault="003B7E88" w:rsidP="00BD261D">
            <w:pPr>
              <w:numPr>
                <w:ilvl w:val="0"/>
                <w:numId w:val="18"/>
              </w:numPr>
              <w:tabs>
                <w:tab w:val="left" w:pos="1540"/>
              </w:tabs>
              <w:spacing w:before="120" w:after="0" w:line="266" w:lineRule="exact"/>
              <w:ind w:left="357" w:hanging="357"/>
              <w:jc w:val="left"/>
              <w:rPr>
                <w:rFonts w:eastAsia="Calibri" w:cstheme="minorHAnsi"/>
                <w:color w:val="000000"/>
                <w:spacing w:val="1"/>
                <w:lang w:eastAsia="en-US"/>
              </w:rPr>
            </w:pPr>
            <w:r w:rsidRPr="000C6009">
              <w:rPr>
                <w:rFonts w:eastAsia="Calibri" w:cstheme="minorHAnsi"/>
                <w:color w:val="000000"/>
                <w:spacing w:val="1"/>
                <w:lang w:eastAsia="en-US"/>
              </w:rPr>
              <w:t>Provincia di Asti atto N. 15790 Progr. N. 10823 di Rep del 17/06/2016 per proroga dal 22/05/2016 al 21/05/2019</w:t>
            </w:r>
          </w:p>
          <w:p w14:paraId="50A98785"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306 del 21/05/2019 proroga ex art. 5, par. 5  Reg. CE 1370/2007 Data fine proroga 21/05/2021</w:t>
            </w:r>
          </w:p>
          <w:p w14:paraId="12C0D422"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257 del 13/05/2021 imposizione OdS fino al 31/07/2022</w:t>
            </w:r>
          </w:p>
          <w:p w14:paraId="0A96D587"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860 del 30/12/2021 imposizione OdS fino al 31/03/2023</w:t>
            </w:r>
          </w:p>
          <w:p w14:paraId="578A3FDC"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226/2023 art. 5 par. 5 fino al 30/06/2023</w:t>
            </w:r>
          </w:p>
          <w:p w14:paraId="6DC0AE04" w14:textId="77777777" w:rsidR="003B7E88" w:rsidRPr="000C6009" w:rsidRDefault="003B7E88" w:rsidP="00BD261D">
            <w:pPr>
              <w:numPr>
                <w:ilvl w:val="0"/>
                <w:numId w:val="18"/>
              </w:numPr>
              <w:tabs>
                <w:tab w:val="left" w:pos="1540"/>
              </w:tabs>
              <w:spacing w:before="120" w:after="0" w:line="266" w:lineRule="exact"/>
              <w:contextualSpacing/>
              <w:jc w:val="left"/>
              <w:rPr>
                <w:rFonts w:eastAsia="Calibri" w:cstheme="minorHAnsi"/>
                <w:color w:val="000000"/>
                <w:spacing w:val="1"/>
                <w:lang w:eastAsia="en-US"/>
              </w:rPr>
            </w:pPr>
            <w:r w:rsidRPr="000C6009">
              <w:rPr>
                <w:rFonts w:eastAsia="Calibri" w:cstheme="minorHAnsi"/>
                <w:color w:val="000000"/>
                <w:spacing w:val="1"/>
                <w:lang w:eastAsia="en-US"/>
              </w:rPr>
              <w:t>DD 483/2023 art. 5 par. 5 fino al 30/09/2023</w:t>
            </w:r>
          </w:p>
          <w:p w14:paraId="13E0BA27" w14:textId="77777777" w:rsidR="003B7E88" w:rsidRPr="000C6009" w:rsidRDefault="003B7E88" w:rsidP="00BD261D">
            <w:pPr>
              <w:numPr>
                <w:ilvl w:val="0"/>
                <w:numId w:val="18"/>
              </w:numPr>
              <w:tabs>
                <w:tab w:val="left" w:pos="1540"/>
              </w:tabs>
              <w:spacing w:before="120" w:after="0" w:line="266" w:lineRule="exact"/>
              <w:contextualSpacing/>
              <w:rPr>
                <w:rFonts w:eastAsia="Calibri" w:cstheme="minorHAnsi"/>
                <w:color w:val="000000"/>
                <w:spacing w:val="1"/>
                <w:lang w:eastAsia="en-US"/>
              </w:rPr>
            </w:pPr>
            <w:r w:rsidRPr="000C6009">
              <w:rPr>
                <w:rFonts w:eastAsia="Calibri" w:cstheme="minorHAnsi"/>
                <w:color w:val="000000"/>
                <w:spacing w:val="1"/>
                <w:lang w:eastAsia="en-US"/>
              </w:rPr>
              <w:t>DD 760/2023 Definizione del procedimento di proroga per investimenti (L.26/22) – sussistenza presupposti per proroga 01/01/2023-31/12/2026</w:t>
            </w:r>
          </w:p>
        </w:tc>
      </w:tr>
      <w:tr w:rsidR="003B7E88" w:rsidRPr="000C6009" w14:paraId="6918FBF4"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000DE92A"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6945" w:type="dxa"/>
            <w:tcBorders>
              <w:top w:val="single" w:sz="4" w:space="0" w:color="A6A6A6"/>
              <w:left w:val="single" w:sz="4" w:space="0" w:color="A6A6A6"/>
              <w:bottom w:val="single" w:sz="4" w:space="0" w:color="A6A6A6"/>
              <w:right w:val="single" w:sz="4" w:space="0" w:color="A6A6A6"/>
            </w:tcBorders>
            <w:hideMark/>
          </w:tcPr>
          <w:p w14:paraId="30B69FB0" w14:textId="77777777" w:rsidR="003B7E88" w:rsidRPr="000C6009" w:rsidRDefault="003B7E88" w:rsidP="00BD261D">
            <w:pPr>
              <w:tabs>
                <w:tab w:val="left" w:pos="1540"/>
              </w:tabs>
              <w:spacing w:before="120" w:after="0" w:line="240" w:lineRule="auto"/>
              <w:rPr>
                <w:rFonts w:eastAsia="Calibri" w:cstheme="minorHAnsi"/>
                <w:color w:val="000000"/>
                <w:spacing w:val="1"/>
                <w:lang w:eastAsia="en-US"/>
              </w:rPr>
            </w:pPr>
            <w:r w:rsidRPr="000C6009">
              <w:rPr>
                <w:rFonts w:eastAsia="Calibri" w:cstheme="minorHAnsi"/>
                <w:color w:val="000000"/>
                <w:spacing w:val="1"/>
                <w:lang w:eastAsia="en-US"/>
              </w:rPr>
              <w:t>Ultima Proroga dal 01/01/2023 al 31/12/2026</w:t>
            </w:r>
          </w:p>
        </w:tc>
      </w:tr>
      <w:tr w:rsidR="003B7E88" w:rsidRPr="000C6009" w14:paraId="56F2795B" w14:textId="77777777" w:rsidTr="00BD261D">
        <w:tc>
          <w:tcPr>
            <w:tcW w:w="2127" w:type="dxa"/>
            <w:tcBorders>
              <w:top w:val="single" w:sz="4" w:space="0" w:color="A6A6A6"/>
              <w:left w:val="single" w:sz="4" w:space="0" w:color="A6A6A6"/>
              <w:bottom w:val="single" w:sz="4" w:space="0" w:color="A6A6A6"/>
              <w:right w:val="single" w:sz="4" w:space="0" w:color="A6A6A6"/>
            </w:tcBorders>
            <w:hideMark/>
          </w:tcPr>
          <w:p w14:paraId="7E869F0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6945" w:type="dxa"/>
            <w:tcBorders>
              <w:top w:val="single" w:sz="4" w:space="0" w:color="A6A6A6"/>
              <w:left w:val="single" w:sz="4" w:space="0" w:color="A6A6A6"/>
              <w:bottom w:val="single" w:sz="4" w:space="0" w:color="A6A6A6"/>
              <w:right w:val="single" w:sz="4" w:space="0" w:color="A6A6A6"/>
            </w:tcBorders>
            <w:hideMark/>
          </w:tcPr>
          <w:p w14:paraId="0D8F8BCA"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Servizio extraurbano di autolinea della Provincia di Asti</w:t>
            </w:r>
          </w:p>
        </w:tc>
      </w:tr>
    </w:tbl>
    <w:p w14:paraId="2F268202" w14:textId="1474DAC5" w:rsidR="003B7E88" w:rsidRPr="000C6009" w:rsidRDefault="003B7E88" w:rsidP="003B7E88">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5</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Quadro affidamento dei servizi di TPL della Provincia di Asti</w:t>
      </w:r>
    </w:p>
    <w:p w14:paraId="73565A6B" w14:textId="77777777" w:rsidR="003B7E88" w:rsidRPr="000C6009" w:rsidRDefault="003B7E88" w:rsidP="003B7E88">
      <w:pPr>
        <w:spacing w:before="120" w:after="0" w:line="240" w:lineRule="auto"/>
        <w:rPr>
          <w:rFonts w:eastAsia="Times New Roman" w:cstheme="minorHAnsi"/>
          <w:b/>
          <w:bCs/>
          <w:szCs w:val="20"/>
          <w:highlight w:val="yellow"/>
        </w:rPr>
      </w:pPr>
      <w:r w:rsidRPr="000C6009">
        <w:rPr>
          <w:rFonts w:eastAsia="Times New Roman" w:cstheme="minorHAnsi"/>
          <w:b/>
          <w:bCs/>
          <w:szCs w:val="20"/>
        </w:rPr>
        <w:t xml:space="preserve">SERVIZIO DI TPL URBANO DI ASTI </w:t>
      </w:r>
    </w:p>
    <w:p w14:paraId="52D7B6F4"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Per l'esercizio del Servizio di TPL Urbano di Asti afferente ai servizi di TPL del Bacino Sud Est, il Comune ha affidato, mediante gara a doppio oggetto – come da contratto Rep.n. 44657/14253 del 26 febbraio 2002 – con durata fino al 31 luglio 2028, tra gli altri, il Trasporto Pubblico Locale all’azienda A.S.P. – Asti Servizi Pubblici S.p.A., società “multiutility” costituita (dal Comune e dal socio privato NOS S.p.A.) per gestire ed erogare servizi pubblici locali, regolandolo mediante il contratto di servizi integrati di mobilità, di durata pari ad anni 3 (tre), dal 15 settembre 2021 al 14 settembre 2024, il cui schema è stato approvato con la deliberazione della Giunta Comunale di Asti n. 284 del 10 agosto 2021.</w:t>
      </w:r>
    </w:p>
    <w:p w14:paraId="389280B0"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Il Comune, in data 15 settembre 2021, ha sottoscritto il contratto di servizio per la regolamentazione del sistema integrato dei servizi alla mobilità - Rep.n. 314/2021/ASTI del 15 settembre 2021.</w:t>
      </w:r>
    </w:p>
    <w:p w14:paraId="675FB5CE"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Successivamente, il Comune, con deliberazione della Giunta Comunale n. 4 del 11 gennaio 2022, ha disposto di posticipare la scadenza del contratto di servizio al 31 dicembre 2027.</w:t>
      </w:r>
    </w:p>
    <w:p w14:paraId="5DCE7FD1" w14:textId="77777777" w:rsidR="003B7E88" w:rsidRPr="000C6009" w:rsidRDefault="003B7E88" w:rsidP="003B7E88">
      <w:pPr>
        <w:spacing w:before="120" w:after="0" w:line="240" w:lineRule="auto"/>
        <w:rPr>
          <w:rFonts w:eastAsia="Times New Roman" w:cstheme="minorHAnsi"/>
          <w:szCs w:val="20"/>
        </w:rPr>
      </w:pPr>
      <w:r w:rsidRPr="000C6009">
        <w:rPr>
          <w:rFonts w:eastAsia="Times New Roman" w:cstheme="minorHAnsi"/>
          <w:szCs w:val="20"/>
        </w:rPr>
        <w:t xml:space="preserve">In forza della Convenzione con il Comune di Asti, approvata dal Consiglio di Amministrazione dell’Agenzia con Deliberazione n. 32 del 21 dicembre 2021 e sottoscritta in data 09/03/2022 la titolarità del contratto di servizio per la regolamentazione del sistema integrato dei servizi alla mobilità, relativamente al servizio indicato nell’Allegato 1) DISCIPLINARE TECNICO PER LA REGOLAMENTAZIONE DEL SERVIZIO DI TRASPORTO PUBBLICO DI PERSONE, afferente il territorio comunale di Asti, sottoscritto in data 15 settembre 2021, Rep.n. 314/2021/ASTI, successivamente modificato con </w:t>
      </w:r>
      <w:r w:rsidRPr="000C6009">
        <w:rPr>
          <w:rFonts w:eastAsia="Times New Roman" w:cstheme="minorHAnsi"/>
          <w:szCs w:val="20"/>
        </w:rPr>
        <w:lastRenderedPageBreak/>
        <w:t>deliberazione della Giunta Comunale n. 4 del 11 gennaio 2022 è stata trasferita all’Agenzia con effetto dal 01/01/2022.</w:t>
      </w:r>
    </w:p>
    <w:p w14:paraId="560A68EA" w14:textId="77777777" w:rsidR="003B7E88" w:rsidRPr="000C6009" w:rsidRDefault="003B7E88" w:rsidP="003B7E88">
      <w:pPr>
        <w:spacing w:before="120" w:after="0" w:line="240" w:lineRule="auto"/>
        <w:rPr>
          <w:rFonts w:eastAsia="Times New Roman" w:cstheme="minorHAnsi"/>
          <w:b/>
          <w:bCs/>
          <w:szCs w:val="20"/>
          <w:highlight w:val="yellow"/>
        </w:rPr>
      </w:pPr>
    </w:p>
    <w:tbl>
      <w:tblPr>
        <w:tblStyle w:val="Grigliatabella2"/>
        <w:tblW w:w="9161" w:type="dxa"/>
        <w:tblInd w:w="-5" w:type="dxa"/>
        <w:tblLook w:val="04A0" w:firstRow="1" w:lastRow="0" w:firstColumn="1" w:lastColumn="0" w:noHBand="0" w:noVBand="1"/>
      </w:tblPr>
      <w:tblGrid>
        <w:gridCol w:w="2127"/>
        <w:gridCol w:w="7034"/>
      </w:tblGrid>
      <w:tr w:rsidR="003B7E88" w:rsidRPr="000C6009" w14:paraId="6E4D749A" w14:textId="77777777" w:rsidTr="00BD261D">
        <w:trPr>
          <w:trHeight w:val="389"/>
        </w:trPr>
        <w:tc>
          <w:tcPr>
            <w:tcW w:w="9161" w:type="dxa"/>
            <w:gridSpan w:val="2"/>
            <w:tcBorders>
              <w:top w:val="single" w:sz="4" w:space="0" w:color="A6A6A6"/>
              <w:left w:val="single" w:sz="4" w:space="0" w:color="A6A6A6"/>
              <w:bottom w:val="single" w:sz="4" w:space="0" w:color="A6A6A6"/>
              <w:right w:val="single" w:sz="4" w:space="0" w:color="A6A6A6"/>
            </w:tcBorders>
            <w:hideMark/>
          </w:tcPr>
          <w:p w14:paraId="6867B9BD" w14:textId="77777777" w:rsidR="003B7E88" w:rsidRPr="000C6009" w:rsidRDefault="003B7E88" w:rsidP="00BD261D">
            <w:pPr>
              <w:spacing w:before="120" w:after="0" w:line="240" w:lineRule="auto"/>
              <w:jc w:val="center"/>
              <w:rPr>
                <w:rFonts w:eastAsia="Calibri" w:cstheme="minorHAnsi"/>
                <w:b/>
                <w:caps/>
                <w:color w:val="000000"/>
                <w:spacing w:val="1"/>
                <w:szCs w:val="20"/>
                <w:highlight w:val="yellow"/>
              </w:rPr>
            </w:pPr>
            <w:r w:rsidRPr="000C6009">
              <w:rPr>
                <w:rFonts w:eastAsia="Calibri" w:cstheme="minorHAnsi"/>
                <w:b/>
                <w:caps/>
                <w:color w:val="000000"/>
                <w:spacing w:val="1"/>
                <w:szCs w:val="20"/>
              </w:rPr>
              <w:t>Servizi tpl DI AUTOLINEA URBANO DI ASTI</w:t>
            </w:r>
          </w:p>
        </w:tc>
      </w:tr>
      <w:tr w:rsidR="003B7E88" w:rsidRPr="000C6009" w14:paraId="1762E6AE" w14:textId="77777777" w:rsidTr="00BD261D">
        <w:trPr>
          <w:trHeight w:val="374"/>
        </w:trPr>
        <w:tc>
          <w:tcPr>
            <w:tcW w:w="2127" w:type="dxa"/>
            <w:tcBorders>
              <w:top w:val="single" w:sz="4" w:space="0" w:color="A6A6A6"/>
              <w:left w:val="single" w:sz="4" w:space="0" w:color="A6A6A6"/>
              <w:bottom w:val="single" w:sz="4" w:space="0" w:color="A6A6A6"/>
              <w:right w:val="single" w:sz="4" w:space="0" w:color="A6A6A6"/>
            </w:tcBorders>
            <w:hideMark/>
          </w:tcPr>
          <w:p w14:paraId="2C7F3C32" w14:textId="77777777" w:rsidR="003B7E88" w:rsidRPr="000C6009" w:rsidRDefault="003B7E88" w:rsidP="00BD261D">
            <w:pPr>
              <w:spacing w:before="120" w:after="0" w:line="240" w:lineRule="auto"/>
              <w:jc w:val="left"/>
              <w:rPr>
                <w:rFonts w:eastAsia="Calibri" w:cstheme="minorHAnsi"/>
                <w:b/>
                <w:szCs w:val="20"/>
              </w:rPr>
            </w:pPr>
            <w:r w:rsidRPr="000C6009">
              <w:rPr>
                <w:rFonts w:eastAsia="Times New Roman" w:cstheme="minorHAnsi"/>
                <w:b/>
                <w:color w:val="000000"/>
                <w:szCs w:val="20"/>
              </w:rPr>
              <w:t>Ente Affidante:</w:t>
            </w:r>
          </w:p>
        </w:tc>
        <w:tc>
          <w:tcPr>
            <w:tcW w:w="7034" w:type="dxa"/>
            <w:tcBorders>
              <w:top w:val="single" w:sz="4" w:space="0" w:color="A6A6A6"/>
              <w:left w:val="single" w:sz="4" w:space="0" w:color="A6A6A6"/>
              <w:bottom w:val="single" w:sz="4" w:space="0" w:color="A6A6A6"/>
              <w:right w:val="single" w:sz="4" w:space="0" w:color="A6A6A6"/>
            </w:tcBorders>
            <w:hideMark/>
          </w:tcPr>
          <w:p w14:paraId="28351492" w14:textId="77777777" w:rsidR="003B7E88" w:rsidRPr="000C6009" w:rsidRDefault="003B7E88" w:rsidP="00BD261D">
            <w:pPr>
              <w:spacing w:before="120" w:after="0" w:line="240" w:lineRule="auto"/>
              <w:rPr>
                <w:rFonts w:eastAsia="Times New Roman" w:cstheme="minorHAnsi"/>
                <w:szCs w:val="20"/>
              </w:rPr>
            </w:pPr>
            <w:r w:rsidRPr="000C6009">
              <w:rPr>
                <w:rFonts w:eastAsia="Calibri" w:cstheme="minorHAnsi"/>
                <w:color w:val="000000"/>
                <w:spacing w:val="1"/>
                <w:szCs w:val="20"/>
              </w:rPr>
              <w:t>Agenzia della mobilità piemontese</w:t>
            </w:r>
          </w:p>
        </w:tc>
      </w:tr>
      <w:tr w:rsidR="003B7E88" w:rsidRPr="000C6009" w14:paraId="1865CC81" w14:textId="77777777" w:rsidTr="00BD261D">
        <w:trPr>
          <w:trHeight w:val="548"/>
        </w:trPr>
        <w:tc>
          <w:tcPr>
            <w:tcW w:w="2127" w:type="dxa"/>
            <w:tcBorders>
              <w:top w:val="single" w:sz="4" w:space="0" w:color="A6A6A6"/>
              <w:left w:val="single" w:sz="4" w:space="0" w:color="A6A6A6"/>
              <w:bottom w:val="single" w:sz="4" w:space="0" w:color="A6A6A6"/>
              <w:right w:val="single" w:sz="4" w:space="0" w:color="A6A6A6"/>
            </w:tcBorders>
            <w:hideMark/>
          </w:tcPr>
          <w:p w14:paraId="4838592F" w14:textId="77777777" w:rsidR="003B7E88" w:rsidRPr="000C6009" w:rsidRDefault="003B7E88" w:rsidP="00BD261D">
            <w:pPr>
              <w:spacing w:before="120" w:after="0" w:line="240" w:lineRule="auto"/>
              <w:jc w:val="left"/>
              <w:rPr>
                <w:rFonts w:eastAsia="Times New Roman" w:cstheme="minorHAnsi"/>
                <w:b/>
                <w:szCs w:val="20"/>
                <w:highlight w:val="yellow"/>
              </w:rPr>
            </w:pPr>
            <w:r w:rsidRPr="000C6009">
              <w:rPr>
                <w:rFonts w:eastAsia="Times New Roman" w:cstheme="minorHAnsi"/>
                <w:b/>
                <w:bCs/>
                <w:color w:val="000000"/>
                <w:szCs w:val="20"/>
              </w:rPr>
              <w:t>Soggetto Affidatario:</w:t>
            </w:r>
          </w:p>
        </w:tc>
        <w:tc>
          <w:tcPr>
            <w:tcW w:w="7034" w:type="dxa"/>
            <w:tcBorders>
              <w:top w:val="single" w:sz="4" w:space="0" w:color="A6A6A6"/>
              <w:left w:val="single" w:sz="4" w:space="0" w:color="A6A6A6"/>
              <w:bottom w:val="single" w:sz="4" w:space="0" w:color="A6A6A6"/>
              <w:right w:val="single" w:sz="4" w:space="0" w:color="A6A6A6"/>
            </w:tcBorders>
            <w:hideMark/>
          </w:tcPr>
          <w:p w14:paraId="34C22DDA" w14:textId="77777777" w:rsidR="003B7E88" w:rsidRPr="000C6009" w:rsidRDefault="003B7E88" w:rsidP="00BD261D">
            <w:pPr>
              <w:spacing w:before="120" w:after="0" w:line="240" w:lineRule="auto"/>
              <w:rPr>
                <w:rFonts w:eastAsia="Calibri" w:cstheme="minorHAnsi"/>
                <w:color w:val="000000"/>
                <w:spacing w:val="1"/>
                <w:szCs w:val="20"/>
                <w:highlight w:val="yellow"/>
              </w:rPr>
            </w:pPr>
            <w:r w:rsidRPr="000C6009">
              <w:rPr>
                <w:rFonts w:eastAsia="Times New Roman" w:cstheme="minorHAnsi"/>
                <w:szCs w:val="20"/>
              </w:rPr>
              <w:t>Asti Servizi Pubblici S.p.A</w:t>
            </w:r>
            <w:r w:rsidRPr="000C6009">
              <w:rPr>
                <w:rFonts w:eastAsia="Calibri" w:cstheme="minorHAnsi"/>
                <w:szCs w:val="20"/>
              </w:rPr>
              <w:t xml:space="preserve"> </w:t>
            </w:r>
            <w:r w:rsidRPr="000C6009">
              <w:rPr>
                <w:rFonts w:eastAsia="Calibri" w:cstheme="minorHAnsi"/>
                <w:color w:val="000000"/>
                <w:spacing w:val="1"/>
                <w:szCs w:val="20"/>
              </w:rPr>
              <w:t xml:space="preserve">(C.F./P.I. </w:t>
            </w:r>
            <w:r w:rsidRPr="000C6009">
              <w:rPr>
                <w:rFonts w:eastAsia="Times New Roman" w:cstheme="minorHAnsi"/>
                <w:szCs w:val="20"/>
              </w:rPr>
              <w:t>01142420056</w:t>
            </w:r>
            <w:r w:rsidRPr="000C6009">
              <w:rPr>
                <w:rFonts w:eastAsia="Calibri" w:cstheme="minorHAnsi"/>
                <w:color w:val="000000"/>
                <w:spacing w:val="1"/>
                <w:szCs w:val="20"/>
              </w:rPr>
              <w:t xml:space="preserve">), Corso Don Minzoni 86– 14100 </w:t>
            </w:r>
            <w:r w:rsidRPr="000C6009">
              <w:rPr>
                <w:rFonts w:eastAsia="Times New Roman" w:cstheme="minorHAnsi"/>
                <w:szCs w:val="20"/>
              </w:rPr>
              <w:t>Asti</w:t>
            </w:r>
            <w:r w:rsidRPr="000C6009">
              <w:rPr>
                <w:rFonts w:eastAsia="Calibri" w:cstheme="minorHAnsi"/>
                <w:color w:val="000000"/>
                <w:spacing w:val="1"/>
                <w:szCs w:val="20"/>
              </w:rPr>
              <w:t>.</w:t>
            </w:r>
          </w:p>
        </w:tc>
      </w:tr>
      <w:tr w:rsidR="003B7E88" w:rsidRPr="000C6009" w14:paraId="4F4B4A54" w14:textId="77777777" w:rsidTr="00BD261D">
        <w:trPr>
          <w:trHeight w:val="658"/>
        </w:trPr>
        <w:tc>
          <w:tcPr>
            <w:tcW w:w="2127" w:type="dxa"/>
            <w:tcBorders>
              <w:top w:val="single" w:sz="4" w:space="0" w:color="A6A6A6"/>
              <w:left w:val="single" w:sz="4" w:space="0" w:color="A6A6A6"/>
              <w:bottom w:val="single" w:sz="4" w:space="0" w:color="A6A6A6"/>
              <w:right w:val="single" w:sz="4" w:space="0" w:color="A6A6A6"/>
            </w:tcBorders>
            <w:hideMark/>
          </w:tcPr>
          <w:p w14:paraId="14632F35"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Modalità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3C16BC87" w14:textId="77777777" w:rsidR="003B7E88" w:rsidRPr="000C6009" w:rsidRDefault="003B7E88" w:rsidP="00BD261D">
            <w:pPr>
              <w:spacing w:before="120" w:after="0" w:line="240" w:lineRule="auto"/>
              <w:rPr>
                <w:rFonts w:eastAsia="Calibri" w:cstheme="minorHAnsi"/>
                <w:color w:val="000000"/>
                <w:spacing w:val="1"/>
                <w:szCs w:val="20"/>
              </w:rPr>
            </w:pPr>
            <w:r w:rsidRPr="000C6009">
              <w:rPr>
                <w:rFonts w:eastAsia="Calibri" w:cstheme="minorHAnsi"/>
                <w:color w:val="000000"/>
                <w:spacing w:val="1"/>
                <w:szCs w:val="20"/>
              </w:rPr>
              <w:t>Il Comune di Asti ha provveduto all’affidamento mediante gara a doppio oggetto all’operatore A.S.P. SpA, società multiutility, con contratto Rep. 44657/14253 del 26/02/2002 con scadenza al 31 luglio 2028 (successivamente ridefinita al 31 dicembre 2027), tra gli altri, anche il servizio di TPL che è regolato nell’ambito dell’affidamento tramite il contratto di servizi integrati mobilità di durata triennale.</w:t>
            </w:r>
          </w:p>
        </w:tc>
      </w:tr>
      <w:tr w:rsidR="003B7E88" w:rsidRPr="000C6009" w14:paraId="57E262FB" w14:textId="77777777" w:rsidTr="00BD261D">
        <w:trPr>
          <w:trHeight w:val="827"/>
        </w:trPr>
        <w:tc>
          <w:tcPr>
            <w:tcW w:w="2127" w:type="dxa"/>
            <w:tcBorders>
              <w:top w:val="single" w:sz="4" w:space="0" w:color="A6A6A6"/>
              <w:left w:val="single" w:sz="4" w:space="0" w:color="A6A6A6"/>
              <w:bottom w:val="single" w:sz="4" w:space="0" w:color="A6A6A6"/>
              <w:right w:val="single" w:sz="4" w:space="0" w:color="A6A6A6"/>
            </w:tcBorders>
            <w:hideMark/>
          </w:tcPr>
          <w:p w14:paraId="166F56B4" w14:textId="77777777" w:rsidR="003B7E88" w:rsidRPr="000C6009" w:rsidRDefault="003B7E88" w:rsidP="00BD261D">
            <w:pPr>
              <w:spacing w:before="120" w:after="0" w:line="240" w:lineRule="auto"/>
              <w:jc w:val="left"/>
              <w:rPr>
                <w:rFonts w:eastAsia="Calibri" w:cstheme="minorHAnsi"/>
                <w:b/>
                <w:bCs/>
                <w:color w:val="000000"/>
                <w:szCs w:val="20"/>
                <w:highlight w:val="yellow"/>
              </w:rPr>
            </w:pPr>
            <w:r w:rsidRPr="000C6009">
              <w:rPr>
                <w:rFonts w:eastAsia="Times New Roman" w:cstheme="minorHAnsi"/>
                <w:b/>
                <w:bCs/>
                <w:color w:val="000000"/>
                <w:szCs w:val="20"/>
              </w:rPr>
              <w:t>Atti di proroga e imposizione di OdS:</w:t>
            </w:r>
          </w:p>
        </w:tc>
        <w:tc>
          <w:tcPr>
            <w:tcW w:w="7034" w:type="dxa"/>
            <w:tcBorders>
              <w:top w:val="single" w:sz="4" w:space="0" w:color="A6A6A6"/>
              <w:left w:val="single" w:sz="4" w:space="0" w:color="A6A6A6"/>
              <w:bottom w:val="single" w:sz="4" w:space="0" w:color="A6A6A6"/>
              <w:right w:val="single" w:sz="4" w:space="0" w:color="A6A6A6"/>
            </w:tcBorders>
            <w:hideMark/>
          </w:tcPr>
          <w:p w14:paraId="485DF73B" w14:textId="77777777" w:rsidR="003B7E88" w:rsidRPr="000C6009" w:rsidRDefault="003B7E88" w:rsidP="00BD261D">
            <w:pPr>
              <w:tabs>
                <w:tab w:val="left" w:pos="1540"/>
              </w:tabs>
              <w:spacing w:before="120" w:after="0" w:line="266" w:lineRule="exact"/>
              <w:rPr>
                <w:rFonts w:eastAsia="Calibri" w:cstheme="minorHAnsi"/>
                <w:color w:val="000000"/>
                <w:spacing w:val="1"/>
                <w:highlight w:val="yellow"/>
                <w:lang w:eastAsia="en-US"/>
              </w:rPr>
            </w:pPr>
            <w:r w:rsidRPr="000C6009">
              <w:rPr>
                <w:rFonts w:eastAsia="Calibri" w:cstheme="minorHAnsi"/>
                <w:color w:val="000000"/>
                <w:spacing w:val="1"/>
                <w:lang w:eastAsia="en-US"/>
              </w:rPr>
              <w:t>Assenti</w:t>
            </w:r>
          </w:p>
        </w:tc>
      </w:tr>
      <w:tr w:rsidR="003B7E88" w:rsidRPr="000C6009" w14:paraId="5EEB2FD3" w14:textId="77777777" w:rsidTr="00BD261D">
        <w:trPr>
          <w:trHeight w:val="469"/>
        </w:trPr>
        <w:tc>
          <w:tcPr>
            <w:tcW w:w="2127" w:type="dxa"/>
            <w:tcBorders>
              <w:top w:val="single" w:sz="4" w:space="0" w:color="A6A6A6"/>
              <w:left w:val="single" w:sz="4" w:space="0" w:color="A6A6A6"/>
              <w:bottom w:val="single" w:sz="4" w:space="0" w:color="A6A6A6"/>
              <w:right w:val="single" w:sz="4" w:space="0" w:color="A6A6A6"/>
            </w:tcBorders>
            <w:hideMark/>
          </w:tcPr>
          <w:p w14:paraId="22FC1B24"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Durata Affidamento:</w:t>
            </w:r>
          </w:p>
        </w:tc>
        <w:tc>
          <w:tcPr>
            <w:tcW w:w="7034" w:type="dxa"/>
            <w:tcBorders>
              <w:top w:val="single" w:sz="4" w:space="0" w:color="A6A6A6"/>
              <w:left w:val="single" w:sz="4" w:space="0" w:color="A6A6A6"/>
              <w:bottom w:val="single" w:sz="4" w:space="0" w:color="A6A6A6"/>
              <w:right w:val="single" w:sz="4" w:space="0" w:color="A6A6A6"/>
            </w:tcBorders>
            <w:hideMark/>
          </w:tcPr>
          <w:p w14:paraId="3CA9F365" w14:textId="77777777" w:rsidR="003B7E88" w:rsidRPr="000C6009" w:rsidRDefault="003B7E88" w:rsidP="00BD261D">
            <w:pPr>
              <w:spacing w:before="120" w:after="0" w:line="266" w:lineRule="exact"/>
              <w:rPr>
                <w:rFonts w:eastAsia="Calibri" w:cstheme="minorHAnsi"/>
                <w:color w:val="000000"/>
                <w:spacing w:val="1"/>
                <w:lang w:eastAsia="en-US"/>
              </w:rPr>
            </w:pPr>
            <w:r w:rsidRPr="000C6009">
              <w:rPr>
                <w:rFonts w:eastAsia="Calibri" w:cstheme="minorHAnsi"/>
                <w:color w:val="000000"/>
                <w:spacing w:val="1"/>
                <w:szCs w:val="20"/>
              </w:rPr>
              <w:t xml:space="preserve">dal </w:t>
            </w:r>
            <w:r w:rsidRPr="000C6009">
              <w:rPr>
                <w:rFonts w:eastAsia="Calibri" w:cstheme="minorHAnsi"/>
                <w:color w:val="000000"/>
                <w:spacing w:val="1"/>
              </w:rPr>
              <w:t>01/01/2001-31/12/2027</w:t>
            </w:r>
          </w:p>
        </w:tc>
      </w:tr>
      <w:tr w:rsidR="003B7E88" w:rsidRPr="000C6009" w14:paraId="23396815" w14:textId="77777777" w:rsidTr="00BD261D">
        <w:trPr>
          <w:trHeight w:val="643"/>
        </w:trPr>
        <w:tc>
          <w:tcPr>
            <w:tcW w:w="2127" w:type="dxa"/>
            <w:tcBorders>
              <w:top w:val="single" w:sz="4" w:space="0" w:color="A6A6A6"/>
              <w:left w:val="single" w:sz="4" w:space="0" w:color="A6A6A6"/>
              <w:bottom w:val="single" w:sz="4" w:space="0" w:color="A6A6A6"/>
              <w:right w:val="single" w:sz="4" w:space="0" w:color="A6A6A6"/>
            </w:tcBorders>
            <w:hideMark/>
          </w:tcPr>
          <w:p w14:paraId="7F968C16" w14:textId="77777777" w:rsidR="003B7E88" w:rsidRPr="000C6009" w:rsidRDefault="003B7E88" w:rsidP="00BD261D">
            <w:pPr>
              <w:spacing w:before="120" w:after="0" w:line="240" w:lineRule="auto"/>
              <w:jc w:val="left"/>
              <w:rPr>
                <w:rFonts w:eastAsia="Calibri" w:cstheme="minorHAnsi"/>
                <w:b/>
                <w:bCs/>
                <w:color w:val="000000"/>
                <w:szCs w:val="20"/>
              </w:rPr>
            </w:pPr>
            <w:r w:rsidRPr="000C6009">
              <w:rPr>
                <w:rFonts w:eastAsia="Times New Roman" w:cstheme="minorHAnsi"/>
                <w:b/>
                <w:bCs/>
                <w:color w:val="000000"/>
                <w:szCs w:val="20"/>
              </w:rPr>
              <w:t>Descrizione dei servizi affidati:</w:t>
            </w:r>
          </w:p>
        </w:tc>
        <w:tc>
          <w:tcPr>
            <w:tcW w:w="7034" w:type="dxa"/>
            <w:tcBorders>
              <w:top w:val="single" w:sz="4" w:space="0" w:color="A6A6A6"/>
              <w:left w:val="single" w:sz="4" w:space="0" w:color="A6A6A6"/>
              <w:bottom w:val="single" w:sz="4" w:space="0" w:color="A6A6A6"/>
              <w:right w:val="single" w:sz="4" w:space="0" w:color="A6A6A6"/>
            </w:tcBorders>
            <w:hideMark/>
          </w:tcPr>
          <w:p w14:paraId="4D893169" w14:textId="77777777" w:rsidR="003B7E88" w:rsidRPr="000C6009" w:rsidRDefault="003B7E88" w:rsidP="00BD261D">
            <w:pPr>
              <w:autoSpaceDE w:val="0"/>
              <w:autoSpaceDN w:val="0"/>
              <w:adjustRightInd w:val="0"/>
              <w:spacing w:before="120" w:after="0" w:line="240" w:lineRule="auto"/>
              <w:rPr>
                <w:rFonts w:eastAsia="Calibri" w:cstheme="minorHAnsi"/>
                <w:color w:val="000000"/>
                <w:spacing w:val="1"/>
              </w:rPr>
            </w:pPr>
            <w:r w:rsidRPr="000C6009">
              <w:rPr>
                <w:rFonts w:eastAsia="Calibri" w:cstheme="minorHAnsi"/>
                <w:color w:val="000000"/>
                <w:spacing w:val="1"/>
              </w:rPr>
              <w:t>Servizio urbano di autolinea di Asti</w:t>
            </w:r>
          </w:p>
        </w:tc>
      </w:tr>
    </w:tbl>
    <w:p w14:paraId="6C5AA66C" w14:textId="033254FA" w:rsidR="003B7E88" w:rsidRPr="000C6009" w:rsidRDefault="003B7E88" w:rsidP="003B7E88">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6</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Quadro affidamento dei servizi di TPL del Comune di Asti</w:t>
      </w:r>
    </w:p>
    <w:p w14:paraId="6CAF714C" w14:textId="77777777" w:rsidR="003B7E88" w:rsidRPr="000C6009" w:rsidRDefault="003B7E88" w:rsidP="003B7E88">
      <w:pPr>
        <w:pStyle w:val="Titolo2"/>
        <w:ind w:left="567"/>
        <w:rPr>
          <w:rFonts w:asciiTheme="minorHAnsi" w:hAnsiTheme="minorHAnsi" w:cstheme="minorHAnsi"/>
        </w:rPr>
      </w:pPr>
      <w:bookmarkStart w:id="92" w:name="_Toc1738839139"/>
      <w:bookmarkStart w:id="93" w:name="_Ref193814903"/>
      <w:bookmarkStart w:id="94" w:name="_Ref204164723"/>
      <w:bookmarkStart w:id="95" w:name="_Toc204616478"/>
      <w:bookmarkStart w:id="96" w:name="_Toc205213709"/>
      <w:r w:rsidRPr="000C6009">
        <w:rPr>
          <w:rFonts w:asciiTheme="minorHAnsi" w:hAnsiTheme="minorHAnsi" w:cstheme="minorHAnsi"/>
        </w:rPr>
        <w:t xml:space="preserve">Accordi di programma del Bacino </w:t>
      </w:r>
      <w:bookmarkEnd w:id="90"/>
      <w:bookmarkEnd w:id="92"/>
      <w:bookmarkEnd w:id="93"/>
      <w:r w:rsidRPr="000C6009">
        <w:rPr>
          <w:rFonts w:asciiTheme="minorHAnsi" w:hAnsiTheme="minorHAnsi" w:cstheme="minorHAnsi"/>
        </w:rPr>
        <w:t>Sud Est</w:t>
      </w:r>
      <w:bookmarkEnd w:id="94"/>
      <w:bookmarkEnd w:id="95"/>
      <w:bookmarkEnd w:id="96"/>
    </w:p>
    <w:p w14:paraId="219A5863" w14:textId="77777777" w:rsidR="003B7E88" w:rsidRPr="000C6009" w:rsidRDefault="003B7E88" w:rsidP="003B7E88">
      <w:pPr>
        <w:spacing w:before="120" w:after="0" w:line="240" w:lineRule="auto"/>
        <w:rPr>
          <w:rFonts w:cstheme="minorHAnsi"/>
          <w:color w:val="000000" w:themeColor="text1"/>
        </w:rPr>
      </w:pPr>
      <w:r w:rsidRPr="000C6009">
        <w:rPr>
          <w:rFonts w:cstheme="minorHAnsi"/>
          <w:color w:val="000000" w:themeColor="text1"/>
        </w:rPr>
        <w:t>Nel Bacino Sud Est, n. 96 comuni su 305 sono classificati come aree interne intermedie o periferiche e di questi 59 sono classificabili, secondo i criteri definiti dall’art. 4 del DM 157/2018, come comuni in area a domanda debole.</w:t>
      </w:r>
    </w:p>
    <w:p w14:paraId="393D9778" w14:textId="77777777" w:rsidR="003B7E88" w:rsidRPr="000C6009" w:rsidRDefault="003B7E88" w:rsidP="003B7E88">
      <w:pPr>
        <w:spacing w:before="120" w:after="0" w:line="240" w:lineRule="auto"/>
        <w:rPr>
          <w:rFonts w:cstheme="minorHAnsi"/>
          <w:color w:val="000000" w:themeColor="text1"/>
        </w:rPr>
      </w:pPr>
      <w:r w:rsidRPr="000C6009">
        <w:rPr>
          <w:rFonts w:cstheme="minorHAnsi"/>
          <w:color w:val="000000" w:themeColor="text1"/>
        </w:rPr>
        <w:t xml:space="preserve">In queste aree interne non sempre il trasporto pubblico “tradizionale” può rispondere adeguatamente ai bisogni di mobilità dei residenti; pertanto, in accordo con le realtà territoriali locali sono definiti specifici servizi che vengono amministrati, o direttamente gestiti, da Comuni e Unioni Montane. </w:t>
      </w:r>
    </w:p>
    <w:p w14:paraId="0AE8B7B4" w14:textId="77777777" w:rsidR="003B7E88" w:rsidRPr="000C6009" w:rsidRDefault="003B7E88" w:rsidP="003B7E88">
      <w:pPr>
        <w:spacing w:before="120" w:after="0" w:line="240" w:lineRule="auto"/>
        <w:rPr>
          <w:rFonts w:cstheme="minorHAnsi"/>
          <w:color w:val="000000" w:themeColor="text1"/>
        </w:rPr>
      </w:pPr>
      <w:r w:rsidRPr="000C6009">
        <w:rPr>
          <w:rFonts w:cstheme="minorHAnsi"/>
          <w:color w:val="000000" w:themeColor="text1"/>
        </w:rPr>
        <w:t>Nel Bacino Sud Est sono oggi attivi accordi con n. 9 Comuni e n. 1 Unione Montana.</w:t>
      </w:r>
    </w:p>
    <w:p w14:paraId="1CDC3774" w14:textId="77777777" w:rsidR="003B7E88" w:rsidRPr="000C6009" w:rsidRDefault="003B7E88" w:rsidP="003B7E88">
      <w:pPr>
        <w:spacing w:before="120" w:after="0" w:line="240" w:lineRule="auto"/>
        <w:rPr>
          <w:rFonts w:cstheme="minorHAnsi"/>
          <w:color w:val="000000" w:themeColor="text1"/>
        </w:rPr>
      </w:pPr>
      <w:r w:rsidRPr="000C6009">
        <w:rPr>
          <w:rFonts w:cstheme="minorHAnsi"/>
          <w:color w:val="000000" w:themeColor="text1"/>
        </w:rPr>
        <w:t>In forza di tali accordi gli Enti ricevono risorse finanziarie mediante trasferimenti di risorse regionali erogate in forza di Accordi di Programma sottoscritti bilateralmente tra ciascuno di tali Enti e l’Agenzia, finalizzati alla attivazione e gestione di servizi per la mobilità collettiva integrativi e/o aggiuntivi e coordinati rispetto al servizio di trasporto pubblico gestito dai Contratti di servizio prima descritti.</w:t>
      </w:r>
    </w:p>
    <w:p w14:paraId="4748266C" w14:textId="77777777" w:rsidR="003B7E88" w:rsidRPr="000C6009" w:rsidRDefault="003B7E88" w:rsidP="003B7E88">
      <w:pPr>
        <w:spacing w:before="120" w:after="0" w:line="240" w:lineRule="auto"/>
        <w:rPr>
          <w:rFonts w:cstheme="minorHAnsi"/>
          <w:color w:val="000000" w:themeColor="text1"/>
        </w:rPr>
      </w:pPr>
      <w:r w:rsidRPr="000C6009">
        <w:rPr>
          <w:rFonts w:cstheme="minorHAnsi"/>
          <w:color w:val="000000" w:themeColor="text1"/>
        </w:rPr>
        <w:t>Nella tabella seguente sono riportati i riferimenti degli accordi e dei provvedimenti disposti per la gestione dei servizi.</w:t>
      </w:r>
    </w:p>
    <w:p w14:paraId="35F6C970" w14:textId="77777777" w:rsidR="003B7E88" w:rsidRDefault="003B7E88" w:rsidP="003B7E88">
      <w:pPr>
        <w:spacing w:before="120" w:after="0" w:line="240" w:lineRule="auto"/>
        <w:rPr>
          <w:rFonts w:cstheme="minorHAnsi"/>
          <w:color w:val="000000" w:themeColor="text1"/>
        </w:rPr>
      </w:pPr>
    </w:p>
    <w:p w14:paraId="1C4EFC08" w14:textId="77777777" w:rsidR="005973F8" w:rsidRDefault="005973F8" w:rsidP="003B7E88">
      <w:pPr>
        <w:spacing w:before="120" w:after="0" w:line="240" w:lineRule="auto"/>
        <w:rPr>
          <w:rFonts w:cstheme="minorHAnsi"/>
          <w:color w:val="000000" w:themeColor="text1"/>
        </w:rPr>
      </w:pPr>
    </w:p>
    <w:p w14:paraId="0D05AF28" w14:textId="77777777" w:rsidR="005973F8" w:rsidRDefault="005973F8" w:rsidP="003B7E88">
      <w:pPr>
        <w:spacing w:before="120" w:after="0" w:line="240" w:lineRule="auto"/>
        <w:rPr>
          <w:rFonts w:cstheme="minorHAnsi"/>
          <w:color w:val="000000" w:themeColor="text1"/>
        </w:rPr>
      </w:pPr>
    </w:p>
    <w:p w14:paraId="01A289D5" w14:textId="77777777" w:rsidR="005973F8" w:rsidRDefault="005973F8" w:rsidP="003B7E88">
      <w:pPr>
        <w:spacing w:before="120" w:after="0" w:line="240" w:lineRule="auto"/>
        <w:rPr>
          <w:rFonts w:cstheme="minorHAnsi"/>
          <w:color w:val="000000" w:themeColor="text1"/>
        </w:rPr>
      </w:pPr>
    </w:p>
    <w:p w14:paraId="1685D229" w14:textId="77777777" w:rsidR="005973F8" w:rsidRPr="000C6009" w:rsidRDefault="005973F8" w:rsidP="003B7E88">
      <w:pPr>
        <w:spacing w:before="120" w:after="0" w:line="240" w:lineRule="auto"/>
        <w:rPr>
          <w:rFonts w:cstheme="minorHAnsi"/>
          <w:color w:val="000000" w:themeColor="text1"/>
        </w:rPr>
      </w:pPr>
    </w:p>
    <w:tbl>
      <w:tblPr>
        <w:tblStyle w:val="Grigliatabellachiara"/>
        <w:tblW w:w="9067" w:type="dxa"/>
        <w:tblLook w:val="04A0" w:firstRow="1" w:lastRow="0" w:firstColumn="1" w:lastColumn="0" w:noHBand="0" w:noVBand="1"/>
      </w:tblPr>
      <w:tblGrid>
        <w:gridCol w:w="2033"/>
        <w:gridCol w:w="1999"/>
        <w:gridCol w:w="1765"/>
        <w:gridCol w:w="2088"/>
        <w:gridCol w:w="1227"/>
      </w:tblGrid>
      <w:tr w:rsidR="003B7E88" w:rsidRPr="000C6009" w14:paraId="5FCBDCFD" w14:textId="77777777" w:rsidTr="00BD261D">
        <w:tc>
          <w:tcPr>
            <w:tcW w:w="2033" w:type="dxa"/>
            <w:shd w:val="clear" w:color="auto" w:fill="A5C34C" w:themeFill="accent6" w:themeFillShade="BF"/>
          </w:tcPr>
          <w:p w14:paraId="579A9D1C" w14:textId="77777777" w:rsidR="003B7E88" w:rsidRPr="000C6009" w:rsidRDefault="003B7E88" w:rsidP="00BD261D">
            <w:pPr>
              <w:spacing w:before="120"/>
              <w:rPr>
                <w:rFonts w:asciiTheme="minorHAnsi" w:hAnsiTheme="minorHAnsi" w:cstheme="minorHAnsi"/>
                <w:b/>
                <w:color w:val="000000" w:themeColor="text1"/>
              </w:rPr>
            </w:pPr>
            <w:r w:rsidRPr="000C6009">
              <w:rPr>
                <w:rFonts w:asciiTheme="minorHAnsi" w:hAnsiTheme="minorHAnsi" w:cstheme="minorHAnsi"/>
                <w:b/>
                <w:color w:val="000000" w:themeColor="text1"/>
              </w:rPr>
              <w:lastRenderedPageBreak/>
              <w:t>Accordo di programma</w:t>
            </w:r>
          </w:p>
        </w:tc>
        <w:tc>
          <w:tcPr>
            <w:tcW w:w="1999" w:type="dxa"/>
            <w:shd w:val="clear" w:color="auto" w:fill="A5C34C" w:themeFill="accent6" w:themeFillShade="BF"/>
          </w:tcPr>
          <w:p w14:paraId="618A29B0" w14:textId="77777777" w:rsidR="003B7E88" w:rsidRPr="000C6009" w:rsidRDefault="003B7E88" w:rsidP="00BD261D">
            <w:pPr>
              <w:spacing w:before="120"/>
              <w:jc w:val="left"/>
              <w:rPr>
                <w:rFonts w:asciiTheme="minorHAnsi" w:hAnsiTheme="minorHAnsi" w:cstheme="minorHAnsi"/>
                <w:b/>
                <w:color w:val="000000" w:themeColor="text1"/>
              </w:rPr>
            </w:pPr>
            <w:r w:rsidRPr="000C6009">
              <w:rPr>
                <w:rFonts w:asciiTheme="minorHAnsi" w:hAnsiTheme="minorHAnsi" w:cstheme="minorHAnsi"/>
                <w:b/>
                <w:color w:val="000000" w:themeColor="text1"/>
              </w:rPr>
              <w:t>Atto di approvazione</w:t>
            </w:r>
          </w:p>
        </w:tc>
        <w:tc>
          <w:tcPr>
            <w:tcW w:w="1765" w:type="dxa"/>
            <w:shd w:val="clear" w:color="auto" w:fill="A5C34C" w:themeFill="accent6" w:themeFillShade="BF"/>
          </w:tcPr>
          <w:p w14:paraId="0C6E4212" w14:textId="77777777" w:rsidR="003B7E88" w:rsidRPr="000C6009" w:rsidRDefault="003B7E88" w:rsidP="00BD261D">
            <w:pPr>
              <w:spacing w:before="120"/>
              <w:jc w:val="left"/>
              <w:rPr>
                <w:rFonts w:asciiTheme="minorHAnsi" w:hAnsiTheme="minorHAnsi" w:cstheme="minorHAnsi"/>
                <w:b/>
                <w:color w:val="000000" w:themeColor="text1"/>
              </w:rPr>
            </w:pPr>
            <w:r w:rsidRPr="000C6009">
              <w:rPr>
                <w:rFonts w:asciiTheme="minorHAnsi" w:hAnsiTheme="minorHAnsi" w:cstheme="minorHAnsi"/>
                <w:b/>
                <w:color w:val="000000" w:themeColor="text1"/>
              </w:rPr>
              <w:t>Modalità di affidamento gestione</w:t>
            </w:r>
          </w:p>
        </w:tc>
        <w:tc>
          <w:tcPr>
            <w:tcW w:w="2088" w:type="dxa"/>
            <w:shd w:val="clear" w:color="auto" w:fill="A5C34C" w:themeFill="accent6" w:themeFillShade="BF"/>
          </w:tcPr>
          <w:p w14:paraId="7CE96D0D" w14:textId="77777777" w:rsidR="003B7E88" w:rsidRPr="000C6009" w:rsidRDefault="003B7E88" w:rsidP="00BD261D">
            <w:pPr>
              <w:spacing w:before="120"/>
              <w:rPr>
                <w:rFonts w:asciiTheme="minorHAnsi" w:hAnsiTheme="minorHAnsi" w:cstheme="minorHAnsi"/>
                <w:b/>
                <w:color w:val="000000" w:themeColor="text1"/>
              </w:rPr>
            </w:pPr>
            <w:r w:rsidRPr="000C6009">
              <w:rPr>
                <w:rFonts w:asciiTheme="minorHAnsi" w:hAnsiTheme="minorHAnsi" w:cstheme="minorHAnsi"/>
                <w:b/>
                <w:color w:val="000000" w:themeColor="text1"/>
              </w:rPr>
              <w:t>Operatore</w:t>
            </w:r>
          </w:p>
        </w:tc>
        <w:tc>
          <w:tcPr>
            <w:tcW w:w="1182" w:type="dxa"/>
            <w:shd w:val="clear" w:color="auto" w:fill="A5C34C" w:themeFill="accent6" w:themeFillShade="BF"/>
          </w:tcPr>
          <w:p w14:paraId="220974A0" w14:textId="77777777" w:rsidR="003B7E88" w:rsidRPr="000C6009" w:rsidRDefault="003B7E88" w:rsidP="00BD261D">
            <w:pPr>
              <w:spacing w:before="120"/>
              <w:rPr>
                <w:rFonts w:asciiTheme="minorHAnsi" w:hAnsiTheme="minorHAnsi" w:cstheme="minorHAnsi"/>
                <w:b/>
              </w:rPr>
            </w:pPr>
            <w:r w:rsidRPr="000C6009">
              <w:rPr>
                <w:rFonts w:asciiTheme="minorHAnsi" w:hAnsiTheme="minorHAnsi" w:cstheme="minorHAnsi"/>
                <w:b/>
              </w:rPr>
              <w:t>Durata contratto</w:t>
            </w:r>
          </w:p>
        </w:tc>
      </w:tr>
      <w:tr w:rsidR="003B7E88" w:rsidRPr="000C6009" w14:paraId="525BB7C3" w14:textId="77777777" w:rsidTr="00BD261D">
        <w:trPr>
          <w:trHeight w:val="300"/>
        </w:trPr>
        <w:tc>
          <w:tcPr>
            <w:tcW w:w="2033" w:type="dxa"/>
            <w:vMerge w:val="restart"/>
            <w:noWrap/>
            <w:hideMark/>
          </w:tcPr>
          <w:p w14:paraId="2AE9BEF6"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Cellarengo</w:t>
            </w:r>
          </w:p>
        </w:tc>
        <w:tc>
          <w:tcPr>
            <w:tcW w:w="1999" w:type="dxa"/>
            <w:vMerge w:val="restart"/>
            <w:noWrap/>
            <w:hideMark/>
          </w:tcPr>
          <w:p w14:paraId="644FB02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6026426D"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noWrap/>
            <w:hideMark/>
          </w:tcPr>
          <w:p w14:paraId="36CF438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Casetta Tours</w:t>
            </w:r>
          </w:p>
        </w:tc>
        <w:tc>
          <w:tcPr>
            <w:tcW w:w="1182" w:type="dxa"/>
            <w:noWrap/>
            <w:hideMark/>
          </w:tcPr>
          <w:p w14:paraId="485DD25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4782B582" w14:textId="77777777" w:rsidTr="00BD261D">
        <w:trPr>
          <w:trHeight w:val="288"/>
        </w:trPr>
        <w:tc>
          <w:tcPr>
            <w:tcW w:w="2033" w:type="dxa"/>
            <w:vMerge/>
            <w:hideMark/>
          </w:tcPr>
          <w:p w14:paraId="23A5915A" w14:textId="77777777" w:rsidR="003B7E88" w:rsidRPr="000C6009" w:rsidRDefault="003B7E88" w:rsidP="00BD261D">
            <w:pPr>
              <w:spacing w:before="120"/>
              <w:jc w:val="left"/>
              <w:rPr>
                <w:rFonts w:asciiTheme="minorHAnsi" w:eastAsiaTheme="minorHAnsi" w:hAnsiTheme="minorHAnsi" w:cstheme="minorHAnsi"/>
                <w:color w:val="000000" w:themeColor="text1"/>
              </w:rPr>
            </w:pPr>
          </w:p>
        </w:tc>
        <w:tc>
          <w:tcPr>
            <w:tcW w:w="1999" w:type="dxa"/>
            <w:vMerge/>
            <w:hideMark/>
          </w:tcPr>
          <w:p w14:paraId="21C5F78C" w14:textId="77777777" w:rsidR="003B7E88" w:rsidRPr="000C6009" w:rsidRDefault="003B7E88" w:rsidP="00BD261D">
            <w:pPr>
              <w:spacing w:before="120"/>
              <w:jc w:val="left"/>
              <w:rPr>
                <w:rFonts w:asciiTheme="minorHAnsi" w:eastAsiaTheme="minorHAnsi" w:hAnsiTheme="minorHAnsi" w:cstheme="minorHAnsi"/>
                <w:color w:val="000000" w:themeColor="text1"/>
              </w:rPr>
            </w:pPr>
          </w:p>
        </w:tc>
        <w:tc>
          <w:tcPr>
            <w:tcW w:w="1765" w:type="dxa"/>
            <w:noWrap/>
            <w:hideMark/>
          </w:tcPr>
          <w:p w14:paraId="42B68522"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noWrap/>
            <w:hideMark/>
          </w:tcPr>
          <w:p w14:paraId="6F1E49E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Seia Piero</w:t>
            </w:r>
          </w:p>
        </w:tc>
        <w:tc>
          <w:tcPr>
            <w:tcW w:w="1182" w:type="dxa"/>
            <w:noWrap/>
            <w:hideMark/>
          </w:tcPr>
          <w:p w14:paraId="780734D5" w14:textId="77777777" w:rsidR="003B7E88" w:rsidRPr="000C6009" w:rsidRDefault="003B7E88" w:rsidP="00BD261D">
            <w:pPr>
              <w:spacing w:before="120"/>
              <w:jc w:val="center"/>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71BE551E" w14:textId="77777777" w:rsidTr="00BD261D">
        <w:trPr>
          <w:trHeight w:val="288"/>
        </w:trPr>
        <w:tc>
          <w:tcPr>
            <w:tcW w:w="2033" w:type="dxa"/>
            <w:noWrap/>
            <w:hideMark/>
          </w:tcPr>
          <w:p w14:paraId="7C7A05E1"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Agliano Terme</w:t>
            </w:r>
          </w:p>
        </w:tc>
        <w:tc>
          <w:tcPr>
            <w:tcW w:w="1999" w:type="dxa"/>
            <w:noWrap/>
            <w:hideMark/>
          </w:tcPr>
          <w:p w14:paraId="704077C8"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744014FC"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noWrap/>
            <w:hideMark/>
          </w:tcPr>
          <w:p w14:paraId="597205F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Hollibus autoservizi</w:t>
            </w:r>
          </w:p>
        </w:tc>
        <w:tc>
          <w:tcPr>
            <w:tcW w:w="1182" w:type="dxa"/>
            <w:noWrap/>
            <w:hideMark/>
          </w:tcPr>
          <w:p w14:paraId="065B259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28/02/2025</w:t>
            </w:r>
          </w:p>
        </w:tc>
      </w:tr>
      <w:tr w:rsidR="003B7E88" w:rsidRPr="000C6009" w14:paraId="60069D51" w14:textId="77777777" w:rsidTr="00BD261D">
        <w:trPr>
          <w:trHeight w:val="288"/>
        </w:trPr>
        <w:tc>
          <w:tcPr>
            <w:tcW w:w="2033" w:type="dxa"/>
            <w:noWrap/>
          </w:tcPr>
          <w:p w14:paraId="2DD44760"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Castell’Alfero</w:t>
            </w:r>
          </w:p>
        </w:tc>
        <w:tc>
          <w:tcPr>
            <w:tcW w:w="1999" w:type="dxa"/>
            <w:noWrap/>
          </w:tcPr>
          <w:p w14:paraId="43C301DF"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tcPr>
          <w:p w14:paraId="2B2B933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in Economia</w:t>
            </w:r>
          </w:p>
        </w:tc>
        <w:tc>
          <w:tcPr>
            <w:tcW w:w="2088" w:type="dxa"/>
            <w:noWrap/>
          </w:tcPr>
          <w:p w14:paraId="41BC7316"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(tramite volontari CRI)</w:t>
            </w:r>
          </w:p>
        </w:tc>
        <w:tc>
          <w:tcPr>
            <w:tcW w:w="1182" w:type="dxa"/>
            <w:noWrap/>
          </w:tcPr>
          <w:p w14:paraId="7597EA5B" w14:textId="77777777" w:rsidR="003B7E88" w:rsidRPr="000C6009" w:rsidRDefault="003B7E88" w:rsidP="00BD261D">
            <w:pPr>
              <w:spacing w:before="120"/>
              <w:jc w:val="left"/>
              <w:rPr>
                <w:rFonts w:asciiTheme="minorHAnsi" w:eastAsiaTheme="minorHAnsi" w:hAnsiTheme="minorHAnsi" w:cstheme="minorHAnsi"/>
                <w:color w:val="000000" w:themeColor="text1"/>
              </w:rPr>
            </w:pPr>
          </w:p>
        </w:tc>
      </w:tr>
      <w:tr w:rsidR="003B7E88" w:rsidRPr="000C6009" w14:paraId="045D4E54" w14:textId="77777777" w:rsidTr="00BD261D">
        <w:trPr>
          <w:trHeight w:val="288"/>
        </w:trPr>
        <w:tc>
          <w:tcPr>
            <w:tcW w:w="2033" w:type="dxa"/>
            <w:noWrap/>
            <w:hideMark/>
          </w:tcPr>
          <w:p w14:paraId="78CE1AC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Aramengo</w:t>
            </w:r>
          </w:p>
        </w:tc>
        <w:tc>
          <w:tcPr>
            <w:tcW w:w="1999" w:type="dxa"/>
            <w:noWrap/>
            <w:hideMark/>
          </w:tcPr>
          <w:p w14:paraId="15E6CCF1"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5251024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in Economia</w:t>
            </w:r>
          </w:p>
        </w:tc>
        <w:tc>
          <w:tcPr>
            <w:tcW w:w="2088" w:type="dxa"/>
            <w:noWrap/>
            <w:hideMark/>
          </w:tcPr>
          <w:p w14:paraId="08D2527D"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c>
          <w:tcPr>
            <w:tcW w:w="1182" w:type="dxa"/>
            <w:noWrap/>
            <w:hideMark/>
          </w:tcPr>
          <w:p w14:paraId="07B34B52"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37C21030" w14:textId="77777777" w:rsidTr="00BD261D">
        <w:trPr>
          <w:trHeight w:val="288"/>
        </w:trPr>
        <w:tc>
          <w:tcPr>
            <w:tcW w:w="2033" w:type="dxa"/>
            <w:noWrap/>
            <w:hideMark/>
          </w:tcPr>
          <w:p w14:paraId="0A928F36"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Castagnole delle Lanze</w:t>
            </w:r>
          </w:p>
        </w:tc>
        <w:tc>
          <w:tcPr>
            <w:tcW w:w="1999" w:type="dxa"/>
            <w:noWrap/>
            <w:hideMark/>
          </w:tcPr>
          <w:p w14:paraId="338CC1EA"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39F809CC"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in Economia</w:t>
            </w:r>
          </w:p>
        </w:tc>
        <w:tc>
          <w:tcPr>
            <w:tcW w:w="2088" w:type="dxa"/>
            <w:noWrap/>
            <w:hideMark/>
          </w:tcPr>
          <w:p w14:paraId="7B9C9E2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c>
          <w:tcPr>
            <w:tcW w:w="1182" w:type="dxa"/>
            <w:noWrap/>
            <w:hideMark/>
          </w:tcPr>
          <w:p w14:paraId="426BAC69"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6A5D864C" w14:textId="77777777" w:rsidTr="00BD261D">
        <w:trPr>
          <w:trHeight w:val="288"/>
        </w:trPr>
        <w:tc>
          <w:tcPr>
            <w:tcW w:w="2033" w:type="dxa"/>
            <w:noWrap/>
            <w:hideMark/>
          </w:tcPr>
          <w:p w14:paraId="2AF3C55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Mombercelli</w:t>
            </w:r>
          </w:p>
        </w:tc>
        <w:tc>
          <w:tcPr>
            <w:tcW w:w="1999" w:type="dxa"/>
            <w:noWrap/>
            <w:hideMark/>
          </w:tcPr>
          <w:p w14:paraId="64E5CA5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5E90F0A7"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noWrap/>
            <w:hideMark/>
          </w:tcPr>
          <w:p w14:paraId="796D309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Autoservizi Squillari srl</w:t>
            </w:r>
          </w:p>
        </w:tc>
        <w:tc>
          <w:tcPr>
            <w:tcW w:w="1182" w:type="dxa"/>
            <w:noWrap/>
            <w:hideMark/>
          </w:tcPr>
          <w:p w14:paraId="6CED658B"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31/12/2025</w:t>
            </w:r>
          </w:p>
        </w:tc>
      </w:tr>
      <w:tr w:rsidR="003B7E88" w:rsidRPr="000C6009" w14:paraId="46A1CADE" w14:textId="77777777" w:rsidTr="00BD261D">
        <w:trPr>
          <w:trHeight w:val="288"/>
        </w:trPr>
        <w:tc>
          <w:tcPr>
            <w:tcW w:w="2033" w:type="dxa"/>
            <w:noWrap/>
            <w:hideMark/>
          </w:tcPr>
          <w:p w14:paraId="20F5F4B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Montegrosso D'Asti</w:t>
            </w:r>
          </w:p>
        </w:tc>
        <w:tc>
          <w:tcPr>
            <w:tcW w:w="1999" w:type="dxa"/>
            <w:noWrap/>
            <w:hideMark/>
          </w:tcPr>
          <w:p w14:paraId="16BADC6A"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19A69B9D"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noWrap/>
            <w:hideMark/>
          </w:tcPr>
          <w:p w14:paraId="27AC85F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Autoservizi di Gatti Marcello &amp; C snc</w:t>
            </w:r>
          </w:p>
        </w:tc>
        <w:tc>
          <w:tcPr>
            <w:tcW w:w="1182" w:type="dxa"/>
            <w:noWrap/>
            <w:hideMark/>
          </w:tcPr>
          <w:p w14:paraId="209D1E58"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31/12/2026 </w:t>
            </w:r>
          </w:p>
        </w:tc>
      </w:tr>
      <w:tr w:rsidR="003B7E88" w:rsidRPr="000C6009" w14:paraId="1657015B" w14:textId="77777777" w:rsidTr="00BD261D">
        <w:trPr>
          <w:trHeight w:val="288"/>
        </w:trPr>
        <w:tc>
          <w:tcPr>
            <w:tcW w:w="2033" w:type="dxa"/>
            <w:hideMark/>
          </w:tcPr>
          <w:p w14:paraId="47F089A1"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Montiglio Monferrato</w:t>
            </w:r>
          </w:p>
        </w:tc>
        <w:tc>
          <w:tcPr>
            <w:tcW w:w="1999" w:type="dxa"/>
            <w:noWrap/>
            <w:hideMark/>
          </w:tcPr>
          <w:p w14:paraId="71DCBD4D"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3C572EA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In Economia</w:t>
            </w:r>
          </w:p>
        </w:tc>
        <w:tc>
          <w:tcPr>
            <w:tcW w:w="2088" w:type="dxa"/>
            <w:hideMark/>
          </w:tcPr>
          <w:p w14:paraId="77A69EDA"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c>
          <w:tcPr>
            <w:tcW w:w="1182" w:type="dxa"/>
            <w:hideMark/>
          </w:tcPr>
          <w:p w14:paraId="4E2902A3"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2BC68362" w14:textId="77777777" w:rsidTr="00BD261D">
        <w:trPr>
          <w:trHeight w:val="288"/>
        </w:trPr>
        <w:tc>
          <w:tcPr>
            <w:tcW w:w="2033" w:type="dxa"/>
            <w:hideMark/>
          </w:tcPr>
          <w:p w14:paraId="22DBC73E"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Comune di Pareto</w:t>
            </w:r>
          </w:p>
        </w:tc>
        <w:tc>
          <w:tcPr>
            <w:tcW w:w="1999" w:type="dxa"/>
            <w:noWrap/>
            <w:hideMark/>
          </w:tcPr>
          <w:p w14:paraId="64775E6D"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28 del 28/06/2019</w:t>
            </w:r>
          </w:p>
        </w:tc>
        <w:tc>
          <w:tcPr>
            <w:tcW w:w="1765" w:type="dxa"/>
            <w:noWrap/>
            <w:hideMark/>
          </w:tcPr>
          <w:p w14:paraId="526E71AF"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Diretto</w:t>
            </w:r>
          </w:p>
        </w:tc>
        <w:tc>
          <w:tcPr>
            <w:tcW w:w="2088" w:type="dxa"/>
            <w:hideMark/>
          </w:tcPr>
          <w:p w14:paraId="720C2A9A"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Taramasco Barbara</w:t>
            </w:r>
          </w:p>
        </w:tc>
        <w:tc>
          <w:tcPr>
            <w:tcW w:w="1182" w:type="dxa"/>
            <w:hideMark/>
          </w:tcPr>
          <w:p w14:paraId="57CB4297"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r w:rsidR="003B7E88" w:rsidRPr="000C6009" w14:paraId="68AE7C1A" w14:textId="77777777" w:rsidTr="00BD261D">
        <w:trPr>
          <w:trHeight w:val="288"/>
        </w:trPr>
        <w:tc>
          <w:tcPr>
            <w:tcW w:w="2033" w:type="dxa"/>
            <w:hideMark/>
          </w:tcPr>
          <w:p w14:paraId="79AB08FC"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Unione Montana Langa Astigiana Val Bormida</w:t>
            </w:r>
          </w:p>
        </w:tc>
        <w:tc>
          <w:tcPr>
            <w:tcW w:w="1999" w:type="dxa"/>
            <w:noWrap/>
            <w:hideMark/>
          </w:tcPr>
          <w:p w14:paraId="3184A934"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Delibera CdA n. 29 del 28/06/2019</w:t>
            </w:r>
          </w:p>
        </w:tc>
        <w:tc>
          <w:tcPr>
            <w:tcW w:w="1765" w:type="dxa"/>
            <w:noWrap/>
            <w:hideMark/>
          </w:tcPr>
          <w:p w14:paraId="495BFAE5"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in Economia</w:t>
            </w:r>
          </w:p>
        </w:tc>
        <w:tc>
          <w:tcPr>
            <w:tcW w:w="2088" w:type="dxa"/>
            <w:hideMark/>
          </w:tcPr>
          <w:p w14:paraId="68B4F636"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c>
          <w:tcPr>
            <w:tcW w:w="1182" w:type="dxa"/>
            <w:hideMark/>
          </w:tcPr>
          <w:p w14:paraId="0156595A" w14:textId="77777777" w:rsidR="003B7E88" w:rsidRPr="000C6009" w:rsidRDefault="003B7E88" w:rsidP="00BD261D">
            <w:pPr>
              <w:spacing w:before="120"/>
              <w:jc w:val="left"/>
              <w:rPr>
                <w:rFonts w:asciiTheme="minorHAnsi" w:eastAsiaTheme="minorHAnsi" w:hAnsiTheme="minorHAnsi" w:cstheme="minorHAnsi"/>
                <w:color w:val="000000" w:themeColor="text1"/>
              </w:rPr>
            </w:pPr>
            <w:r w:rsidRPr="000C6009">
              <w:rPr>
                <w:rFonts w:asciiTheme="minorHAnsi" w:eastAsiaTheme="minorHAnsi" w:hAnsiTheme="minorHAnsi" w:cstheme="minorHAnsi"/>
                <w:color w:val="000000" w:themeColor="text1"/>
              </w:rPr>
              <w:t> </w:t>
            </w:r>
          </w:p>
        </w:tc>
      </w:tr>
    </w:tbl>
    <w:p w14:paraId="62116040" w14:textId="1A201283" w:rsidR="00826A3D" w:rsidRPr="000C6009" w:rsidRDefault="003B7E88" w:rsidP="003B7E88">
      <w:pPr>
        <w:pStyle w:val="Didascalia"/>
        <w:jc w:val="center"/>
        <w:rPr>
          <w:rFonts w:cstheme="minorHAnsi"/>
          <w:iCs w:val="0"/>
          <w:color w:val="003366"/>
        </w:rPr>
        <w:sectPr w:rsidR="00826A3D" w:rsidRPr="000C6009" w:rsidSect="00390EC3">
          <w:footerReference w:type="default" r:id="rId28"/>
          <w:pgSz w:w="11906" w:h="16838"/>
          <w:pgMar w:top="1418" w:right="1418" w:bottom="1418" w:left="1418" w:header="709" w:footer="709" w:gutter="0"/>
          <w:pgBorders w:offsetFrom="page">
            <w:right w:val="single" w:sz="48" w:space="24" w:color="A5C34C" w:themeColor="accent6" w:themeShade="BF"/>
          </w:pgBorders>
          <w:cols w:space="708"/>
          <w:docGrid w:linePitch="360"/>
        </w:sectPr>
      </w:pPr>
      <w:bookmarkStart w:id="97" w:name="_Ref93329079"/>
      <w:bookmarkStart w:id="98" w:name="_Toc137740114"/>
      <w:bookmarkStart w:id="99" w:name="_Ref189221129"/>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7</w:t>
      </w:r>
      <w:r w:rsidRPr="000C6009">
        <w:rPr>
          <w:rFonts w:cstheme="minorHAnsi"/>
          <w:noProof/>
          <w:color w:val="003366"/>
        </w:rPr>
        <w:fldChar w:fldCharType="end"/>
      </w:r>
      <w:bookmarkEnd w:id="97"/>
      <w:r w:rsidRPr="000C6009">
        <w:rPr>
          <w:rFonts w:cstheme="minorHAnsi"/>
          <w:i w:val="0"/>
          <w:color w:val="003366"/>
        </w:rPr>
        <w:t xml:space="preserve"> –</w:t>
      </w:r>
      <w:bookmarkEnd w:id="98"/>
      <w:r w:rsidRPr="000C6009">
        <w:rPr>
          <w:rFonts w:cstheme="minorHAnsi"/>
          <w:i w:val="0"/>
          <w:color w:val="003366"/>
        </w:rPr>
        <w:t xml:space="preserve"> </w:t>
      </w:r>
      <w:r w:rsidRPr="000C6009">
        <w:rPr>
          <w:rFonts w:cstheme="minorHAnsi"/>
          <w:iCs w:val="0"/>
          <w:color w:val="003366"/>
        </w:rPr>
        <w:t xml:space="preserve">Quadro degli Accordi di Programma nel Bacino </w:t>
      </w:r>
      <w:bookmarkEnd w:id="99"/>
      <w:r w:rsidRPr="000C6009">
        <w:rPr>
          <w:rFonts w:cstheme="minorHAnsi"/>
          <w:iCs w:val="0"/>
          <w:color w:val="003366"/>
        </w:rPr>
        <w:t>Sud Est</w:t>
      </w:r>
    </w:p>
    <w:p w14:paraId="345F6A0E" w14:textId="77777777" w:rsidR="00826A3D" w:rsidRPr="000C6009" w:rsidRDefault="00826A3D" w:rsidP="00826A3D">
      <w:pPr>
        <w:pStyle w:val="Titolo1"/>
        <w:rPr>
          <w:rFonts w:asciiTheme="minorHAnsi" w:hAnsiTheme="minorHAnsi" w:cstheme="minorHAnsi"/>
        </w:rPr>
      </w:pPr>
      <w:bookmarkStart w:id="100" w:name="_Hlk203381735"/>
      <w:bookmarkStart w:id="101" w:name="_Ref191387875"/>
      <w:bookmarkStart w:id="102" w:name="_Ref191387880"/>
      <w:bookmarkStart w:id="103" w:name="_Toc193195289"/>
      <w:bookmarkStart w:id="104" w:name="_Toc589222504"/>
      <w:bookmarkStart w:id="105" w:name="_Toc197695663"/>
      <w:bookmarkStart w:id="106" w:name="_Toc204616479"/>
      <w:bookmarkStart w:id="107" w:name="_Ref205196067"/>
      <w:bookmarkStart w:id="108" w:name="_Toc205213710"/>
      <w:bookmarkEnd w:id="100"/>
      <w:r w:rsidRPr="000C6009">
        <w:rPr>
          <w:rFonts w:asciiTheme="minorHAnsi" w:hAnsiTheme="minorHAnsi" w:cstheme="minorHAnsi"/>
        </w:rPr>
        <w:lastRenderedPageBreak/>
        <w:t xml:space="preserve">Analisi della domanda effettiva, potenziale e debole del Bacino </w:t>
      </w:r>
      <w:bookmarkEnd w:id="101"/>
      <w:bookmarkEnd w:id="102"/>
      <w:bookmarkEnd w:id="103"/>
      <w:bookmarkEnd w:id="104"/>
      <w:bookmarkEnd w:id="105"/>
      <w:r w:rsidRPr="000C6009">
        <w:rPr>
          <w:rFonts w:asciiTheme="minorHAnsi" w:hAnsiTheme="minorHAnsi" w:cstheme="minorHAnsi"/>
        </w:rPr>
        <w:t>Sud Est</w:t>
      </w:r>
      <w:bookmarkEnd w:id="106"/>
      <w:bookmarkEnd w:id="107"/>
      <w:bookmarkEnd w:id="108"/>
    </w:p>
    <w:p w14:paraId="4B746843" w14:textId="77777777" w:rsidR="00826A3D" w:rsidRPr="000C6009" w:rsidRDefault="00826A3D" w:rsidP="00826A3D">
      <w:pPr>
        <w:spacing w:before="120" w:after="0" w:line="240" w:lineRule="auto"/>
        <w:rPr>
          <w:rFonts w:cstheme="minorHAnsi"/>
        </w:rPr>
      </w:pPr>
      <w:r w:rsidRPr="000C6009">
        <w:rPr>
          <w:rFonts w:cstheme="minorHAnsi"/>
        </w:rPr>
        <w:t>Attraverso le indagini IMQ</w:t>
      </w:r>
      <w:r w:rsidRPr="000C6009">
        <w:rPr>
          <w:rStyle w:val="Rimandonotaapidipagina"/>
          <w:rFonts w:cstheme="minorHAnsi"/>
        </w:rPr>
        <w:footnoteReference w:id="8"/>
      </w:r>
      <w:r w:rsidRPr="000C6009">
        <w:rPr>
          <w:rFonts w:cstheme="minorHAnsi"/>
        </w:rPr>
        <w:t>, AMP monitora periodicamente la mobilità dei residenti in Piemonte e la qualità percepita dai cittadini con riferimento ai mezzi di trasporto (trasporto pubblico, auto, bicicletta) mediante interviste telefoniche ad un campione rappresentativo della popolazione residente in Piemonte. Le interviste vengono somministrate con tecnica CATI (Computer Aided Telephone Interview) a recapiti di telefonica fissa e mobile presenti nei pubblici elenchi. Le serie storiche comprendono i dati raccolti nelle tre indagini condotte a livello regionale nel 2004, nel 2013 e nel 2022. I campioni rappresentativi della popolazione hanno età maggiore di 10 anni e, nel caso dell’indagine 2022, minore di 85 anni, e sono stratificati per classi di sesso e per età.</w:t>
      </w:r>
    </w:p>
    <w:p w14:paraId="4BD0AFA0" w14:textId="77777777" w:rsidR="00826A3D" w:rsidRPr="000C6009" w:rsidRDefault="00826A3D" w:rsidP="00826A3D">
      <w:pPr>
        <w:spacing w:before="120" w:after="0" w:line="240" w:lineRule="auto"/>
        <w:rPr>
          <w:rFonts w:cstheme="minorHAnsi"/>
        </w:rPr>
      </w:pPr>
      <w:r w:rsidRPr="000C6009">
        <w:rPr>
          <w:rFonts w:cstheme="minorHAnsi"/>
        </w:rPr>
        <w:t>Per le future indagini AMP valuterà una costruzione del campione dell’indagine con fasce di età compatibili con le “generazioni” riconosciute in letteratura (Baby Boomers, generazione X, Millennials, Generazione Z etc.) per poter indagare con maggior precisione le rispettive differenze nei comportamenti di mobilità. Rispetto alle classi di età IMQ attuali in cui l’ampiezza è variabile, si può valutare di passare a classi di ampiezza intorno ai 15 anni. Al momento le classi IMQ non presentano un’omogeneità con la individuazione delle “generazioni” individuate dalla recente letteratura.</w:t>
      </w:r>
    </w:p>
    <w:p w14:paraId="1FEE6C70" w14:textId="77777777" w:rsidR="00826A3D" w:rsidRPr="000C6009" w:rsidRDefault="00826A3D" w:rsidP="00826A3D">
      <w:pPr>
        <w:spacing w:before="120" w:after="0" w:line="240" w:lineRule="auto"/>
        <w:rPr>
          <w:rFonts w:cstheme="minorHAnsi"/>
        </w:rPr>
      </w:pPr>
      <w:r w:rsidRPr="000C6009">
        <w:rPr>
          <w:rFonts w:cstheme="minorHAnsi"/>
        </w:rPr>
        <w:t>Per tenere costantemente aggiornate le indagini sulla mobilità è stato attivato un Accordo di intesa e collaborazione con l’Istituto Superiore di Formazione e Ricerca per i Trasporti S.p.A. (ISFORT) per il "Focus Audimob in Piemonte" con il quale si realizzerà, fin dal 2025, una indagine annuale da con l’individuazione di un campione statisticamente rilevante per il territorio Piemontese</w:t>
      </w:r>
      <w:r w:rsidRPr="000C6009">
        <w:rPr>
          <w:rStyle w:val="Rimandonotaapidipagina"/>
          <w:rFonts w:cstheme="minorHAnsi"/>
        </w:rPr>
        <w:footnoteReference w:id="9"/>
      </w:r>
      <w:r w:rsidRPr="000C6009">
        <w:rPr>
          <w:rFonts w:cstheme="minorHAnsi"/>
        </w:rPr>
        <w:t>.</w:t>
      </w:r>
    </w:p>
    <w:p w14:paraId="18C2B9F7" w14:textId="77777777" w:rsidR="00826A3D" w:rsidRPr="000C6009" w:rsidRDefault="00826A3D" w:rsidP="00826A3D">
      <w:pPr>
        <w:pStyle w:val="Titolo2"/>
        <w:ind w:left="567" w:right="1030"/>
        <w:rPr>
          <w:rFonts w:asciiTheme="minorHAnsi" w:hAnsiTheme="minorHAnsi" w:cstheme="minorHAnsi"/>
        </w:rPr>
      </w:pPr>
      <w:bookmarkStart w:id="109" w:name="_Ref191387849"/>
      <w:bookmarkStart w:id="110" w:name="_Ref191387915"/>
      <w:bookmarkStart w:id="111" w:name="_Ref191387924"/>
      <w:bookmarkStart w:id="112" w:name="_Ref191387954"/>
      <w:bookmarkStart w:id="113" w:name="_Ref191387959"/>
      <w:bookmarkStart w:id="114" w:name="_Ref191387964"/>
      <w:bookmarkStart w:id="115" w:name="_Toc193195290"/>
      <w:bookmarkStart w:id="116" w:name="_Toc847091363"/>
      <w:bookmarkStart w:id="117" w:name="_Toc197695664"/>
      <w:bookmarkStart w:id="118" w:name="_Toc204616480"/>
      <w:bookmarkStart w:id="119" w:name="_Toc205213711"/>
      <w:r w:rsidRPr="000C6009">
        <w:rPr>
          <w:rFonts w:asciiTheme="minorHAnsi" w:hAnsiTheme="minorHAnsi" w:cstheme="minorHAnsi"/>
        </w:rPr>
        <w:t>Indagini statistiche sulla mobilità delle persone</w:t>
      </w:r>
      <w:bookmarkEnd w:id="109"/>
      <w:bookmarkEnd w:id="110"/>
      <w:bookmarkEnd w:id="111"/>
      <w:bookmarkEnd w:id="112"/>
      <w:bookmarkEnd w:id="113"/>
      <w:bookmarkEnd w:id="114"/>
      <w:bookmarkEnd w:id="115"/>
      <w:bookmarkEnd w:id="116"/>
      <w:bookmarkEnd w:id="117"/>
      <w:bookmarkEnd w:id="118"/>
      <w:bookmarkEnd w:id="119"/>
    </w:p>
    <w:p w14:paraId="0164F1D4" w14:textId="77777777" w:rsidR="00826A3D" w:rsidRPr="000C6009" w:rsidRDefault="00826A3D" w:rsidP="00826A3D">
      <w:pPr>
        <w:spacing w:before="120" w:after="0" w:line="240" w:lineRule="auto"/>
        <w:rPr>
          <w:rFonts w:cstheme="minorHAnsi"/>
        </w:rPr>
      </w:pPr>
      <w:r w:rsidRPr="000C6009">
        <w:rPr>
          <w:rFonts w:cstheme="minorHAnsi"/>
        </w:rPr>
        <w:t>Le analisi sulla domanda di mobilità qui presentate sono state eseguite in gran parte sui dati desunti dall’Indagine sulla Mobilità delle Persone e sulla Qualità dei trasporti 2022 nella Regione Piemonte (IMQ 2022). Tale indagine costituisce l’ennesima tappa di un monitoraggio che viene condotto sul nostro territorio da più di 20 anni, ciò permette quindi anche di fare un raffronto con il passato per avere contezza dell’andamento nel tempo della mobilità dei cittadini piemontesi.</w:t>
      </w:r>
    </w:p>
    <w:p w14:paraId="189E153B" w14:textId="77777777" w:rsidR="00826A3D" w:rsidRPr="000C6009" w:rsidRDefault="00826A3D" w:rsidP="00826A3D">
      <w:pPr>
        <w:spacing w:before="120" w:after="0" w:line="240" w:lineRule="auto"/>
        <w:rPr>
          <w:rFonts w:cstheme="minorHAnsi"/>
        </w:rPr>
      </w:pPr>
      <w:r w:rsidRPr="000C6009">
        <w:rPr>
          <w:rFonts w:cstheme="minorHAnsi"/>
        </w:rPr>
        <w:t>Le interviste dell'IMQ 2022 si sono svolte nel periodo Autunno-Inverno 2021 e Primavera 2022. Questo periodo è stato ancora influenzato dall'emergenza Covid, che ha visto una diminuzione progressiva dei suoi effetti sulla mobilità durante le interviste. Le interviste relative al Bacino Sud Est risentono pertanto degli effetti del Covid.</w:t>
      </w:r>
    </w:p>
    <w:p w14:paraId="03A1294B" w14:textId="77777777" w:rsidR="00826A3D" w:rsidRPr="000C6009" w:rsidRDefault="00826A3D" w:rsidP="00826A3D">
      <w:pPr>
        <w:spacing w:before="120" w:after="0" w:line="240" w:lineRule="auto"/>
        <w:rPr>
          <w:rFonts w:cstheme="minorHAnsi"/>
        </w:rPr>
      </w:pPr>
      <w:r w:rsidRPr="000C6009">
        <w:rPr>
          <w:rFonts w:cstheme="minorHAnsi"/>
        </w:rPr>
        <w:t xml:space="preserve">L'universo di riferimento dell’indagine 2022 è la popolazione residente in Piemonte, di età compresa tra i 10 e gli 85 anni. Nelle indagini precedenti si consideravano nell’universo anche gli ultra-ottantacinquenni. Come mostrato nel grafico sottostante, negli ultimi 10 anni la popolazione totale è </w:t>
      </w:r>
      <w:r w:rsidRPr="000C6009">
        <w:rPr>
          <w:rFonts w:cstheme="minorHAnsi"/>
        </w:rPr>
        <w:lastRenderedPageBreak/>
        <w:t>diminuita del 17% per effetto di tale ridefinizione dell’universo. Tuttavia, la popolazione mobile non ha subito la stessa decrescita (-7,2%). Questo conferma quanto ci si attende, ovvero che la quota di popolazione maggiore di 85 anni ha una bassa propensione alla mobilità.</w:t>
      </w:r>
    </w:p>
    <w:p w14:paraId="58B9CB58" w14:textId="77777777" w:rsidR="00826A3D" w:rsidRPr="000C6009" w:rsidRDefault="00826A3D" w:rsidP="00826A3D">
      <w:pPr>
        <w:spacing w:before="120" w:after="0" w:line="240" w:lineRule="auto"/>
        <w:rPr>
          <w:rFonts w:cstheme="minorHAnsi"/>
        </w:rPr>
      </w:pPr>
    </w:p>
    <w:p w14:paraId="6ABACDCA" w14:textId="77777777" w:rsidR="00826A3D" w:rsidRPr="000C6009" w:rsidRDefault="00826A3D" w:rsidP="00826A3D">
      <w:pPr>
        <w:spacing w:before="120" w:after="0" w:line="240" w:lineRule="auto"/>
        <w:rPr>
          <w:rFonts w:cstheme="minorHAnsi"/>
        </w:rPr>
      </w:pPr>
      <w:r w:rsidRPr="000C6009">
        <w:rPr>
          <w:rFonts w:cstheme="minorHAnsi"/>
          <w:noProof/>
        </w:rPr>
        <w:drawing>
          <wp:inline distT="0" distB="0" distL="0" distR="0" wp14:anchorId="3A240A3C" wp14:editId="13A970B9">
            <wp:extent cx="5858510" cy="3035935"/>
            <wp:effectExtent l="0" t="0" r="8890" b="0"/>
            <wp:docPr id="648040949" name="Immagine 1" descr="Immagine che contiene testo, schermata, numer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40949" name="Immagine 1" descr="Immagine che contiene testo, schermata, numero, diagramma&#10;&#10;Descrizione generata automa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58510" cy="3035935"/>
                    </a:xfrm>
                    <a:prstGeom prst="rect">
                      <a:avLst/>
                    </a:prstGeom>
                    <a:noFill/>
                  </pic:spPr>
                </pic:pic>
              </a:graphicData>
            </a:graphic>
          </wp:inline>
        </w:drawing>
      </w:r>
    </w:p>
    <w:p w14:paraId="1B75A63C" w14:textId="1D2CA9F5" w:rsidR="00826A3D" w:rsidRPr="001D5603" w:rsidRDefault="00826A3D" w:rsidP="00826A3D">
      <w:pPr>
        <w:pStyle w:val="Didascalia"/>
        <w:jc w:val="center"/>
        <w:rPr>
          <w:rFonts w:cstheme="minorHAnsi"/>
          <w:color w:val="003366"/>
        </w:rPr>
      </w:pPr>
      <w:r w:rsidRPr="001D5603">
        <w:rPr>
          <w:rFonts w:cstheme="minorHAnsi"/>
          <w:color w:val="003366"/>
        </w:rPr>
        <w:t xml:space="preserve">Figura </w:t>
      </w:r>
      <w:r w:rsidRPr="001D5603">
        <w:rPr>
          <w:rFonts w:cstheme="minorHAnsi"/>
          <w:color w:val="003366"/>
        </w:rPr>
        <w:fldChar w:fldCharType="begin"/>
      </w:r>
      <w:r w:rsidRPr="001D5603">
        <w:rPr>
          <w:rFonts w:cstheme="minorHAnsi"/>
          <w:color w:val="003366"/>
        </w:rPr>
        <w:instrText xml:space="preserve"> SEQ Figura \* ARABIC </w:instrText>
      </w:r>
      <w:r w:rsidRPr="001D5603">
        <w:rPr>
          <w:rFonts w:cstheme="minorHAnsi"/>
          <w:color w:val="003366"/>
        </w:rPr>
        <w:fldChar w:fldCharType="separate"/>
      </w:r>
      <w:r w:rsidR="00670903">
        <w:rPr>
          <w:rFonts w:cstheme="minorHAnsi"/>
          <w:noProof/>
          <w:color w:val="003366"/>
        </w:rPr>
        <w:t>3</w:t>
      </w:r>
      <w:r w:rsidRPr="001D5603">
        <w:rPr>
          <w:rFonts w:cstheme="minorHAnsi"/>
          <w:noProof/>
          <w:color w:val="003366"/>
        </w:rPr>
        <w:fldChar w:fldCharType="end"/>
      </w:r>
      <w:r w:rsidRPr="001D5603">
        <w:rPr>
          <w:rFonts w:cstheme="minorHAnsi"/>
          <w:color w:val="003366"/>
        </w:rPr>
        <w:t xml:space="preserve"> – Popolazione oggetto d’indagine</w:t>
      </w:r>
    </w:p>
    <w:p w14:paraId="0B771C33" w14:textId="4047D233" w:rsidR="00826A3D" w:rsidRPr="000C6009" w:rsidRDefault="00826A3D" w:rsidP="00826A3D">
      <w:pPr>
        <w:spacing w:before="120" w:after="0" w:line="240" w:lineRule="auto"/>
        <w:rPr>
          <w:rFonts w:cstheme="minorHAnsi"/>
        </w:rPr>
      </w:pPr>
      <w:r w:rsidRPr="000C6009">
        <w:rPr>
          <w:rFonts w:cstheme="minorHAnsi"/>
        </w:rPr>
        <w:t>In particolare, nel Bacino Sud Est la popolazione mobile (ovvero coloro che hanno effettuato almeno uno spostamento nel giorno oggetto di intervista) rappresenta il 78,7 % della popolazione nella fascia 11-84 anni pari a 488.462 persone, e rispetto al passato la percentuale di persone che si spostano è in crescita (</w:t>
      </w:r>
      <w:r w:rsidRPr="000C6009">
        <w:rPr>
          <w:rFonts w:cstheme="minorHAnsi"/>
        </w:rPr>
        <w:fldChar w:fldCharType="begin"/>
      </w:r>
      <w:r w:rsidRPr="000C6009">
        <w:rPr>
          <w:rFonts w:cstheme="minorHAnsi"/>
        </w:rPr>
        <w:instrText xml:space="preserve"> REF _Ref189661972 \h  \* MERGEFORMAT </w:instrText>
      </w:r>
      <w:r w:rsidRPr="000C6009">
        <w:rPr>
          <w:rFonts w:cstheme="minorHAnsi"/>
        </w:rPr>
      </w:r>
      <w:r w:rsidRPr="000C6009">
        <w:rPr>
          <w:rFonts w:cstheme="minorHAnsi"/>
        </w:rPr>
        <w:fldChar w:fldCharType="separate"/>
      </w:r>
      <w:r w:rsidR="00670903" w:rsidRPr="00670903">
        <w:rPr>
          <w:rFonts w:cstheme="minorHAnsi"/>
        </w:rPr>
        <w:t xml:space="preserve">Figura </w:t>
      </w:r>
      <w:r w:rsidR="00670903" w:rsidRPr="00670903">
        <w:rPr>
          <w:rFonts w:cstheme="minorHAnsi"/>
          <w:noProof/>
        </w:rPr>
        <w:t>4</w:t>
      </w:r>
      <w:r w:rsidRPr="000C6009">
        <w:rPr>
          <w:rFonts w:cstheme="minorHAnsi"/>
        </w:rPr>
        <w:fldChar w:fldCharType="end"/>
      </w:r>
      <w:r w:rsidRPr="000C6009">
        <w:rPr>
          <w:rFonts w:cstheme="minorHAnsi"/>
        </w:rPr>
        <w:t>), ma mediamente compiono un numero inferiore di spostamenti pro-capite.</w:t>
      </w:r>
    </w:p>
    <w:p w14:paraId="7381802E" w14:textId="77777777" w:rsidR="00826A3D" w:rsidRPr="000C6009" w:rsidRDefault="00826A3D" w:rsidP="00826A3D">
      <w:pPr>
        <w:spacing w:before="120" w:after="0" w:line="240" w:lineRule="auto"/>
        <w:rPr>
          <w:rFonts w:cstheme="minorHAnsi"/>
        </w:rPr>
      </w:pPr>
    </w:p>
    <w:p w14:paraId="4A1F52A1" w14:textId="77777777" w:rsidR="00826A3D" w:rsidRPr="000C6009" w:rsidRDefault="00826A3D" w:rsidP="00826A3D">
      <w:pPr>
        <w:spacing w:before="120" w:after="0" w:line="240" w:lineRule="auto"/>
        <w:rPr>
          <w:rFonts w:cstheme="minorHAnsi"/>
        </w:rPr>
      </w:pPr>
      <w:r w:rsidRPr="000C6009">
        <w:rPr>
          <w:rFonts w:cstheme="minorHAnsi"/>
          <w:noProof/>
        </w:rPr>
        <w:drawing>
          <wp:inline distT="0" distB="0" distL="0" distR="0" wp14:anchorId="66562346" wp14:editId="11942BDE">
            <wp:extent cx="5846445" cy="2749550"/>
            <wp:effectExtent l="0" t="0" r="1905" b="0"/>
            <wp:docPr id="1315681080"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81080" name="Immagine 1" descr="Immagine che contiene testo, schermata, numero, Carattere&#10;&#10;Descrizione generata automa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6445" cy="2749550"/>
                    </a:xfrm>
                    <a:prstGeom prst="rect">
                      <a:avLst/>
                    </a:prstGeom>
                    <a:noFill/>
                  </pic:spPr>
                </pic:pic>
              </a:graphicData>
            </a:graphic>
          </wp:inline>
        </w:drawing>
      </w:r>
    </w:p>
    <w:p w14:paraId="2EB1D650" w14:textId="65472FA8" w:rsidR="00826A3D" w:rsidRPr="001D5603" w:rsidRDefault="00826A3D" w:rsidP="00826A3D">
      <w:pPr>
        <w:pStyle w:val="Didascalia"/>
        <w:jc w:val="center"/>
        <w:rPr>
          <w:rFonts w:cstheme="minorHAnsi"/>
          <w:color w:val="003366"/>
        </w:rPr>
      </w:pPr>
      <w:bookmarkStart w:id="120" w:name="_Ref189661972"/>
      <w:r w:rsidRPr="001D5603">
        <w:rPr>
          <w:rFonts w:cstheme="minorHAnsi"/>
          <w:color w:val="003366"/>
        </w:rPr>
        <w:t xml:space="preserve">Figura </w:t>
      </w:r>
      <w:r w:rsidRPr="001D5603">
        <w:rPr>
          <w:rFonts w:cstheme="minorHAnsi"/>
          <w:color w:val="003366"/>
        </w:rPr>
        <w:fldChar w:fldCharType="begin"/>
      </w:r>
      <w:r w:rsidRPr="001D5603">
        <w:rPr>
          <w:rFonts w:cstheme="minorHAnsi"/>
          <w:color w:val="003366"/>
        </w:rPr>
        <w:instrText xml:space="preserve"> SEQ Figura \* ARABIC </w:instrText>
      </w:r>
      <w:r w:rsidRPr="001D5603">
        <w:rPr>
          <w:rFonts w:cstheme="minorHAnsi"/>
          <w:color w:val="003366"/>
        </w:rPr>
        <w:fldChar w:fldCharType="separate"/>
      </w:r>
      <w:r w:rsidR="00670903">
        <w:rPr>
          <w:rFonts w:cstheme="minorHAnsi"/>
          <w:noProof/>
          <w:color w:val="003366"/>
        </w:rPr>
        <w:t>4</w:t>
      </w:r>
      <w:r w:rsidRPr="001D5603">
        <w:rPr>
          <w:rFonts w:cstheme="minorHAnsi"/>
          <w:noProof/>
          <w:color w:val="003366"/>
        </w:rPr>
        <w:fldChar w:fldCharType="end"/>
      </w:r>
      <w:bookmarkEnd w:id="120"/>
      <w:r w:rsidRPr="001D5603">
        <w:rPr>
          <w:rFonts w:cstheme="minorHAnsi"/>
          <w:color w:val="003366"/>
        </w:rPr>
        <w:t xml:space="preserve"> – Quota di persone che si spostano – serie storica</w:t>
      </w:r>
    </w:p>
    <w:p w14:paraId="77777D25" w14:textId="77777777" w:rsidR="00826A3D" w:rsidRPr="000C6009" w:rsidRDefault="00826A3D" w:rsidP="00826A3D">
      <w:pPr>
        <w:spacing w:before="120" w:after="0" w:line="240" w:lineRule="auto"/>
        <w:rPr>
          <w:rFonts w:cstheme="minorHAnsi"/>
        </w:rPr>
      </w:pPr>
      <w:r w:rsidRPr="000C6009">
        <w:rPr>
          <w:rFonts w:cstheme="minorHAnsi"/>
        </w:rPr>
        <w:t>Il secondo indicatore qui esposto è la mobilità individuale, ovvero il numero medio di spostamenti effettuato da un individuo nella giornata di intervista.</w:t>
      </w:r>
    </w:p>
    <w:p w14:paraId="3E08FC96" w14:textId="77777777" w:rsidR="00826A3D" w:rsidRPr="000C6009" w:rsidRDefault="00826A3D" w:rsidP="00826A3D">
      <w:pPr>
        <w:spacing w:before="120" w:after="0" w:line="240" w:lineRule="auto"/>
        <w:rPr>
          <w:rFonts w:cstheme="minorHAnsi"/>
        </w:rPr>
      </w:pPr>
    </w:p>
    <w:p w14:paraId="79CEE1FA" w14:textId="77777777" w:rsidR="00826A3D" w:rsidRPr="000C6009" w:rsidRDefault="00826A3D" w:rsidP="00826A3D">
      <w:pPr>
        <w:spacing w:before="120" w:after="0" w:line="240" w:lineRule="auto"/>
        <w:jc w:val="center"/>
        <w:rPr>
          <w:rFonts w:cstheme="minorHAnsi"/>
        </w:rPr>
      </w:pPr>
      <w:r w:rsidRPr="000C6009">
        <w:rPr>
          <w:rFonts w:cstheme="minorHAnsi"/>
          <w:noProof/>
        </w:rPr>
        <w:drawing>
          <wp:inline distT="0" distB="0" distL="0" distR="0" wp14:anchorId="7C63ABA7" wp14:editId="16BD14DD">
            <wp:extent cx="4933722" cy="3654824"/>
            <wp:effectExtent l="0" t="0" r="635" b="3175"/>
            <wp:docPr id="99473626" name="Immagine 2" descr="Immagine che contiene testo, schermata, numer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3626" name="Immagine 2" descr="Immagine che contiene testo, schermata, numero, diagramma&#10;&#10;Descrizione generata automa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53041" cy="3669136"/>
                    </a:xfrm>
                    <a:prstGeom prst="rect">
                      <a:avLst/>
                    </a:prstGeom>
                    <a:noFill/>
                  </pic:spPr>
                </pic:pic>
              </a:graphicData>
            </a:graphic>
          </wp:inline>
        </w:drawing>
      </w:r>
    </w:p>
    <w:p w14:paraId="10C02BB5" w14:textId="40DC8108" w:rsidR="00826A3D" w:rsidRPr="001D5603" w:rsidRDefault="00826A3D" w:rsidP="00826A3D">
      <w:pPr>
        <w:pStyle w:val="Didascalia"/>
        <w:jc w:val="center"/>
        <w:rPr>
          <w:rFonts w:cstheme="minorHAnsi"/>
          <w:color w:val="003366"/>
        </w:rPr>
      </w:pPr>
      <w:r w:rsidRPr="001D5603">
        <w:rPr>
          <w:rFonts w:cstheme="minorHAnsi"/>
          <w:color w:val="003366"/>
        </w:rPr>
        <w:t xml:space="preserve">Figura </w:t>
      </w:r>
      <w:r w:rsidRPr="001D5603">
        <w:rPr>
          <w:rFonts w:cstheme="minorHAnsi"/>
          <w:color w:val="003366"/>
        </w:rPr>
        <w:fldChar w:fldCharType="begin"/>
      </w:r>
      <w:r w:rsidRPr="001D5603">
        <w:rPr>
          <w:rFonts w:cstheme="minorHAnsi"/>
          <w:color w:val="003366"/>
        </w:rPr>
        <w:instrText xml:space="preserve"> SEQ Figura \* ARABIC </w:instrText>
      </w:r>
      <w:r w:rsidRPr="001D5603">
        <w:rPr>
          <w:rFonts w:cstheme="minorHAnsi"/>
          <w:color w:val="003366"/>
        </w:rPr>
        <w:fldChar w:fldCharType="separate"/>
      </w:r>
      <w:r w:rsidR="00670903">
        <w:rPr>
          <w:rFonts w:cstheme="minorHAnsi"/>
          <w:noProof/>
          <w:color w:val="003366"/>
        </w:rPr>
        <w:t>5</w:t>
      </w:r>
      <w:r w:rsidRPr="001D5603">
        <w:rPr>
          <w:rFonts w:cstheme="minorHAnsi"/>
          <w:noProof/>
          <w:color w:val="003366"/>
        </w:rPr>
        <w:fldChar w:fldCharType="end"/>
      </w:r>
      <w:r w:rsidRPr="001D5603">
        <w:rPr>
          <w:rFonts w:cstheme="minorHAnsi"/>
          <w:color w:val="003366"/>
        </w:rPr>
        <w:t xml:space="preserve"> – Mobilità individuale – serie storica</w:t>
      </w:r>
    </w:p>
    <w:p w14:paraId="37598A35" w14:textId="77777777" w:rsidR="00826A3D" w:rsidRPr="000C6009" w:rsidRDefault="00826A3D" w:rsidP="00826A3D">
      <w:pPr>
        <w:spacing w:before="120" w:after="0" w:line="240" w:lineRule="auto"/>
        <w:rPr>
          <w:rFonts w:cstheme="minorHAnsi"/>
        </w:rPr>
      </w:pPr>
      <w:r w:rsidRPr="000C6009">
        <w:rPr>
          <w:rFonts w:cstheme="minorHAnsi"/>
        </w:rPr>
        <w:t>La popolazione che si sposta nel Bacino Sud Est ripartita per attività d’impiego è composta dal 56,3% di lavoratori, il 7,4% da studenti, il 25,4% da pensionati e il 10,9% da altri soggetti. I valori assoluti sono riportati nel grafico seguente.</w:t>
      </w:r>
    </w:p>
    <w:p w14:paraId="0D6E2937" w14:textId="77777777" w:rsidR="00826A3D" w:rsidRPr="000C6009" w:rsidRDefault="00826A3D" w:rsidP="00826A3D">
      <w:pPr>
        <w:spacing w:before="120" w:after="0" w:line="240" w:lineRule="auto"/>
        <w:jc w:val="center"/>
        <w:rPr>
          <w:rFonts w:cstheme="minorHAnsi"/>
        </w:rPr>
      </w:pPr>
      <w:r w:rsidRPr="000C6009">
        <w:rPr>
          <w:rFonts w:cstheme="minorHAnsi"/>
          <w:noProof/>
        </w:rPr>
        <w:drawing>
          <wp:inline distT="0" distB="0" distL="0" distR="0" wp14:anchorId="6ED62B0A" wp14:editId="293E06C9">
            <wp:extent cx="5764861" cy="3461961"/>
            <wp:effectExtent l="0" t="0" r="7620" b="5715"/>
            <wp:docPr id="948808655" name="Immagine 3"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08655" name="Immagine 3" descr="Immagine che contiene testo, schermata, diagramma, Carattere&#10;&#10;Descrizione generata automa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4558" cy="3569874"/>
                    </a:xfrm>
                    <a:prstGeom prst="rect">
                      <a:avLst/>
                    </a:prstGeom>
                    <a:noFill/>
                  </pic:spPr>
                </pic:pic>
              </a:graphicData>
            </a:graphic>
          </wp:inline>
        </w:drawing>
      </w:r>
    </w:p>
    <w:p w14:paraId="562FCFA3" w14:textId="1F85DD7A" w:rsidR="00826A3D" w:rsidRPr="001D5603" w:rsidRDefault="00826A3D" w:rsidP="00826A3D">
      <w:pPr>
        <w:pStyle w:val="Didascalia"/>
        <w:jc w:val="center"/>
        <w:rPr>
          <w:rFonts w:cstheme="minorHAnsi"/>
          <w:color w:val="003366"/>
        </w:rPr>
      </w:pPr>
      <w:r w:rsidRPr="001D5603">
        <w:rPr>
          <w:rFonts w:cstheme="minorHAnsi"/>
          <w:color w:val="003366"/>
        </w:rPr>
        <w:t xml:space="preserve">Figura </w:t>
      </w:r>
      <w:r w:rsidRPr="001D5603">
        <w:rPr>
          <w:rFonts w:cstheme="minorHAnsi"/>
          <w:color w:val="003366"/>
        </w:rPr>
        <w:fldChar w:fldCharType="begin"/>
      </w:r>
      <w:r w:rsidRPr="001D5603">
        <w:rPr>
          <w:rFonts w:cstheme="minorHAnsi"/>
          <w:color w:val="003366"/>
        </w:rPr>
        <w:instrText xml:space="preserve"> SEQ Figura \* ARABIC </w:instrText>
      </w:r>
      <w:r w:rsidRPr="001D5603">
        <w:rPr>
          <w:rFonts w:cstheme="minorHAnsi"/>
          <w:color w:val="003366"/>
        </w:rPr>
        <w:fldChar w:fldCharType="separate"/>
      </w:r>
      <w:r w:rsidR="00670903">
        <w:rPr>
          <w:rFonts w:cstheme="minorHAnsi"/>
          <w:noProof/>
          <w:color w:val="003366"/>
        </w:rPr>
        <w:t>6</w:t>
      </w:r>
      <w:r w:rsidRPr="001D5603">
        <w:rPr>
          <w:rFonts w:cstheme="minorHAnsi"/>
          <w:noProof/>
          <w:color w:val="003366"/>
        </w:rPr>
        <w:fldChar w:fldCharType="end"/>
      </w:r>
      <w:r w:rsidRPr="001D5603">
        <w:rPr>
          <w:rFonts w:cstheme="minorHAnsi"/>
          <w:color w:val="003366"/>
        </w:rPr>
        <w:t xml:space="preserve"> – Ripartizione per attività d’impiego della popolazione mobile</w:t>
      </w:r>
    </w:p>
    <w:p w14:paraId="033D8F73" w14:textId="77777777" w:rsidR="00826A3D" w:rsidRPr="000C6009" w:rsidRDefault="00826A3D" w:rsidP="00826A3D">
      <w:pPr>
        <w:spacing w:before="120" w:after="0" w:line="240" w:lineRule="auto"/>
        <w:rPr>
          <w:rFonts w:cstheme="minorHAnsi"/>
        </w:rPr>
      </w:pPr>
      <w:r w:rsidRPr="000C6009">
        <w:rPr>
          <w:rFonts w:cstheme="minorHAnsi"/>
        </w:rPr>
        <w:lastRenderedPageBreak/>
        <w:t>In merito ai motivi che spingono le persone allo spostamento a livello del Bacino Sud Est, lo scopo principale è legato agli acquisti, seguito da lavoro e altri scopi (cure mediche, sport, visite, ecc.). L’andamento storico vede una contrazione degli scopi lavoro e studio nel 2022 mentre crescono gli spostamenti per lavoro, acquisti, sport/svago. Risulta basso nell’indagine 2022 il numero di spostamenti per studio, tale particolare andamento è da imputare con molta probabilità al periodo in cui sono state eseguite le interviste (novembre 2021 – aprile 2022) in cui erano ancora in vigore alcune limitazioni legate all’emergenza epidemiologica COVID19 con ricorso alla didattica a distanza (DAD).</w:t>
      </w:r>
    </w:p>
    <w:p w14:paraId="6BB4E7DF" w14:textId="77777777" w:rsidR="00826A3D" w:rsidRPr="000C6009" w:rsidRDefault="00826A3D" w:rsidP="00826A3D">
      <w:pPr>
        <w:spacing w:before="120" w:after="0" w:line="240" w:lineRule="auto"/>
        <w:rPr>
          <w:rFonts w:cstheme="minorHAnsi"/>
        </w:rPr>
      </w:pPr>
    </w:p>
    <w:p w14:paraId="16303F97" w14:textId="77777777" w:rsidR="00826A3D" w:rsidRPr="000C6009" w:rsidRDefault="00826A3D" w:rsidP="00826A3D">
      <w:pPr>
        <w:pStyle w:val="Didascalia"/>
        <w:spacing w:before="120" w:after="0"/>
        <w:jc w:val="center"/>
        <w:rPr>
          <w:rFonts w:cstheme="minorHAnsi"/>
          <w:color w:val="003366"/>
        </w:rPr>
      </w:pPr>
      <w:r w:rsidRPr="000C6009">
        <w:rPr>
          <w:rFonts w:cstheme="minorHAnsi"/>
          <w:noProof/>
          <w:color w:val="003366"/>
        </w:rPr>
        <w:drawing>
          <wp:inline distT="0" distB="0" distL="0" distR="0" wp14:anchorId="4B971314" wp14:editId="7DC3B9BB">
            <wp:extent cx="5811520" cy="5915956"/>
            <wp:effectExtent l="0" t="0" r="0" b="8890"/>
            <wp:docPr id="1045070661" name="Immagine 4" descr="Immagine che contiene testo, schermata, Policromia, softw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70661" name="Immagine 4" descr="Immagine che contiene testo, schermata, Policromia, software&#10;&#10;Descrizione generata automa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23955" cy="5928615"/>
                    </a:xfrm>
                    <a:prstGeom prst="rect">
                      <a:avLst/>
                    </a:prstGeom>
                    <a:noFill/>
                  </pic:spPr>
                </pic:pic>
              </a:graphicData>
            </a:graphic>
          </wp:inline>
        </w:drawing>
      </w:r>
    </w:p>
    <w:p w14:paraId="54044BB6" w14:textId="49ED5114" w:rsidR="00826A3D" w:rsidRPr="000C6009" w:rsidRDefault="00826A3D" w:rsidP="00826A3D">
      <w:pPr>
        <w:pStyle w:val="Didascalia"/>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7</w:t>
      </w:r>
      <w:r w:rsidRPr="000C6009">
        <w:rPr>
          <w:rFonts w:cstheme="minorHAnsi"/>
          <w:noProof/>
          <w:color w:val="003366"/>
        </w:rPr>
        <w:fldChar w:fldCharType="end"/>
      </w:r>
      <w:r w:rsidRPr="000C6009">
        <w:rPr>
          <w:rFonts w:cstheme="minorHAnsi"/>
          <w:color w:val="003366"/>
        </w:rPr>
        <w:t xml:space="preserve"> – Scopi degli spostamenti – serie storica 2004-2022</w:t>
      </w:r>
    </w:p>
    <w:p w14:paraId="43D96660" w14:textId="77777777" w:rsidR="00826A3D" w:rsidRPr="000C6009" w:rsidRDefault="00826A3D" w:rsidP="00826A3D">
      <w:pPr>
        <w:spacing w:before="120" w:after="0" w:line="240" w:lineRule="auto"/>
        <w:rPr>
          <w:rFonts w:cstheme="minorHAnsi"/>
        </w:rPr>
      </w:pPr>
      <w:r w:rsidRPr="000C6009">
        <w:rPr>
          <w:rFonts w:cstheme="minorHAnsi"/>
        </w:rPr>
        <w:t xml:space="preserve">In merito ai modi di spostamento della popolazione nel Bacino Sud Est il dato dell’indagine 2022 ci restituisce una flessione del trasporto pubblico (-0,8 punti percentuali) e dei mezzi privati motorizzati (-3,0 punti percentuali) a favore degli altri modi di trasporto (piedi, bicicletta, monopattini, moto, ecc.). Tale contrazione è da imputare con molta probabilità al periodo in cui sono state eseguite le interviste, </w:t>
      </w:r>
      <w:r w:rsidRPr="000C6009">
        <w:rPr>
          <w:rFonts w:cstheme="minorHAnsi"/>
        </w:rPr>
        <w:lastRenderedPageBreak/>
        <w:t>ovvero novembre 2021-aprile 2022 in cui erano ancora in vigore limitazioni legate all’emergenza epidemiologica COVID19.</w:t>
      </w:r>
    </w:p>
    <w:p w14:paraId="063941E0" w14:textId="77777777" w:rsidR="00826A3D" w:rsidRPr="000C6009" w:rsidRDefault="00826A3D" w:rsidP="00826A3D">
      <w:pPr>
        <w:spacing w:before="120" w:after="0" w:line="240" w:lineRule="auto"/>
        <w:rPr>
          <w:rFonts w:cstheme="minorHAnsi"/>
        </w:rPr>
      </w:pPr>
    </w:p>
    <w:tbl>
      <w:tblPr>
        <w:tblStyle w:val="Grigliatabella"/>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972"/>
        <w:gridCol w:w="1559"/>
        <w:gridCol w:w="1559"/>
        <w:gridCol w:w="1560"/>
      </w:tblGrid>
      <w:tr w:rsidR="00826A3D" w:rsidRPr="000C6009" w14:paraId="1383C478" w14:textId="77777777" w:rsidTr="00BD261D">
        <w:trPr>
          <w:jc w:val="center"/>
        </w:trPr>
        <w:tc>
          <w:tcPr>
            <w:tcW w:w="2972" w:type="dxa"/>
            <w:shd w:val="clear" w:color="auto" w:fill="A5C34C" w:themeFill="accent6" w:themeFillShade="BF"/>
            <w:vAlign w:val="center"/>
          </w:tcPr>
          <w:p w14:paraId="5DA0EF69" w14:textId="77777777" w:rsidR="00826A3D" w:rsidRPr="000C6009" w:rsidRDefault="00826A3D" w:rsidP="00BD261D">
            <w:pPr>
              <w:jc w:val="center"/>
              <w:rPr>
                <w:rFonts w:cstheme="minorHAnsi"/>
                <w:b/>
                <w:bCs/>
              </w:rPr>
            </w:pPr>
            <w:r w:rsidRPr="000C6009">
              <w:rPr>
                <w:rFonts w:cstheme="minorHAnsi"/>
                <w:b/>
                <w:bCs/>
              </w:rPr>
              <w:t>Mezzo</w:t>
            </w:r>
          </w:p>
        </w:tc>
        <w:tc>
          <w:tcPr>
            <w:tcW w:w="1559" w:type="dxa"/>
            <w:shd w:val="clear" w:color="auto" w:fill="A5C34C" w:themeFill="accent6" w:themeFillShade="BF"/>
            <w:vAlign w:val="center"/>
          </w:tcPr>
          <w:p w14:paraId="020D8277" w14:textId="77777777" w:rsidR="00826A3D" w:rsidRPr="000C6009" w:rsidRDefault="00826A3D" w:rsidP="00BD261D">
            <w:pPr>
              <w:jc w:val="center"/>
              <w:rPr>
                <w:rFonts w:cstheme="minorHAnsi"/>
                <w:b/>
                <w:bCs/>
              </w:rPr>
            </w:pPr>
            <w:r w:rsidRPr="000C6009">
              <w:rPr>
                <w:rFonts w:cstheme="minorHAnsi"/>
                <w:b/>
                <w:bCs/>
              </w:rPr>
              <w:t>2004</w:t>
            </w:r>
          </w:p>
        </w:tc>
        <w:tc>
          <w:tcPr>
            <w:tcW w:w="1559" w:type="dxa"/>
            <w:shd w:val="clear" w:color="auto" w:fill="A5C34C" w:themeFill="accent6" w:themeFillShade="BF"/>
            <w:vAlign w:val="center"/>
          </w:tcPr>
          <w:p w14:paraId="5B52B13F" w14:textId="77777777" w:rsidR="00826A3D" w:rsidRPr="000C6009" w:rsidRDefault="00826A3D" w:rsidP="00BD261D">
            <w:pPr>
              <w:jc w:val="center"/>
              <w:rPr>
                <w:rFonts w:cstheme="minorHAnsi"/>
                <w:b/>
                <w:bCs/>
              </w:rPr>
            </w:pPr>
            <w:r w:rsidRPr="000C6009">
              <w:rPr>
                <w:rFonts w:cstheme="minorHAnsi"/>
                <w:b/>
                <w:bCs/>
              </w:rPr>
              <w:t>2013</w:t>
            </w:r>
          </w:p>
        </w:tc>
        <w:tc>
          <w:tcPr>
            <w:tcW w:w="1560" w:type="dxa"/>
            <w:shd w:val="clear" w:color="auto" w:fill="A5C34C" w:themeFill="accent6" w:themeFillShade="BF"/>
            <w:vAlign w:val="center"/>
          </w:tcPr>
          <w:p w14:paraId="0E66A990" w14:textId="77777777" w:rsidR="00826A3D" w:rsidRPr="000C6009" w:rsidRDefault="00826A3D" w:rsidP="00BD261D">
            <w:pPr>
              <w:jc w:val="center"/>
              <w:rPr>
                <w:rFonts w:cstheme="minorHAnsi"/>
                <w:b/>
                <w:bCs/>
              </w:rPr>
            </w:pPr>
            <w:r w:rsidRPr="000C6009">
              <w:rPr>
                <w:rFonts w:cstheme="minorHAnsi"/>
                <w:b/>
                <w:bCs/>
              </w:rPr>
              <w:t>2022</w:t>
            </w:r>
          </w:p>
        </w:tc>
      </w:tr>
      <w:tr w:rsidR="00826A3D" w:rsidRPr="000C6009" w14:paraId="3AADDA73" w14:textId="77777777" w:rsidTr="00BD261D">
        <w:trPr>
          <w:jc w:val="center"/>
        </w:trPr>
        <w:tc>
          <w:tcPr>
            <w:tcW w:w="2972" w:type="dxa"/>
            <w:vAlign w:val="center"/>
          </w:tcPr>
          <w:p w14:paraId="4114EA30" w14:textId="77777777" w:rsidR="00826A3D" w:rsidRPr="000C6009" w:rsidRDefault="00826A3D" w:rsidP="00BD261D">
            <w:pPr>
              <w:rPr>
                <w:rFonts w:cstheme="minorHAnsi"/>
                <w:b/>
                <w:bCs/>
              </w:rPr>
            </w:pPr>
            <w:r w:rsidRPr="000C6009">
              <w:rPr>
                <w:rFonts w:cstheme="minorHAnsi"/>
                <w:b/>
                <w:bCs/>
              </w:rPr>
              <w:t>Pubblico (bus, treni)</w:t>
            </w:r>
          </w:p>
        </w:tc>
        <w:tc>
          <w:tcPr>
            <w:tcW w:w="1559" w:type="dxa"/>
            <w:vAlign w:val="center"/>
          </w:tcPr>
          <w:p w14:paraId="5A690EEC" w14:textId="77777777" w:rsidR="00826A3D" w:rsidRPr="000C6009" w:rsidRDefault="00826A3D" w:rsidP="00BD261D">
            <w:pPr>
              <w:jc w:val="center"/>
              <w:rPr>
                <w:rFonts w:cstheme="minorHAnsi"/>
              </w:rPr>
            </w:pPr>
            <w:r w:rsidRPr="000C6009">
              <w:rPr>
                <w:rFonts w:cstheme="minorHAnsi"/>
              </w:rPr>
              <w:t>6,0%</w:t>
            </w:r>
          </w:p>
        </w:tc>
        <w:tc>
          <w:tcPr>
            <w:tcW w:w="1559" w:type="dxa"/>
            <w:vAlign w:val="center"/>
          </w:tcPr>
          <w:p w14:paraId="0B6E6BA0" w14:textId="77777777" w:rsidR="00826A3D" w:rsidRPr="000C6009" w:rsidRDefault="00826A3D" w:rsidP="00BD261D">
            <w:pPr>
              <w:jc w:val="center"/>
              <w:rPr>
                <w:rFonts w:cstheme="minorHAnsi"/>
              </w:rPr>
            </w:pPr>
            <w:r w:rsidRPr="000C6009">
              <w:rPr>
                <w:rFonts w:cstheme="minorHAnsi"/>
              </w:rPr>
              <w:t>6,4%</w:t>
            </w:r>
          </w:p>
        </w:tc>
        <w:tc>
          <w:tcPr>
            <w:tcW w:w="1560" w:type="dxa"/>
            <w:vAlign w:val="center"/>
          </w:tcPr>
          <w:p w14:paraId="26237E37" w14:textId="77777777" w:rsidR="00826A3D" w:rsidRPr="000C6009" w:rsidRDefault="00826A3D" w:rsidP="00BD261D">
            <w:pPr>
              <w:jc w:val="center"/>
              <w:rPr>
                <w:rFonts w:cstheme="minorHAnsi"/>
              </w:rPr>
            </w:pPr>
            <w:r w:rsidRPr="000C6009">
              <w:rPr>
                <w:rFonts w:cstheme="minorHAnsi"/>
              </w:rPr>
              <w:t>5,6%</w:t>
            </w:r>
          </w:p>
        </w:tc>
      </w:tr>
      <w:tr w:rsidR="00826A3D" w:rsidRPr="000C6009" w14:paraId="3BFDA580" w14:textId="77777777" w:rsidTr="00BD261D">
        <w:trPr>
          <w:jc w:val="center"/>
        </w:trPr>
        <w:tc>
          <w:tcPr>
            <w:tcW w:w="2972" w:type="dxa"/>
            <w:vAlign w:val="center"/>
          </w:tcPr>
          <w:p w14:paraId="3AA238C8" w14:textId="77777777" w:rsidR="00826A3D" w:rsidRPr="000C6009" w:rsidRDefault="00826A3D" w:rsidP="00BD261D">
            <w:pPr>
              <w:rPr>
                <w:rFonts w:cstheme="minorHAnsi"/>
                <w:b/>
                <w:bCs/>
              </w:rPr>
            </w:pPr>
            <w:r w:rsidRPr="000C6009">
              <w:rPr>
                <w:rFonts w:cstheme="minorHAnsi"/>
                <w:b/>
                <w:bCs/>
              </w:rPr>
              <w:t>Privato (auto)</w:t>
            </w:r>
          </w:p>
        </w:tc>
        <w:tc>
          <w:tcPr>
            <w:tcW w:w="1559" w:type="dxa"/>
            <w:vAlign w:val="center"/>
          </w:tcPr>
          <w:p w14:paraId="7C6923AC" w14:textId="77777777" w:rsidR="00826A3D" w:rsidRPr="000C6009" w:rsidRDefault="00826A3D" w:rsidP="00BD261D">
            <w:pPr>
              <w:jc w:val="center"/>
              <w:rPr>
                <w:rFonts w:cstheme="minorHAnsi"/>
              </w:rPr>
            </w:pPr>
            <w:r w:rsidRPr="000C6009">
              <w:rPr>
                <w:rFonts w:cstheme="minorHAnsi"/>
              </w:rPr>
              <w:t>69,6%</w:t>
            </w:r>
          </w:p>
        </w:tc>
        <w:tc>
          <w:tcPr>
            <w:tcW w:w="1559" w:type="dxa"/>
            <w:vAlign w:val="center"/>
          </w:tcPr>
          <w:p w14:paraId="688A8793" w14:textId="77777777" w:rsidR="00826A3D" w:rsidRPr="000C6009" w:rsidRDefault="00826A3D" w:rsidP="00BD261D">
            <w:pPr>
              <w:jc w:val="center"/>
              <w:rPr>
                <w:rFonts w:cstheme="minorHAnsi"/>
              </w:rPr>
            </w:pPr>
            <w:r w:rsidRPr="000C6009">
              <w:rPr>
                <w:rFonts w:cstheme="minorHAnsi"/>
              </w:rPr>
              <w:t>66,7%</w:t>
            </w:r>
          </w:p>
        </w:tc>
        <w:tc>
          <w:tcPr>
            <w:tcW w:w="1560" w:type="dxa"/>
            <w:vAlign w:val="center"/>
          </w:tcPr>
          <w:p w14:paraId="2580099D" w14:textId="77777777" w:rsidR="00826A3D" w:rsidRPr="000C6009" w:rsidRDefault="00826A3D" w:rsidP="00BD261D">
            <w:pPr>
              <w:jc w:val="center"/>
              <w:rPr>
                <w:rFonts w:cstheme="minorHAnsi"/>
              </w:rPr>
            </w:pPr>
            <w:r w:rsidRPr="000C6009">
              <w:rPr>
                <w:rFonts w:cstheme="minorHAnsi"/>
              </w:rPr>
              <w:t>63,7%</w:t>
            </w:r>
          </w:p>
        </w:tc>
      </w:tr>
      <w:tr w:rsidR="00826A3D" w:rsidRPr="000C6009" w14:paraId="613FB6D9" w14:textId="77777777" w:rsidTr="00BD261D">
        <w:trPr>
          <w:jc w:val="center"/>
        </w:trPr>
        <w:tc>
          <w:tcPr>
            <w:tcW w:w="2972" w:type="dxa"/>
            <w:vAlign w:val="center"/>
          </w:tcPr>
          <w:p w14:paraId="0CC2F4B2" w14:textId="77777777" w:rsidR="00826A3D" w:rsidRPr="000C6009" w:rsidRDefault="00826A3D" w:rsidP="00BD261D">
            <w:pPr>
              <w:rPr>
                <w:rFonts w:cstheme="minorHAnsi"/>
                <w:b/>
                <w:bCs/>
              </w:rPr>
            </w:pPr>
            <w:r w:rsidRPr="000C6009">
              <w:rPr>
                <w:rFonts w:cstheme="minorHAnsi"/>
                <w:b/>
                <w:bCs/>
              </w:rPr>
              <w:t>Altro (moto, bici, piedi)</w:t>
            </w:r>
          </w:p>
        </w:tc>
        <w:tc>
          <w:tcPr>
            <w:tcW w:w="1559" w:type="dxa"/>
            <w:vAlign w:val="center"/>
          </w:tcPr>
          <w:p w14:paraId="2E32184C" w14:textId="77777777" w:rsidR="00826A3D" w:rsidRPr="000C6009" w:rsidRDefault="00826A3D" w:rsidP="00BD261D">
            <w:pPr>
              <w:jc w:val="center"/>
              <w:rPr>
                <w:rFonts w:cstheme="minorHAnsi"/>
              </w:rPr>
            </w:pPr>
            <w:r w:rsidRPr="000C6009">
              <w:rPr>
                <w:rFonts w:cstheme="minorHAnsi"/>
              </w:rPr>
              <w:t>24,4%</w:t>
            </w:r>
          </w:p>
        </w:tc>
        <w:tc>
          <w:tcPr>
            <w:tcW w:w="1559" w:type="dxa"/>
            <w:vAlign w:val="center"/>
          </w:tcPr>
          <w:p w14:paraId="52DAE7F6" w14:textId="77777777" w:rsidR="00826A3D" w:rsidRPr="000C6009" w:rsidRDefault="00826A3D" w:rsidP="00BD261D">
            <w:pPr>
              <w:jc w:val="center"/>
              <w:rPr>
                <w:rFonts w:cstheme="minorHAnsi"/>
              </w:rPr>
            </w:pPr>
            <w:r w:rsidRPr="000C6009">
              <w:rPr>
                <w:rFonts w:cstheme="minorHAnsi"/>
              </w:rPr>
              <w:t>27,0%</w:t>
            </w:r>
          </w:p>
        </w:tc>
        <w:tc>
          <w:tcPr>
            <w:tcW w:w="1560" w:type="dxa"/>
            <w:vAlign w:val="center"/>
          </w:tcPr>
          <w:p w14:paraId="3301A5BB" w14:textId="77777777" w:rsidR="00826A3D" w:rsidRPr="000C6009" w:rsidRDefault="00826A3D" w:rsidP="00BD261D">
            <w:pPr>
              <w:jc w:val="center"/>
              <w:rPr>
                <w:rFonts w:cstheme="minorHAnsi"/>
              </w:rPr>
            </w:pPr>
            <w:r w:rsidRPr="000C6009">
              <w:rPr>
                <w:rFonts w:cstheme="minorHAnsi"/>
              </w:rPr>
              <w:t>30,6%</w:t>
            </w:r>
          </w:p>
        </w:tc>
      </w:tr>
    </w:tbl>
    <w:p w14:paraId="64567A59" w14:textId="110404D3" w:rsidR="00826A3D" w:rsidRPr="000C6009" w:rsidRDefault="00826A3D" w:rsidP="00826A3D">
      <w:pPr>
        <w:pStyle w:val="Didascalia"/>
        <w:jc w:val="center"/>
        <w:rPr>
          <w:rFonts w:cstheme="minorHAnsi"/>
          <w:iCs w:val="0"/>
        </w:rPr>
      </w:pPr>
      <w:bookmarkStart w:id="121" w:name="_Ref203583831"/>
      <w:r w:rsidRPr="000C6009">
        <w:rPr>
          <w:rFonts w:cstheme="minorHAnsi"/>
          <w:i w:val="0"/>
        </w:rPr>
        <w:t xml:space="preserve">Tabella </w:t>
      </w:r>
      <w:r w:rsidRPr="000C6009">
        <w:rPr>
          <w:rFonts w:cstheme="minorHAnsi"/>
          <w:i w:val="0"/>
        </w:rPr>
        <w:fldChar w:fldCharType="begin"/>
      </w:r>
      <w:r w:rsidRPr="000C6009">
        <w:rPr>
          <w:rFonts w:cstheme="minorHAnsi"/>
          <w:i w:val="0"/>
        </w:rPr>
        <w:instrText xml:space="preserve"> SEQ Tabella \* ARABIC </w:instrText>
      </w:r>
      <w:r w:rsidRPr="000C6009">
        <w:rPr>
          <w:rFonts w:cstheme="minorHAnsi"/>
          <w:i w:val="0"/>
        </w:rPr>
        <w:fldChar w:fldCharType="separate"/>
      </w:r>
      <w:r w:rsidR="00670903">
        <w:rPr>
          <w:rFonts w:cstheme="minorHAnsi"/>
          <w:i w:val="0"/>
          <w:noProof/>
        </w:rPr>
        <w:t>8</w:t>
      </w:r>
      <w:r w:rsidRPr="000C6009">
        <w:rPr>
          <w:rFonts w:cstheme="minorHAnsi"/>
          <w:i w:val="0"/>
        </w:rPr>
        <w:fldChar w:fldCharType="end"/>
      </w:r>
      <w:bookmarkEnd w:id="121"/>
      <w:r w:rsidRPr="000C6009">
        <w:rPr>
          <w:rFonts w:cstheme="minorHAnsi"/>
          <w:i w:val="0"/>
        </w:rPr>
        <w:t xml:space="preserve"> – </w:t>
      </w:r>
      <w:r w:rsidRPr="000C6009">
        <w:rPr>
          <w:rFonts w:cstheme="minorHAnsi"/>
          <w:iCs w:val="0"/>
        </w:rPr>
        <w:t>Andamento dello split modale</w:t>
      </w:r>
    </w:p>
    <w:p w14:paraId="64A0882A" w14:textId="77777777" w:rsidR="00826A3D" w:rsidRPr="000C6009" w:rsidRDefault="00826A3D" w:rsidP="00826A3D">
      <w:pPr>
        <w:spacing w:before="120" w:after="0" w:line="240" w:lineRule="auto"/>
        <w:rPr>
          <w:rFonts w:cstheme="minorHAnsi"/>
        </w:rPr>
      </w:pPr>
      <w:r w:rsidRPr="000C6009">
        <w:rPr>
          <w:rFonts w:cstheme="minorHAnsi"/>
        </w:rPr>
        <w:t>Dal momento che le indagini IMQ non vengono svolte a cadenza ravvicinata, AMP si avvale anche dei Rapporti sulla Mobilità degli italiani pubblicati annualmente da ISFORT per monitorare i trend di mobilità. In particolare, per avere una stima della domanda negli anni successivi all’ultima indagine IMQ del 2022, sono state analizzate le quote modali dei mezzi privati e pubblici.</w:t>
      </w:r>
    </w:p>
    <w:p w14:paraId="7D94994F" w14:textId="77777777" w:rsidR="00826A3D" w:rsidRPr="000C6009" w:rsidRDefault="00826A3D" w:rsidP="00826A3D">
      <w:pPr>
        <w:spacing w:before="120" w:after="0" w:line="240" w:lineRule="auto"/>
        <w:rPr>
          <w:rFonts w:cstheme="minorHAnsi"/>
        </w:rPr>
      </w:pPr>
      <w:r w:rsidRPr="000C6009">
        <w:rPr>
          <w:rFonts w:cstheme="minorHAnsi"/>
        </w:rPr>
        <w:t>Le indagini Audimob di ISFORT non presentano i dati a livello regionale, si è pertanto preso a riferimento il Nord-Ovest d’Italia per il confronto con il dato IMQ del Piemonte.</w:t>
      </w:r>
    </w:p>
    <w:p w14:paraId="48CA54AC" w14:textId="77777777" w:rsidR="00826A3D" w:rsidRPr="000C6009" w:rsidRDefault="00826A3D" w:rsidP="00826A3D">
      <w:pPr>
        <w:spacing w:before="120" w:after="0" w:line="240" w:lineRule="auto"/>
        <w:rPr>
          <w:rFonts w:cstheme="minorHAnsi"/>
        </w:rPr>
      </w:pPr>
      <w:r w:rsidRPr="000C6009">
        <w:rPr>
          <w:rFonts w:cstheme="minorHAnsi"/>
        </w:rPr>
        <w:t>Di seguito è riportato il confronto tra Audimob Nord-Ovest e IMQ. Il confronto con le serie storiche evidenzia che il comportamento del Piemonte, rilevato attraverso le indagini IMQ, è in linea con quanto emerso dalle indagini Audimob.</w:t>
      </w:r>
    </w:p>
    <w:p w14:paraId="151F36C2" w14:textId="77777777" w:rsidR="00826A3D" w:rsidRPr="000C6009" w:rsidRDefault="00826A3D" w:rsidP="00826A3D">
      <w:pPr>
        <w:spacing w:before="120" w:after="0" w:line="240" w:lineRule="auto"/>
        <w:rPr>
          <w:rFonts w:cstheme="minorHAnsi"/>
        </w:rPr>
      </w:pPr>
      <w:r w:rsidRPr="000C6009">
        <w:rPr>
          <w:rFonts w:cstheme="minorHAnsi"/>
        </w:rPr>
        <w:t>Per analizzare l'andamento degli indicatori di mobilità dell'ultimo periodo, sono stati utilizzati i dati Audimob relativi alle rilevazioni del 2021, 2022 e 2023. Gli scostamenti individuati sono probabilmente da interpretare considerando il periodo di indagine IMQ, che si è svolto prevalentemente durante l'Autunno-Inverno 2021, ancora influenzato dall'emergenza Covid. L'indagine Audimob 2022, invece, si è estesa per tutto l'anno 2022 e rivela già gli effetti della ripresa post-Covid.</w:t>
      </w:r>
    </w:p>
    <w:p w14:paraId="69847602" w14:textId="77777777" w:rsidR="00826A3D" w:rsidRPr="000C6009" w:rsidRDefault="00826A3D" w:rsidP="00826A3D">
      <w:pPr>
        <w:spacing w:before="120" w:after="0" w:line="240" w:lineRule="auto"/>
        <w:rPr>
          <w:rFonts w:cstheme="minorHAnsi"/>
        </w:rPr>
      </w:pPr>
      <w:r w:rsidRPr="000C6009">
        <w:rPr>
          <w:rFonts w:cstheme="minorHAnsi"/>
        </w:rPr>
        <w:t>È importante sottolineare che le indagini IMQ sono allineate a quelle condotte da ISFORT, in particolare attraverso l'Osservatorio Audimob. Entrambe le indagini utilizzano metodologie rigorose e comparabili per monitorare la domanda di mobilità e i comportamenti di spostamento della popolazione e le serie storiche confermano tali analogie.</w:t>
      </w:r>
    </w:p>
    <w:p w14:paraId="19B01A26" w14:textId="77777777" w:rsidR="00826A3D" w:rsidRPr="000C6009" w:rsidRDefault="00826A3D" w:rsidP="00826A3D">
      <w:pPr>
        <w:spacing w:before="120" w:after="0" w:line="240" w:lineRule="auto"/>
        <w:rPr>
          <w:rFonts w:cstheme="minorHAnsi"/>
        </w:rPr>
      </w:pPr>
      <w:r w:rsidRPr="000C6009">
        <w:rPr>
          <w:rFonts w:cstheme="minorHAnsi"/>
        </w:rPr>
        <w:t>Considerando che entrambe le fonti di dati riflettono le tendenze generali della mobilità, la coerenza metodologica e la sovrapposizione temporale delle indagini, è ragionevole ritenere che gli indicatori di mobilità per il Piemonte nel 2023 non si discosteranno significativamente da quelli rilevati da ISFORT nello stesso periodo.</w:t>
      </w:r>
    </w:p>
    <w:p w14:paraId="13E7DB1B" w14:textId="77777777" w:rsidR="00826A3D" w:rsidRPr="000C6009" w:rsidRDefault="00826A3D" w:rsidP="00826A3D">
      <w:pPr>
        <w:spacing w:before="120" w:after="0" w:line="240" w:lineRule="auto"/>
        <w:rPr>
          <w:rFonts w:cstheme="minorHAnsi"/>
        </w:rPr>
      </w:pPr>
      <w:r w:rsidRPr="000C6009">
        <w:rPr>
          <w:rFonts w:cstheme="minorHAnsi"/>
        </w:rPr>
        <w:t>Nell’indagine Audimob si osserva come la quota modale del mezzo pubblico registri una sensibile ripresa, passando da 9,2% nel 2021 al 12% nel 2023. Parallelamente sale la quota modale dei mezzi privati, passando dal 63% al 65,4% mentre si riducono gli spostamenti a piedi e in bici passando dal 27,8% al 22,6%.</w:t>
      </w:r>
    </w:p>
    <w:p w14:paraId="40CD503C" w14:textId="77777777" w:rsidR="00826A3D" w:rsidRPr="000C6009" w:rsidRDefault="00826A3D" w:rsidP="00826A3D">
      <w:pPr>
        <w:spacing w:before="120" w:after="0" w:line="240" w:lineRule="auto"/>
        <w:rPr>
          <w:rFonts w:cstheme="minorHAnsi"/>
        </w:rPr>
      </w:pPr>
      <w:r w:rsidRPr="000C6009">
        <w:rPr>
          <w:rFonts w:cstheme="minorHAnsi"/>
          <w:noProof/>
        </w:rPr>
        <w:lastRenderedPageBreak/>
        <w:drawing>
          <wp:inline distT="0" distB="0" distL="0" distR="0" wp14:anchorId="58B94879" wp14:editId="5FF1C0F2">
            <wp:extent cx="5759051" cy="3572151"/>
            <wp:effectExtent l="0" t="0" r="0" b="0"/>
            <wp:docPr id="20505036" name="Immagine 2" descr="Immagine che contiene line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036" name="Immagine 2" descr="Immagine che contiene linea, diagramma, schermata&#10;&#10;Descrizione generata automaticamente"/>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5471"/>
                    <a:stretch/>
                  </pic:blipFill>
                  <pic:spPr bwMode="auto">
                    <a:xfrm>
                      <a:off x="0" y="0"/>
                      <a:ext cx="5760000" cy="3572740"/>
                    </a:xfrm>
                    <a:prstGeom prst="rect">
                      <a:avLst/>
                    </a:prstGeom>
                    <a:noFill/>
                    <a:ln>
                      <a:noFill/>
                    </a:ln>
                    <a:extLst>
                      <a:ext uri="{53640926-AAD7-44D8-BBD7-CCE9431645EC}">
                        <a14:shadowObscured xmlns:a14="http://schemas.microsoft.com/office/drawing/2010/main"/>
                      </a:ext>
                    </a:extLst>
                  </pic:spPr>
                </pic:pic>
              </a:graphicData>
            </a:graphic>
          </wp:inline>
        </w:drawing>
      </w:r>
    </w:p>
    <w:p w14:paraId="1F8BD4D5" w14:textId="06ECF070" w:rsidR="00826A3D" w:rsidRPr="000C6009" w:rsidRDefault="00826A3D" w:rsidP="00826A3D">
      <w:pPr>
        <w:pStyle w:val="Didascalia"/>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8</w:t>
      </w:r>
      <w:r w:rsidRPr="000C6009">
        <w:rPr>
          <w:rFonts w:cstheme="minorHAnsi"/>
          <w:noProof/>
          <w:color w:val="003366"/>
        </w:rPr>
        <w:fldChar w:fldCharType="end"/>
      </w:r>
      <w:r w:rsidRPr="000C6009">
        <w:rPr>
          <w:rFonts w:cstheme="minorHAnsi"/>
          <w:color w:val="003366"/>
        </w:rPr>
        <w:t xml:space="preserve"> – Quota spostamenti con uso di mezzi pubblici</w:t>
      </w:r>
    </w:p>
    <w:p w14:paraId="5270AA59" w14:textId="77777777" w:rsidR="00826A3D" w:rsidRPr="000C6009" w:rsidRDefault="00826A3D" w:rsidP="00826A3D">
      <w:pPr>
        <w:rPr>
          <w:rFonts w:cstheme="minorHAnsi"/>
        </w:rPr>
      </w:pPr>
    </w:p>
    <w:p w14:paraId="4743F04C" w14:textId="77777777" w:rsidR="00826A3D" w:rsidRPr="000C6009" w:rsidRDefault="00826A3D" w:rsidP="00826A3D">
      <w:pPr>
        <w:spacing w:after="0"/>
        <w:rPr>
          <w:rFonts w:cstheme="minorHAnsi"/>
        </w:rPr>
      </w:pPr>
      <w:r w:rsidRPr="000C6009">
        <w:rPr>
          <w:rFonts w:cstheme="minorHAnsi"/>
          <w:noProof/>
        </w:rPr>
        <w:drawing>
          <wp:inline distT="0" distB="0" distL="0" distR="0" wp14:anchorId="3B0252C3" wp14:editId="57C5F26A">
            <wp:extent cx="5759051" cy="3564200"/>
            <wp:effectExtent l="0" t="0" r="0" b="0"/>
            <wp:docPr id="1188138481" name="Immagine 1" descr="Immagine che contiene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38481" name="Immagine 1" descr="Immagine che contiene schermata, diagramma, linea&#10;&#10;Descrizione generata automaticamente"/>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681"/>
                    <a:stretch/>
                  </pic:blipFill>
                  <pic:spPr bwMode="auto">
                    <a:xfrm>
                      <a:off x="0" y="0"/>
                      <a:ext cx="5760000" cy="3564788"/>
                    </a:xfrm>
                    <a:prstGeom prst="rect">
                      <a:avLst/>
                    </a:prstGeom>
                    <a:noFill/>
                    <a:ln>
                      <a:noFill/>
                    </a:ln>
                    <a:extLst>
                      <a:ext uri="{53640926-AAD7-44D8-BBD7-CCE9431645EC}">
                        <a14:shadowObscured xmlns:a14="http://schemas.microsoft.com/office/drawing/2010/main"/>
                      </a:ext>
                    </a:extLst>
                  </pic:spPr>
                </pic:pic>
              </a:graphicData>
            </a:graphic>
          </wp:inline>
        </w:drawing>
      </w:r>
    </w:p>
    <w:p w14:paraId="146676E4" w14:textId="02679504" w:rsidR="00826A3D" w:rsidRPr="000C6009" w:rsidRDefault="00826A3D" w:rsidP="00826A3D">
      <w:pPr>
        <w:pStyle w:val="Didascalia"/>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9</w:t>
      </w:r>
      <w:r w:rsidRPr="000C6009">
        <w:rPr>
          <w:rFonts w:cstheme="minorHAnsi"/>
          <w:noProof/>
          <w:color w:val="003366"/>
        </w:rPr>
        <w:fldChar w:fldCharType="end"/>
      </w:r>
      <w:r w:rsidRPr="000C6009">
        <w:rPr>
          <w:rFonts w:cstheme="minorHAnsi"/>
          <w:color w:val="003366"/>
        </w:rPr>
        <w:t xml:space="preserve"> – Quota spostamenti con uso di mezzi privati</w:t>
      </w:r>
    </w:p>
    <w:p w14:paraId="39EBD628" w14:textId="77777777" w:rsidR="00826A3D" w:rsidRPr="000C6009" w:rsidRDefault="00826A3D" w:rsidP="00826A3D">
      <w:pPr>
        <w:rPr>
          <w:rFonts w:cstheme="minorHAnsi"/>
          <w:sz w:val="16"/>
          <w:szCs w:val="16"/>
        </w:rPr>
      </w:pPr>
    </w:p>
    <w:p w14:paraId="27838164" w14:textId="77777777" w:rsidR="00826A3D" w:rsidRPr="000C6009" w:rsidRDefault="00826A3D" w:rsidP="00826A3D">
      <w:pPr>
        <w:spacing w:after="0"/>
        <w:rPr>
          <w:rFonts w:cstheme="minorHAnsi"/>
        </w:rPr>
      </w:pPr>
      <w:r w:rsidRPr="000C6009">
        <w:rPr>
          <w:rFonts w:cstheme="minorHAnsi"/>
          <w:noProof/>
        </w:rPr>
        <w:lastRenderedPageBreak/>
        <w:drawing>
          <wp:inline distT="0" distB="0" distL="0" distR="0" wp14:anchorId="735ABB27" wp14:editId="65931CD5">
            <wp:extent cx="5759051" cy="3556249"/>
            <wp:effectExtent l="0" t="0" r="0" b="0"/>
            <wp:docPr id="1201455472"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55472" name="Immagine 4" descr="Immagine che contiene schermata, linea, Diagramma, diagramma&#10;&#10;Descrizione generata automaticamente"/>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891"/>
                    <a:stretch/>
                  </pic:blipFill>
                  <pic:spPr bwMode="auto">
                    <a:xfrm>
                      <a:off x="0" y="0"/>
                      <a:ext cx="5760000" cy="3556835"/>
                    </a:xfrm>
                    <a:prstGeom prst="rect">
                      <a:avLst/>
                    </a:prstGeom>
                    <a:noFill/>
                    <a:ln>
                      <a:noFill/>
                    </a:ln>
                    <a:extLst>
                      <a:ext uri="{53640926-AAD7-44D8-BBD7-CCE9431645EC}">
                        <a14:shadowObscured xmlns:a14="http://schemas.microsoft.com/office/drawing/2010/main"/>
                      </a:ext>
                    </a:extLst>
                  </pic:spPr>
                </pic:pic>
              </a:graphicData>
            </a:graphic>
          </wp:inline>
        </w:drawing>
      </w:r>
    </w:p>
    <w:p w14:paraId="7B07B064" w14:textId="0C43F962" w:rsidR="00826A3D" w:rsidRPr="000C6009" w:rsidRDefault="00826A3D" w:rsidP="00826A3D">
      <w:pPr>
        <w:pStyle w:val="Didascalia"/>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670903">
        <w:rPr>
          <w:rFonts w:cstheme="minorHAnsi"/>
          <w:noProof/>
          <w:color w:val="003366"/>
        </w:rPr>
        <w:t>10</w:t>
      </w:r>
      <w:r w:rsidRPr="000C6009">
        <w:rPr>
          <w:rFonts w:cstheme="minorHAnsi"/>
          <w:noProof/>
          <w:color w:val="003366"/>
        </w:rPr>
        <w:fldChar w:fldCharType="end"/>
      </w:r>
      <w:r w:rsidRPr="000C6009">
        <w:rPr>
          <w:rFonts w:cstheme="minorHAnsi"/>
          <w:color w:val="003366"/>
        </w:rPr>
        <w:t xml:space="preserve"> – Quota spostamenti pedonali + uso bicicletta</w:t>
      </w:r>
    </w:p>
    <w:p w14:paraId="7106EF13" w14:textId="77777777" w:rsidR="00826A3D" w:rsidRPr="000C6009" w:rsidRDefault="00826A3D" w:rsidP="00826A3D">
      <w:pPr>
        <w:spacing w:before="120" w:after="120" w:line="240" w:lineRule="auto"/>
        <w:rPr>
          <w:rFonts w:cstheme="minorHAnsi"/>
        </w:rPr>
      </w:pPr>
      <w:bookmarkStart w:id="122" w:name="_Toc193195291"/>
      <w:bookmarkStart w:id="123" w:name="_Ref193386177"/>
      <w:bookmarkStart w:id="124" w:name="_Ref193793557"/>
      <w:bookmarkStart w:id="125" w:name="_Toc365510335"/>
      <w:r w:rsidRPr="000C6009">
        <w:rPr>
          <w:rFonts w:cstheme="minorHAnsi"/>
        </w:rPr>
        <w:t>Come ricordato in precedenza, nel luglio 2025 AMP ha stipulato uno specifico accordo con ISFORT per attivare un focus nell’ambito dell’indagine condotta da ISFORT per la realizzazione del Rapporto sulla mobilità degli italiani, al fine di ottenere dati significativi sulla mobilità a livello della regione Piemonte.</w:t>
      </w:r>
    </w:p>
    <w:p w14:paraId="320EAAC2" w14:textId="77777777" w:rsidR="00826A3D" w:rsidRPr="000C6009" w:rsidRDefault="00826A3D" w:rsidP="00826A3D">
      <w:pPr>
        <w:spacing w:before="120" w:after="120" w:line="240" w:lineRule="auto"/>
        <w:rPr>
          <w:rFonts w:cstheme="minorHAnsi"/>
        </w:rPr>
      </w:pPr>
      <w:r w:rsidRPr="000C6009">
        <w:rPr>
          <w:rFonts w:cstheme="minorHAnsi"/>
        </w:rPr>
        <w:t>Questo approfondimento del “focus Piemonte” nell'ambito delle rilevazioni Audimob permetterà di ottenere risultati più continui e dettagliati nel breve periodo, garantendo una maggiore precisione e tempestività nell'analisi delle tendenze di mobilità regionale.</w:t>
      </w:r>
    </w:p>
    <w:p w14:paraId="77B99BE1" w14:textId="77777777" w:rsidR="00826A3D" w:rsidRPr="000C6009" w:rsidRDefault="00826A3D" w:rsidP="00826A3D">
      <w:pPr>
        <w:pStyle w:val="Titolo2"/>
        <w:ind w:left="567"/>
        <w:rPr>
          <w:rFonts w:asciiTheme="minorHAnsi" w:hAnsiTheme="minorHAnsi" w:cstheme="minorHAnsi"/>
        </w:rPr>
      </w:pPr>
      <w:bookmarkStart w:id="126" w:name="_Toc193195296"/>
      <w:bookmarkStart w:id="127" w:name="_Toc1367870661"/>
      <w:bookmarkStart w:id="128" w:name="_Toc197695665"/>
      <w:bookmarkStart w:id="129" w:name="_Toc204616481"/>
      <w:bookmarkStart w:id="130" w:name="_Toc205213712"/>
      <w:r w:rsidRPr="000C6009">
        <w:rPr>
          <w:rFonts w:asciiTheme="minorHAnsi" w:hAnsiTheme="minorHAnsi" w:cstheme="minorHAnsi"/>
        </w:rPr>
        <w:t>Aree a domanda debole</w:t>
      </w:r>
      <w:bookmarkEnd w:id="126"/>
      <w:bookmarkEnd w:id="127"/>
      <w:bookmarkEnd w:id="128"/>
      <w:bookmarkEnd w:id="129"/>
      <w:bookmarkEnd w:id="130"/>
    </w:p>
    <w:p w14:paraId="269E0AEA" w14:textId="77777777" w:rsidR="00826A3D" w:rsidRPr="000C6009" w:rsidRDefault="00826A3D" w:rsidP="00826A3D">
      <w:pPr>
        <w:spacing w:before="120" w:after="120" w:line="240" w:lineRule="auto"/>
        <w:rPr>
          <w:rFonts w:cstheme="minorHAnsi"/>
        </w:rPr>
      </w:pPr>
      <w:r w:rsidRPr="000C6009">
        <w:rPr>
          <w:rFonts w:cstheme="minorHAnsi"/>
        </w:rPr>
        <w:t xml:space="preserve">Le aree a domanda debole (ADD) sono zone caratterizzate da una bassa domanda di trasporto pubblico, spesso a causa di una popolazione ridotta, dispersione abitativa o limitate attività economiche. Queste aree includono piccoli comuni, spesso in zone rurali, dove il numero di viaggi generati è relativamente basso e frammentato. </w:t>
      </w:r>
    </w:p>
    <w:p w14:paraId="1815765F" w14:textId="77777777" w:rsidR="00826A3D" w:rsidRPr="000C6009" w:rsidRDefault="00826A3D" w:rsidP="00826A3D">
      <w:pPr>
        <w:spacing w:before="120" w:after="120" w:line="240" w:lineRule="auto"/>
        <w:rPr>
          <w:rFonts w:cstheme="minorHAnsi"/>
        </w:rPr>
      </w:pPr>
      <w:r w:rsidRPr="000C6009">
        <w:rPr>
          <w:rFonts w:cstheme="minorHAnsi"/>
        </w:rPr>
        <w:t>Per individuare le aree a domanda debole nel Bacino Sud Est si è proceduto con l’applicazione della metodologia prescritta dal DM 157/2018; tale metodologia prevede di classificare i comuni in funzione della quota di pendolarismo inferiore alle 3000 unità, della presenza di una popolazione in età scolare (5-24 anni) e anziana (&gt;70 anni) maggiore del 10%, della escursione altimetrica interna al comune maggiore di 600 m e della presenza di frazioni o contrade con distanza reciproca maggiore di 1.5 km.</w:t>
      </w:r>
    </w:p>
    <w:p w14:paraId="0A6AD94E" w14:textId="77777777" w:rsidR="00826A3D" w:rsidRPr="000C6009" w:rsidRDefault="00826A3D" w:rsidP="00826A3D">
      <w:pPr>
        <w:spacing w:before="120" w:after="120" w:line="240" w:lineRule="auto"/>
        <w:rPr>
          <w:rFonts w:cstheme="minorHAnsi"/>
        </w:rPr>
      </w:pPr>
      <w:r w:rsidRPr="000C6009">
        <w:rPr>
          <w:rFonts w:cstheme="minorHAnsi"/>
        </w:rPr>
        <w:t>La valutazione è riassunta nello schema seguente e rappresentata graficamente nella figura seguente.</w:t>
      </w:r>
    </w:p>
    <w:p w14:paraId="401F410E" w14:textId="77777777" w:rsidR="00826A3D" w:rsidRPr="000C6009" w:rsidRDefault="00826A3D" w:rsidP="00826A3D">
      <w:pPr>
        <w:spacing w:before="120" w:after="0" w:line="240" w:lineRule="auto"/>
        <w:rPr>
          <w:rFonts w:eastAsia="Calibri" w:cstheme="minorHAnsi"/>
        </w:rPr>
      </w:pPr>
      <w:r w:rsidRPr="000C6009">
        <w:rPr>
          <w:rFonts w:cstheme="minorHAnsi"/>
          <w:noProof/>
        </w:rPr>
        <w:lastRenderedPageBreak/>
        <w:drawing>
          <wp:inline distT="0" distB="0" distL="0" distR="0" wp14:anchorId="4FF91D23" wp14:editId="22DFB0B1">
            <wp:extent cx="5760000" cy="3212749"/>
            <wp:effectExtent l="0" t="0" r="0" b="6985"/>
            <wp:docPr id="2" name="Immagine 2"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chermata, diagramma, Carattere&#10;&#10;Descrizione generata automaticamente"/>
                    <pic:cNvPicPr/>
                  </pic:nvPicPr>
                  <pic:blipFill rotWithShape="1">
                    <a:blip r:embed="rId37"/>
                    <a:srcRect l="5127" t="2967" r="5087" b="8002"/>
                    <a:stretch/>
                  </pic:blipFill>
                  <pic:spPr bwMode="auto">
                    <a:xfrm>
                      <a:off x="0" y="0"/>
                      <a:ext cx="5760000" cy="3212749"/>
                    </a:xfrm>
                    <a:prstGeom prst="rect">
                      <a:avLst/>
                    </a:prstGeom>
                    <a:ln>
                      <a:noFill/>
                    </a:ln>
                    <a:extLst>
                      <a:ext uri="{53640926-AAD7-44D8-BBD7-CCE9431645EC}">
                        <a14:shadowObscured xmlns:a14="http://schemas.microsoft.com/office/drawing/2010/main"/>
                      </a:ext>
                    </a:extLst>
                  </pic:spPr>
                </pic:pic>
              </a:graphicData>
            </a:graphic>
          </wp:inline>
        </w:drawing>
      </w:r>
    </w:p>
    <w:p w14:paraId="0A0F8703" w14:textId="322850CE" w:rsidR="00826A3D" w:rsidRPr="000C6009" w:rsidRDefault="00826A3D" w:rsidP="00826A3D">
      <w:pPr>
        <w:pStyle w:val="Didascalia"/>
        <w:jc w:val="center"/>
        <w:rPr>
          <w:rFonts w:cstheme="minorHAnsi"/>
        </w:rPr>
      </w:pPr>
      <w:r w:rsidRPr="000C6009">
        <w:rPr>
          <w:rFonts w:cstheme="minorHAnsi"/>
        </w:rPr>
        <w:t xml:space="preserve">Figura </w:t>
      </w:r>
      <w:r w:rsidRPr="000C6009">
        <w:rPr>
          <w:rFonts w:cstheme="minorHAnsi"/>
        </w:rPr>
        <w:fldChar w:fldCharType="begin"/>
      </w:r>
      <w:r w:rsidRPr="000C6009">
        <w:rPr>
          <w:rFonts w:cstheme="minorHAnsi"/>
        </w:rPr>
        <w:instrText xml:space="preserve"> SEQ Figura \* ARABIC </w:instrText>
      </w:r>
      <w:r w:rsidRPr="000C6009">
        <w:rPr>
          <w:rFonts w:cstheme="minorHAnsi"/>
        </w:rPr>
        <w:fldChar w:fldCharType="separate"/>
      </w:r>
      <w:r w:rsidR="00670903">
        <w:rPr>
          <w:rFonts w:cstheme="minorHAnsi"/>
          <w:noProof/>
        </w:rPr>
        <w:t>11</w:t>
      </w:r>
      <w:r w:rsidRPr="000C6009">
        <w:rPr>
          <w:rFonts w:cstheme="minorHAnsi"/>
          <w:noProof/>
        </w:rPr>
        <w:fldChar w:fldCharType="end"/>
      </w:r>
      <w:r w:rsidRPr="000C6009">
        <w:rPr>
          <w:rFonts w:cstheme="minorHAnsi"/>
        </w:rPr>
        <w:t xml:space="preserve"> – Schema per l’individuazione dei comuni in Area a Domanda Debole </w:t>
      </w:r>
    </w:p>
    <w:p w14:paraId="10BB382A" w14:textId="77777777" w:rsidR="00826A3D" w:rsidRPr="000C6009" w:rsidRDefault="00826A3D" w:rsidP="00826A3D">
      <w:pPr>
        <w:spacing w:before="120" w:after="0" w:line="240" w:lineRule="auto"/>
        <w:rPr>
          <w:rFonts w:cstheme="minorHAnsi"/>
        </w:rPr>
      </w:pPr>
    </w:p>
    <w:p w14:paraId="79664DF7" w14:textId="77777777" w:rsidR="00826A3D" w:rsidRPr="000C6009" w:rsidRDefault="00826A3D" w:rsidP="00826A3D">
      <w:pPr>
        <w:spacing w:before="120" w:after="0" w:line="240" w:lineRule="auto"/>
        <w:rPr>
          <w:rFonts w:cstheme="minorHAnsi"/>
        </w:rPr>
      </w:pPr>
      <w:r w:rsidRPr="000C6009">
        <w:rPr>
          <w:rFonts w:cstheme="minorHAnsi"/>
          <w:noProof/>
        </w:rPr>
        <w:drawing>
          <wp:inline distT="0" distB="0" distL="0" distR="0" wp14:anchorId="7A8A3C21" wp14:editId="2431C948">
            <wp:extent cx="5759450" cy="4061460"/>
            <wp:effectExtent l="0" t="0" r="0" b="0"/>
            <wp:docPr id="1594817755" name="Immagine 1" descr="Immagine che contiene mappa, atlante,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17755" name="Immagine 1" descr="Immagine che contiene mappa, atlante, testo, diagramma&#10;&#10;Descrizione generata automaticament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4061460"/>
                    </a:xfrm>
                    <a:prstGeom prst="rect">
                      <a:avLst/>
                    </a:prstGeom>
                    <a:noFill/>
                    <a:ln>
                      <a:noFill/>
                    </a:ln>
                  </pic:spPr>
                </pic:pic>
              </a:graphicData>
            </a:graphic>
          </wp:inline>
        </w:drawing>
      </w:r>
    </w:p>
    <w:p w14:paraId="64C9EB19" w14:textId="366EAB42" w:rsidR="00826A3D" w:rsidRPr="000C6009" w:rsidRDefault="00826A3D" w:rsidP="00826A3D">
      <w:pPr>
        <w:pStyle w:val="Didascalia"/>
        <w:jc w:val="center"/>
        <w:rPr>
          <w:rFonts w:cstheme="minorHAnsi"/>
        </w:rPr>
      </w:pPr>
      <w:r w:rsidRPr="000C6009">
        <w:rPr>
          <w:rFonts w:cstheme="minorHAnsi"/>
        </w:rPr>
        <w:t xml:space="preserve">Figura </w:t>
      </w:r>
      <w:r w:rsidRPr="000C6009">
        <w:rPr>
          <w:rFonts w:cstheme="minorHAnsi"/>
        </w:rPr>
        <w:fldChar w:fldCharType="begin"/>
      </w:r>
      <w:r w:rsidRPr="000C6009">
        <w:rPr>
          <w:rFonts w:cstheme="minorHAnsi"/>
        </w:rPr>
        <w:instrText xml:space="preserve"> SEQ Figura \* ARABIC </w:instrText>
      </w:r>
      <w:r w:rsidRPr="000C6009">
        <w:rPr>
          <w:rFonts w:cstheme="minorHAnsi"/>
        </w:rPr>
        <w:fldChar w:fldCharType="separate"/>
      </w:r>
      <w:r w:rsidR="00670903">
        <w:rPr>
          <w:rFonts w:cstheme="minorHAnsi"/>
          <w:noProof/>
        </w:rPr>
        <w:t>12</w:t>
      </w:r>
      <w:r w:rsidRPr="000C6009">
        <w:rPr>
          <w:rFonts w:cstheme="minorHAnsi"/>
          <w:noProof/>
        </w:rPr>
        <w:fldChar w:fldCharType="end"/>
      </w:r>
      <w:r w:rsidRPr="000C6009">
        <w:rPr>
          <w:rFonts w:cstheme="minorHAnsi"/>
        </w:rPr>
        <w:t xml:space="preserve"> – Localizzazione dei comuni in area a domanda debole </w:t>
      </w:r>
    </w:p>
    <w:p w14:paraId="314D0D5A" w14:textId="77777777" w:rsidR="00826A3D" w:rsidRPr="000C6009" w:rsidRDefault="00826A3D" w:rsidP="00826A3D">
      <w:pPr>
        <w:spacing w:before="120" w:after="0" w:line="240" w:lineRule="auto"/>
        <w:rPr>
          <w:rFonts w:cstheme="minorHAnsi"/>
        </w:rPr>
      </w:pPr>
    </w:p>
    <w:p w14:paraId="7406056B" w14:textId="77777777" w:rsidR="00826A3D" w:rsidRPr="000C6009" w:rsidRDefault="00826A3D" w:rsidP="00826A3D">
      <w:pPr>
        <w:spacing w:before="120" w:after="0" w:line="240" w:lineRule="auto"/>
        <w:rPr>
          <w:rFonts w:cstheme="minorHAnsi"/>
        </w:rPr>
      </w:pPr>
      <w:r w:rsidRPr="000C6009">
        <w:rPr>
          <w:rFonts w:cstheme="minorHAnsi"/>
        </w:rPr>
        <w:lastRenderedPageBreak/>
        <w:t>Nel Bacino Sud Est sono presenti 305 comuni, di cui 96 sono classificati come intermedi, periferici e ultraperiferici secondo la classificazione delle aree interne 2021-2027. Di questi comuni 93 hanno una quota di pendolarismo inferiore alle 3000 unità e una popolazione in età scolare (5-24 anni) e anziana (&gt;70 anni) superiore al 10%.</w:t>
      </w:r>
    </w:p>
    <w:p w14:paraId="260ABDE7" w14:textId="77777777" w:rsidR="00826A3D" w:rsidRPr="000C6009" w:rsidRDefault="00826A3D" w:rsidP="00826A3D">
      <w:pPr>
        <w:spacing w:before="120" w:after="0" w:line="240" w:lineRule="auto"/>
        <w:rPr>
          <w:rFonts w:cstheme="minorHAnsi"/>
        </w:rPr>
      </w:pPr>
      <w:r w:rsidRPr="000C6009">
        <w:rPr>
          <w:rFonts w:cstheme="minorHAnsi"/>
        </w:rPr>
        <w:t>A loro volta tra questi, 12 comuni presentano un'escursione altimetrica interna maggiore di 600 metri e sono quindi definiti a tutti gli effetti come comuni in area a domanda debole. Gli altri 81 comuni, con un'escursione altimetrica interna inferiore a 600 metri, richiedono una verifica della presenza di frazioni o contrade con una distanza reciproca maggiore di 1,5 km.</w:t>
      </w:r>
    </w:p>
    <w:p w14:paraId="05240D48" w14:textId="77777777" w:rsidR="00826A3D" w:rsidRPr="000C6009" w:rsidRDefault="00826A3D" w:rsidP="00826A3D">
      <w:pPr>
        <w:spacing w:before="120" w:after="0" w:line="240" w:lineRule="auto"/>
        <w:rPr>
          <w:rFonts w:cstheme="minorHAnsi"/>
        </w:rPr>
      </w:pPr>
      <w:r w:rsidRPr="000C6009">
        <w:rPr>
          <w:rFonts w:cstheme="minorHAnsi"/>
        </w:rPr>
        <w:t xml:space="preserve">Dall’analisi, considerando la piccola estensione dei territori comunali, spesso inferiore a un raggio di 1,5 km dal capoluogo, risultano esclusi molti comuni. Pertanto, i comuni con un'escursione altimetrica inferiore a 600 metri che rientrano nella definizione di area a domanda debole sono 47. </w:t>
      </w:r>
    </w:p>
    <w:p w14:paraId="531E25C6" w14:textId="77777777" w:rsidR="00826A3D" w:rsidRPr="000C6009" w:rsidRDefault="00826A3D" w:rsidP="00826A3D">
      <w:pPr>
        <w:spacing w:before="120" w:after="0" w:line="240" w:lineRule="auto"/>
        <w:rPr>
          <w:rFonts w:cstheme="minorHAnsi"/>
        </w:rPr>
      </w:pPr>
      <w:r w:rsidRPr="000C6009">
        <w:rPr>
          <w:rFonts w:cstheme="minorHAnsi"/>
        </w:rPr>
        <w:t>Pertanto, i comuni classificabili come comuni in Area a Domanda Debole sono 59 e sono elencati nella tabella seguente.</w:t>
      </w:r>
    </w:p>
    <w:p w14:paraId="469BF39F" w14:textId="77777777" w:rsidR="00826A3D" w:rsidRPr="000C6009" w:rsidRDefault="00826A3D" w:rsidP="00826A3D">
      <w:pPr>
        <w:spacing w:before="120" w:after="0" w:line="240" w:lineRule="auto"/>
        <w:rPr>
          <w:rFonts w:cstheme="minorHAnsi"/>
        </w:rPr>
      </w:pPr>
    </w:p>
    <w:tbl>
      <w:tblPr>
        <w:tblW w:w="6296" w:type="dxa"/>
        <w:jc w:val="center"/>
        <w:tblCellMar>
          <w:left w:w="70" w:type="dxa"/>
          <w:right w:w="70" w:type="dxa"/>
        </w:tblCellMar>
        <w:tblLook w:val="04A0" w:firstRow="1" w:lastRow="0" w:firstColumn="1" w:lastColumn="0" w:noHBand="0" w:noVBand="1"/>
      </w:tblPr>
      <w:tblGrid>
        <w:gridCol w:w="2092"/>
        <w:gridCol w:w="1004"/>
        <w:gridCol w:w="960"/>
        <w:gridCol w:w="1120"/>
        <w:gridCol w:w="1120"/>
      </w:tblGrid>
      <w:tr w:rsidR="00826A3D" w:rsidRPr="000C6009" w14:paraId="487FAAFF" w14:textId="77777777" w:rsidTr="00BD261D">
        <w:trPr>
          <w:trHeight w:val="525"/>
          <w:jc w:val="center"/>
        </w:trPr>
        <w:tc>
          <w:tcPr>
            <w:tcW w:w="2092" w:type="dxa"/>
            <w:tcBorders>
              <w:top w:val="single" w:sz="8" w:space="0" w:color="A6A6A6"/>
              <w:left w:val="single" w:sz="8" w:space="0" w:color="A6A6A6"/>
              <w:bottom w:val="single" w:sz="8" w:space="0" w:color="A6A6A6"/>
              <w:right w:val="single" w:sz="8" w:space="0" w:color="A6A6A6"/>
            </w:tcBorders>
            <w:shd w:val="clear" w:color="000000" w:fill="A5C34C"/>
            <w:vAlign w:val="center"/>
            <w:hideMark/>
          </w:tcPr>
          <w:p w14:paraId="67DDFAAB"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Comune</w:t>
            </w:r>
          </w:p>
        </w:tc>
        <w:tc>
          <w:tcPr>
            <w:tcW w:w="1004" w:type="dxa"/>
            <w:tcBorders>
              <w:top w:val="single" w:sz="8" w:space="0" w:color="A6A6A6"/>
              <w:left w:val="nil"/>
              <w:bottom w:val="single" w:sz="8" w:space="0" w:color="A6A6A6"/>
              <w:right w:val="single" w:sz="8" w:space="0" w:color="A6A6A6"/>
            </w:tcBorders>
            <w:shd w:val="clear" w:color="000000" w:fill="A5C34C"/>
            <w:vAlign w:val="center"/>
            <w:hideMark/>
          </w:tcPr>
          <w:p w14:paraId="49E65F24"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Quota capoluogo</w:t>
            </w:r>
          </w:p>
        </w:tc>
        <w:tc>
          <w:tcPr>
            <w:tcW w:w="960" w:type="dxa"/>
            <w:tcBorders>
              <w:top w:val="single" w:sz="8" w:space="0" w:color="A6A6A6"/>
              <w:left w:val="nil"/>
              <w:bottom w:val="single" w:sz="8" w:space="0" w:color="A6A6A6"/>
              <w:right w:val="single" w:sz="8" w:space="0" w:color="A6A6A6"/>
            </w:tcBorders>
            <w:shd w:val="clear" w:color="000000" w:fill="A5C34C"/>
            <w:vAlign w:val="center"/>
            <w:hideMark/>
          </w:tcPr>
          <w:p w14:paraId="25DCCCEF"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Dislivello</w:t>
            </w:r>
          </w:p>
        </w:tc>
        <w:tc>
          <w:tcPr>
            <w:tcW w:w="1120" w:type="dxa"/>
            <w:tcBorders>
              <w:top w:val="single" w:sz="8" w:space="0" w:color="A6A6A6"/>
              <w:left w:val="nil"/>
              <w:bottom w:val="single" w:sz="8" w:space="0" w:color="A6A6A6"/>
              <w:right w:val="single" w:sz="8" w:space="0" w:color="A6A6A6"/>
            </w:tcBorders>
            <w:shd w:val="clear" w:color="000000" w:fill="A5C34C"/>
            <w:vAlign w:val="center"/>
            <w:hideMark/>
          </w:tcPr>
          <w:p w14:paraId="22AEB309"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Pop 2023</w:t>
            </w:r>
          </w:p>
        </w:tc>
        <w:tc>
          <w:tcPr>
            <w:tcW w:w="1120" w:type="dxa"/>
            <w:tcBorders>
              <w:top w:val="single" w:sz="8" w:space="0" w:color="A6A6A6"/>
              <w:left w:val="nil"/>
              <w:bottom w:val="single" w:sz="8" w:space="0" w:color="A6A6A6"/>
              <w:right w:val="single" w:sz="8" w:space="0" w:color="A6A6A6"/>
            </w:tcBorders>
            <w:shd w:val="clear" w:color="000000" w:fill="A5C34C"/>
            <w:vAlign w:val="center"/>
            <w:hideMark/>
          </w:tcPr>
          <w:p w14:paraId="23171B51"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Pop 11-84 anni 2023</w:t>
            </w:r>
          </w:p>
        </w:tc>
      </w:tr>
      <w:tr w:rsidR="00826A3D" w:rsidRPr="000C6009" w14:paraId="6D9ED62D"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64CFD7CB"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Albera Ligure</w:t>
            </w:r>
          </w:p>
        </w:tc>
        <w:tc>
          <w:tcPr>
            <w:tcW w:w="1004" w:type="dxa"/>
            <w:tcBorders>
              <w:top w:val="nil"/>
              <w:left w:val="nil"/>
              <w:bottom w:val="single" w:sz="8" w:space="0" w:color="A6A6A6"/>
              <w:right w:val="single" w:sz="8" w:space="0" w:color="A6A6A6"/>
            </w:tcBorders>
            <w:noWrap/>
            <w:vAlign w:val="center"/>
            <w:hideMark/>
          </w:tcPr>
          <w:p w14:paraId="14967AD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415</w:t>
            </w:r>
          </w:p>
        </w:tc>
        <w:tc>
          <w:tcPr>
            <w:tcW w:w="960" w:type="dxa"/>
            <w:tcBorders>
              <w:top w:val="nil"/>
              <w:left w:val="nil"/>
              <w:bottom w:val="single" w:sz="8" w:space="0" w:color="A6A6A6"/>
              <w:right w:val="single" w:sz="8" w:space="0" w:color="A6A6A6"/>
            </w:tcBorders>
            <w:noWrap/>
            <w:vAlign w:val="center"/>
            <w:hideMark/>
          </w:tcPr>
          <w:p w14:paraId="6BF23EE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1.180</w:t>
            </w:r>
          </w:p>
        </w:tc>
        <w:tc>
          <w:tcPr>
            <w:tcW w:w="1120" w:type="dxa"/>
            <w:tcBorders>
              <w:top w:val="nil"/>
              <w:left w:val="nil"/>
              <w:bottom w:val="single" w:sz="8" w:space="0" w:color="A6A6A6"/>
              <w:right w:val="single" w:sz="8" w:space="0" w:color="A6A6A6"/>
            </w:tcBorders>
            <w:noWrap/>
            <w:vAlign w:val="center"/>
            <w:hideMark/>
          </w:tcPr>
          <w:p w14:paraId="4763E66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303</w:t>
            </w:r>
          </w:p>
        </w:tc>
        <w:tc>
          <w:tcPr>
            <w:tcW w:w="1120" w:type="dxa"/>
            <w:tcBorders>
              <w:top w:val="nil"/>
              <w:left w:val="nil"/>
              <w:bottom w:val="single" w:sz="8" w:space="0" w:color="A6A6A6"/>
              <w:right w:val="single" w:sz="8" w:space="0" w:color="A6A6A6"/>
            </w:tcBorders>
            <w:noWrap/>
            <w:vAlign w:val="center"/>
            <w:hideMark/>
          </w:tcPr>
          <w:p w14:paraId="5E89F59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261</w:t>
            </w:r>
          </w:p>
        </w:tc>
      </w:tr>
      <w:tr w:rsidR="00826A3D" w:rsidRPr="000C6009" w14:paraId="7108C81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18B6B05"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Alice Bel Colle</w:t>
            </w:r>
          </w:p>
        </w:tc>
        <w:tc>
          <w:tcPr>
            <w:tcW w:w="1004" w:type="dxa"/>
            <w:tcBorders>
              <w:top w:val="nil"/>
              <w:left w:val="nil"/>
              <w:bottom w:val="single" w:sz="8" w:space="0" w:color="A6A6A6"/>
              <w:right w:val="single" w:sz="8" w:space="0" w:color="A6A6A6"/>
            </w:tcBorders>
            <w:noWrap/>
            <w:vAlign w:val="center"/>
            <w:hideMark/>
          </w:tcPr>
          <w:p w14:paraId="5C955D3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401</w:t>
            </w:r>
          </w:p>
        </w:tc>
        <w:tc>
          <w:tcPr>
            <w:tcW w:w="960" w:type="dxa"/>
            <w:tcBorders>
              <w:top w:val="nil"/>
              <w:left w:val="nil"/>
              <w:bottom w:val="single" w:sz="8" w:space="0" w:color="A6A6A6"/>
              <w:right w:val="single" w:sz="8" w:space="0" w:color="A6A6A6"/>
            </w:tcBorders>
            <w:noWrap/>
            <w:vAlign w:val="center"/>
            <w:hideMark/>
          </w:tcPr>
          <w:p w14:paraId="692686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238</w:t>
            </w:r>
          </w:p>
        </w:tc>
        <w:tc>
          <w:tcPr>
            <w:tcW w:w="1120" w:type="dxa"/>
            <w:tcBorders>
              <w:top w:val="nil"/>
              <w:left w:val="nil"/>
              <w:bottom w:val="single" w:sz="8" w:space="0" w:color="A6A6A6"/>
              <w:right w:val="single" w:sz="8" w:space="0" w:color="A6A6A6"/>
            </w:tcBorders>
            <w:noWrap/>
            <w:vAlign w:val="center"/>
            <w:hideMark/>
          </w:tcPr>
          <w:p w14:paraId="05F0F84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680</w:t>
            </w:r>
          </w:p>
        </w:tc>
        <w:tc>
          <w:tcPr>
            <w:tcW w:w="1120" w:type="dxa"/>
            <w:tcBorders>
              <w:top w:val="nil"/>
              <w:left w:val="nil"/>
              <w:bottom w:val="single" w:sz="8" w:space="0" w:color="A6A6A6"/>
              <w:right w:val="single" w:sz="8" w:space="0" w:color="A6A6A6"/>
            </w:tcBorders>
            <w:noWrap/>
            <w:vAlign w:val="center"/>
            <w:hideMark/>
          </w:tcPr>
          <w:p w14:paraId="0870F8E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594</w:t>
            </w:r>
          </w:p>
        </w:tc>
      </w:tr>
      <w:tr w:rsidR="00826A3D" w:rsidRPr="000C6009" w14:paraId="01427E2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8F04FC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Avolasca</w:t>
            </w:r>
          </w:p>
        </w:tc>
        <w:tc>
          <w:tcPr>
            <w:tcW w:w="1004" w:type="dxa"/>
            <w:tcBorders>
              <w:top w:val="nil"/>
              <w:left w:val="nil"/>
              <w:bottom w:val="single" w:sz="8" w:space="0" w:color="A6A6A6"/>
              <w:right w:val="single" w:sz="8" w:space="0" w:color="A6A6A6"/>
            </w:tcBorders>
            <w:noWrap/>
            <w:vAlign w:val="center"/>
            <w:hideMark/>
          </w:tcPr>
          <w:p w14:paraId="36324FA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414</w:t>
            </w:r>
          </w:p>
        </w:tc>
        <w:tc>
          <w:tcPr>
            <w:tcW w:w="960" w:type="dxa"/>
            <w:tcBorders>
              <w:top w:val="nil"/>
              <w:left w:val="nil"/>
              <w:bottom w:val="single" w:sz="8" w:space="0" w:color="A6A6A6"/>
              <w:right w:val="single" w:sz="8" w:space="0" w:color="A6A6A6"/>
            </w:tcBorders>
            <w:noWrap/>
            <w:vAlign w:val="center"/>
            <w:hideMark/>
          </w:tcPr>
          <w:p w14:paraId="43268DF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432</w:t>
            </w:r>
          </w:p>
        </w:tc>
        <w:tc>
          <w:tcPr>
            <w:tcW w:w="1120" w:type="dxa"/>
            <w:tcBorders>
              <w:top w:val="nil"/>
              <w:left w:val="nil"/>
              <w:bottom w:val="single" w:sz="8" w:space="0" w:color="A6A6A6"/>
              <w:right w:val="single" w:sz="8" w:space="0" w:color="A6A6A6"/>
            </w:tcBorders>
            <w:noWrap/>
            <w:vAlign w:val="center"/>
            <w:hideMark/>
          </w:tcPr>
          <w:p w14:paraId="3920FD7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258</w:t>
            </w:r>
          </w:p>
        </w:tc>
        <w:tc>
          <w:tcPr>
            <w:tcW w:w="1120" w:type="dxa"/>
            <w:tcBorders>
              <w:top w:val="nil"/>
              <w:left w:val="nil"/>
              <w:bottom w:val="single" w:sz="8" w:space="0" w:color="A6A6A6"/>
              <w:right w:val="single" w:sz="8" w:space="0" w:color="A6A6A6"/>
            </w:tcBorders>
            <w:noWrap/>
            <w:vAlign w:val="center"/>
            <w:hideMark/>
          </w:tcPr>
          <w:p w14:paraId="41A8BC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227</w:t>
            </w:r>
          </w:p>
        </w:tc>
      </w:tr>
      <w:tr w:rsidR="00826A3D" w:rsidRPr="000C6009" w14:paraId="67FEAF3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6EEDC886"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Bistagno</w:t>
            </w:r>
          </w:p>
        </w:tc>
        <w:tc>
          <w:tcPr>
            <w:tcW w:w="1004" w:type="dxa"/>
            <w:tcBorders>
              <w:top w:val="nil"/>
              <w:left w:val="nil"/>
              <w:bottom w:val="single" w:sz="8" w:space="0" w:color="A6A6A6"/>
              <w:right w:val="single" w:sz="8" w:space="0" w:color="A6A6A6"/>
            </w:tcBorders>
            <w:noWrap/>
            <w:vAlign w:val="center"/>
            <w:hideMark/>
          </w:tcPr>
          <w:p w14:paraId="3332A54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174</w:t>
            </w:r>
          </w:p>
        </w:tc>
        <w:tc>
          <w:tcPr>
            <w:tcW w:w="960" w:type="dxa"/>
            <w:tcBorders>
              <w:top w:val="nil"/>
              <w:left w:val="nil"/>
              <w:bottom w:val="single" w:sz="8" w:space="0" w:color="A6A6A6"/>
              <w:right w:val="single" w:sz="8" w:space="0" w:color="A6A6A6"/>
            </w:tcBorders>
            <w:noWrap/>
            <w:vAlign w:val="center"/>
            <w:hideMark/>
          </w:tcPr>
          <w:p w14:paraId="38FB900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318</w:t>
            </w:r>
          </w:p>
        </w:tc>
        <w:tc>
          <w:tcPr>
            <w:tcW w:w="1120" w:type="dxa"/>
            <w:tcBorders>
              <w:top w:val="nil"/>
              <w:left w:val="nil"/>
              <w:bottom w:val="single" w:sz="8" w:space="0" w:color="A6A6A6"/>
              <w:right w:val="single" w:sz="8" w:space="0" w:color="A6A6A6"/>
            </w:tcBorders>
            <w:noWrap/>
            <w:vAlign w:val="center"/>
            <w:hideMark/>
          </w:tcPr>
          <w:p w14:paraId="25D214D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1.748</w:t>
            </w:r>
          </w:p>
        </w:tc>
        <w:tc>
          <w:tcPr>
            <w:tcW w:w="1120" w:type="dxa"/>
            <w:tcBorders>
              <w:top w:val="nil"/>
              <w:left w:val="nil"/>
              <w:bottom w:val="single" w:sz="8" w:space="0" w:color="A6A6A6"/>
              <w:right w:val="single" w:sz="8" w:space="0" w:color="A6A6A6"/>
            </w:tcBorders>
            <w:noWrap/>
            <w:vAlign w:val="center"/>
            <w:hideMark/>
          </w:tcPr>
          <w:p w14:paraId="07767F4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1.560</w:t>
            </w:r>
          </w:p>
        </w:tc>
      </w:tr>
      <w:tr w:rsidR="00826A3D" w:rsidRPr="000C6009" w14:paraId="0FF7C5D0"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094058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Brignano-Frascata</w:t>
            </w:r>
          </w:p>
        </w:tc>
        <w:tc>
          <w:tcPr>
            <w:tcW w:w="1004" w:type="dxa"/>
            <w:tcBorders>
              <w:top w:val="nil"/>
              <w:left w:val="nil"/>
              <w:bottom w:val="single" w:sz="8" w:space="0" w:color="A6A6A6"/>
              <w:right w:val="single" w:sz="8" w:space="0" w:color="A6A6A6"/>
            </w:tcBorders>
            <w:noWrap/>
            <w:vAlign w:val="center"/>
            <w:hideMark/>
          </w:tcPr>
          <w:p w14:paraId="39A4E94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284</w:t>
            </w:r>
          </w:p>
        </w:tc>
        <w:tc>
          <w:tcPr>
            <w:tcW w:w="960" w:type="dxa"/>
            <w:tcBorders>
              <w:top w:val="nil"/>
              <w:left w:val="nil"/>
              <w:bottom w:val="single" w:sz="8" w:space="0" w:color="A6A6A6"/>
              <w:right w:val="single" w:sz="8" w:space="0" w:color="A6A6A6"/>
            </w:tcBorders>
            <w:noWrap/>
            <w:vAlign w:val="center"/>
            <w:hideMark/>
          </w:tcPr>
          <w:p w14:paraId="06953AF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430</w:t>
            </w:r>
          </w:p>
        </w:tc>
        <w:tc>
          <w:tcPr>
            <w:tcW w:w="1120" w:type="dxa"/>
            <w:tcBorders>
              <w:top w:val="nil"/>
              <w:left w:val="nil"/>
              <w:bottom w:val="single" w:sz="8" w:space="0" w:color="A6A6A6"/>
              <w:right w:val="single" w:sz="8" w:space="0" w:color="A6A6A6"/>
            </w:tcBorders>
            <w:noWrap/>
            <w:vAlign w:val="center"/>
            <w:hideMark/>
          </w:tcPr>
          <w:p w14:paraId="2603826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423</w:t>
            </w:r>
          </w:p>
        </w:tc>
        <w:tc>
          <w:tcPr>
            <w:tcW w:w="1120" w:type="dxa"/>
            <w:tcBorders>
              <w:top w:val="nil"/>
              <w:left w:val="nil"/>
              <w:bottom w:val="single" w:sz="8" w:space="0" w:color="A6A6A6"/>
              <w:right w:val="single" w:sz="8" w:space="0" w:color="A6A6A6"/>
            </w:tcBorders>
            <w:noWrap/>
            <w:vAlign w:val="center"/>
            <w:hideMark/>
          </w:tcPr>
          <w:p w14:paraId="6FAE622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371</w:t>
            </w:r>
          </w:p>
        </w:tc>
      </w:tr>
      <w:tr w:rsidR="00826A3D" w:rsidRPr="000C6009" w14:paraId="65F829B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2F6C8206"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Cabella Ligure</w:t>
            </w:r>
          </w:p>
        </w:tc>
        <w:tc>
          <w:tcPr>
            <w:tcW w:w="1004" w:type="dxa"/>
            <w:tcBorders>
              <w:top w:val="nil"/>
              <w:left w:val="nil"/>
              <w:bottom w:val="single" w:sz="8" w:space="0" w:color="A6A6A6"/>
              <w:right w:val="single" w:sz="8" w:space="0" w:color="A6A6A6"/>
            </w:tcBorders>
            <w:noWrap/>
            <w:vAlign w:val="center"/>
            <w:hideMark/>
          </w:tcPr>
          <w:p w14:paraId="70C4E24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486</w:t>
            </w:r>
          </w:p>
        </w:tc>
        <w:tc>
          <w:tcPr>
            <w:tcW w:w="960" w:type="dxa"/>
            <w:tcBorders>
              <w:top w:val="nil"/>
              <w:left w:val="nil"/>
              <w:bottom w:val="single" w:sz="8" w:space="0" w:color="A6A6A6"/>
              <w:right w:val="single" w:sz="8" w:space="0" w:color="A6A6A6"/>
            </w:tcBorders>
            <w:noWrap/>
            <w:vAlign w:val="center"/>
            <w:hideMark/>
          </w:tcPr>
          <w:p w14:paraId="4C292C7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1.260</w:t>
            </w:r>
          </w:p>
        </w:tc>
        <w:tc>
          <w:tcPr>
            <w:tcW w:w="1120" w:type="dxa"/>
            <w:tcBorders>
              <w:top w:val="nil"/>
              <w:left w:val="nil"/>
              <w:bottom w:val="single" w:sz="8" w:space="0" w:color="A6A6A6"/>
              <w:right w:val="single" w:sz="8" w:space="0" w:color="A6A6A6"/>
            </w:tcBorders>
            <w:noWrap/>
            <w:vAlign w:val="center"/>
            <w:hideMark/>
          </w:tcPr>
          <w:p w14:paraId="629C6C8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468</w:t>
            </w:r>
          </w:p>
        </w:tc>
        <w:tc>
          <w:tcPr>
            <w:tcW w:w="1120" w:type="dxa"/>
            <w:tcBorders>
              <w:top w:val="nil"/>
              <w:left w:val="nil"/>
              <w:bottom w:val="single" w:sz="8" w:space="0" w:color="A6A6A6"/>
              <w:right w:val="single" w:sz="8" w:space="0" w:color="A6A6A6"/>
            </w:tcBorders>
            <w:noWrap/>
            <w:vAlign w:val="center"/>
            <w:hideMark/>
          </w:tcPr>
          <w:p w14:paraId="25FC954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408</w:t>
            </w:r>
          </w:p>
        </w:tc>
      </w:tr>
      <w:tr w:rsidR="00826A3D" w:rsidRPr="000C6009" w14:paraId="2DCC94F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C648E7E"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Calamandrana</w:t>
            </w:r>
          </w:p>
        </w:tc>
        <w:tc>
          <w:tcPr>
            <w:tcW w:w="1004" w:type="dxa"/>
            <w:tcBorders>
              <w:top w:val="nil"/>
              <w:left w:val="nil"/>
              <w:bottom w:val="single" w:sz="8" w:space="0" w:color="A6A6A6"/>
              <w:right w:val="single" w:sz="8" w:space="0" w:color="A6A6A6"/>
            </w:tcBorders>
            <w:noWrap/>
            <w:vAlign w:val="center"/>
            <w:hideMark/>
          </w:tcPr>
          <w:p w14:paraId="38BB692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153</w:t>
            </w:r>
          </w:p>
        </w:tc>
        <w:tc>
          <w:tcPr>
            <w:tcW w:w="960" w:type="dxa"/>
            <w:tcBorders>
              <w:top w:val="nil"/>
              <w:left w:val="nil"/>
              <w:bottom w:val="single" w:sz="8" w:space="0" w:color="A6A6A6"/>
              <w:right w:val="single" w:sz="8" w:space="0" w:color="A6A6A6"/>
            </w:tcBorders>
            <w:noWrap/>
            <w:vAlign w:val="center"/>
            <w:hideMark/>
          </w:tcPr>
          <w:p w14:paraId="08BD5D2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227</w:t>
            </w:r>
          </w:p>
        </w:tc>
        <w:tc>
          <w:tcPr>
            <w:tcW w:w="1120" w:type="dxa"/>
            <w:tcBorders>
              <w:top w:val="nil"/>
              <w:left w:val="nil"/>
              <w:bottom w:val="single" w:sz="8" w:space="0" w:color="A6A6A6"/>
              <w:right w:val="single" w:sz="8" w:space="0" w:color="A6A6A6"/>
            </w:tcBorders>
            <w:noWrap/>
            <w:vAlign w:val="center"/>
            <w:hideMark/>
          </w:tcPr>
          <w:p w14:paraId="63AC4BA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1.654</w:t>
            </w:r>
          </w:p>
        </w:tc>
        <w:tc>
          <w:tcPr>
            <w:tcW w:w="1120" w:type="dxa"/>
            <w:tcBorders>
              <w:top w:val="nil"/>
              <w:left w:val="nil"/>
              <w:bottom w:val="single" w:sz="8" w:space="0" w:color="A6A6A6"/>
              <w:right w:val="single" w:sz="8" w:space="0" w:color="A6A6A6"/>
            </w:tcBorders>
            <w:noWrap/>
            <w:vAlign w:val="center"/>
            <w:hideMark/>
          </w:tcPr>
          <w:p w14:paraId="63E0453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1.450</w:t>
            </w:r>
          </w:p>
        </w:tc>
      </w:tr>
      <w:tr w:rsidR="00826A3D" w:rsidRPr="000C6009" w14:paraId="58FEC3A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C7AB759"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Calosso</w:t>
            </w:r>
          </w:p>
        </w:tc>
        <w:tc>
          <w:tcPr>
            <w:tcW w:w="1004" w:type="dxa"/>
            <w:tcBorders>
              <w:top w:val="nil"/>
              <w:left w:val="nil"/>
              <w:bottom w:val="single" w:sz="8" w:space="0" w:color="A6A6A6"/>
              <w:right w:val="single" w:sz="8" w:space="0" w:color="A6A6A6"/>
            </w:tcBorders>
            <w:noWrap/>
            <w:vAlign w:val="center"/>
            <w:hideMark/>
          </w:tcPr>
          <w:p w14:paraId="2AD883F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384</w:t>
            </w:r>
          </w:p>
        </w:tc>
        <w:tc>
          <w:tcPr>
            <w:tcW w:w="960" w:type="dxa"/>
            <w:tcBorders>
              <w:top w:val="nil"/>
              <w:left w:val="nil"/>
              <w:bottom w:val="single" w:sz="8" w:space="0" w:color="A6A6A6"/>
              <w:right w:val="single" w:sz="8" w:space="0" w:color="A6A6A6"/>
            </w:tcBorders>
            <w:noWrap/>
            <w:vAlign w:val="center"/>
            <w:hideMark/>
          </w:tcPr>
          <w:p w14:paraId="4F4C2C4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247</w:t>
            </w:r>
          </w:p>
        </w:tc>
        <w:tc>
          <w:tcPr>
            <w:tcW w:w="1120" w:type="dxa"/>
            <w:tcBorders>
              <w:top w:val="nil"/>
              <w:left w:val="nil"/>
              <w:bottom w:val="single" w:sz="8" w:space="0" w:color="A6A6A6"/>
              <w:right w:val="single" w:sz="8" w:space="0" w:color="A6A6A6"/>
            </w:tcBorders>
            <w:noWrap/>
            <w:vAlign w:val="center"/>
            <w:hideMark/>
          </w:tcPr>
          <w:p w14:paraId="384C199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1.120</w:t>
            </w:r>
          </w:p>
        </w:tc>
        <w:tc>
          <w:tcPr>
            <w:tcW w:w="1120" w:type="dxa"/>
            <w:tcBorders>
              <w:top w:val="nil"/>
              <w:left w:val="nil"/>
              <w:bottom w:val="single" w:sz="8" w:space="0" w:color="A6A6A6"/>
              <w:right w:val="single" w:sz="8" w:space="0" w:color="A6A6A6"/>
            </w:tcBorders>
            <w:noWrap/>
            <w:vAlign w:val="center"/>
            <w:hideMark/>
          </w:tcPr>
          <w:p w14:paraId="5A7F196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971</w:t>
            </w:r>
          </w:p>
        </w:tc>
      </w:tr>
      <w:tr w:rsidR="00826A3D" w:rsidRPr="000C6009" w14:paraId="087BD79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0A40CA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Cantalupo Ligure</w:t>
            </w:r>
          </w:p>
        </w:tc>
        <w:tc>
          <w:tcPr>
            <w:tcW w:w="1004" w:type="dxa"/>
            <w:tcBorders>
              <w:top w:val="nil"/>
              <w:left w:val="nil"/>
              <w:bottom w:val="single" w:sz="8" w:space="0" w:color="A6A6A6"/>
              <w:right w:val="single" w:sz="8" w:space="0" w:color="A6A6A6"/>
            </w:tcBorders>
            <w:noWrap/>
            <w:vAlign w:val="center"/>
            <w:hideMark/>
          </w:tcPr>
          <w:p w14:paraId="7086EEC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373</w:t>
            </w:r>
          </w:p>
        </w:tc>
        <w:tc>
          <w:tcPr>
            <w:tcW w:w="960" w:type="dxa"/>
            <w:tcBorders>
              <w:top w:val="nil"/>
              <w:left w:val="nil"/>
              <w:bottom w:val="single" w:sz="8" w:space="0" w:color="A6A6A6"/>
              <w:right w:val="single" w:sz="8" w:space="0" w:color="A6A6A6"/>
            </w:tcBorders>
            <w:noWrap/>
            <w:vAlign w:val="center"/>
            <w:hideMark/>
          </w:tcPr>
          <w:p w14:paraId="0382853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1.051</w:t>
            </w:r>
          </w:p>
        </w:tc>
        <w:tc>
          <w:tcPr>
            <w:tcW w:w="1120" w:type="dxa"/>
            <w:tcBorders>
              <w:top w:val="nil"/>
              <w:left w:val="nil"/>
              <w:bottom w:val="single" w:sz="8" w:space="0" w:color="A6A6A6"/>
              <w:right w:val="single" w:sz="8" w:space="0" w:color="A6A6A6"/>
            </w:tcBorders>
            <w:noWrap/>
            <w:vAlign w:val="center"/>
            <w:hideMark/>
          </w:tcPr>
          <w:p w14:paraId="413E12E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445</w:t>
            </w:r>
          </w:p>
        </w:tc>
        <w:tc>
          <w:tcPr>
            <w:tcW w:w="1120" w:type="dxa"/>
            <w:tcBorders>
              <w:top w:val="nil"/>
              <w:left w:val="nil"/>
              <w:bottom w:val="single" w:sz="8" w:space="0" w:color="A6A6A6"/>
              <w:right w:val="single" w:sz="8" w:space="0" w:color="A6A6A6"/>
            </w:tcBorders>
            <w:noWrap/>
            <w:vAlign w:val="center"/>
            <w:hideMark/>
          </w:tcPr>
          <w:p w14:paraId="05682C6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378</w:t>
            </w:r>
          </w:p>
        </w:tc>
      </w:tr>
      <w:tr w:rsidR="00826A3D" w:rsidRPr="000C6009" w14:paraId="2CDA899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20983F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Carpeneto</w:t>
            </w:r>
          </w:p>
        </w:tc>
        <w:tc>
          <w:tcPr>
            <w:tcW w:w="1004" w:type="dxa"/>
            <w:tcBorders>
              <w:top w:val="nil"/>
              <w:left w:val="nil"/>
              <w:bottom w:val="single" w:sz="8" w:space="0" w:color="A6A6A6"/>
              <w:right w:val="single" w:sz="8" w:space="0" w:color="A6A6A6"/>
            </w:tcBorders>
            <w:noWrap/>
            <w:vAlign w:val="center"/>
            <w:hideMark/>
          </w:tcPr>
          <w:p w14:paraId="121917C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329</w:t>
            </w:r>
          </w:p>
        </w:tc>
        <w:tc>
          <w:tcPr>
            <w:tcW w:w="960" w:type="dxa"/>
            <w:tcBorders>
              <w:top w:val="nil"/>
              <w:left w:val="nil"/>
              <w:bottom w:val="single" w:sz="8" w:space="0" w:color="A6A6A6"/>
              <w:right w:val="single" w:sz="8" w:space="0" w:color="A6A6A6"/>
            </w:tcBorders>
            <w:noWrap/>
            <w:vAlign w:val="center"/>
            <w:hideMark/>
          </w:tcPr>
          <w:p w14:paraId="67B17D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146</w:t>
            </w:r>
          </w:p>
        </w:tc>
        <w:tc>
          <w:tcPr>
            <w:tcW w:w="1120" w:type="dxa"/>
            <w:tcBorders>
              <w:top w:val="nil"/>
              <w:left w:val="nil"/>
              <w:bottom w:val="single" w:sz="8" w:space="0" w:color="A6A6A6"/>
              <w:right w:val="single" w:sz="8" w:space="0" w:color="A6A6A6"/>
            </w:tcBorders>
            <w:noWrap/>
            <w:vAlign w:val="center"/>
            <w:hideMark/>
          </w:tcPr>
          <w:p w14:paraId="1F16C36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889</w:t>
            </w:r>
          </w:p>
        </w:tc>
        <w:tc>
          <w:tcPr>
            <w:tcW w:w="1120" w:type="dxa"/>
            <w:tcBorders>
              <w:top w:val="nil"/>
              <w:left w:val="nil"/>
              <w:bottom w:val="single" w:sz="8" w:space="0" w:color="A6A6A6"/>
              <w:right w:val="single" w:sz="8" w:space="0" w:color="A6A6A6"/>
            </w:tcBorders>
            <w:noWrap/>
            <w:vAlign w:val="center"/>
            <w:hideMark/>
          </w:tcPr>
          <w:p w14:paraId="4751EC1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814</w:t>
            </w:r>
          </w:p>
        </w:tc>
      </w:tr>
      <w:tr w:rsidR="00826A3D" w:rsidRPr="000C6009" w14:paraId="16DCF019"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6DC5265"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Carrega Ligure</w:t>
            </w:r>
          </w:p>
        </w:tc>
        <w:tc>
          <w:tcPr>
            <w:tcW w:w="1004" w:type="dxa"/>
            <w:tcBorders>
              <w:top w:val="nil"/>
              <w:left w:val="nil"/>
              <w:bottom w:val="single" w:sz="8" w:space="0" w:color="A6A6A6"/>
              <w:right w:val="single" w:sz="8" w:space="0" w:color="A6A6A6"/>
            </w:tcBorders>
            <w:noWrap/>
            <w:vAlign w:val="center"/>
            <w:hideMark/>
          </w:tcPr>
          <w:p w14:paraId="5D51DAE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941</w:t>
            </w:r>
          </w:p>
        </w:tc>
        <w:tc>
          <w:tcPr>
            <w:tcW w:w="960" w:type="dxa"/>
            <w:tcBorders>
              <w:top w:val="nil"/>
              <w:left w:val="nil"/>
              <w:bottom w:val="single" w:sz="8" w:space="0" w:color="A6A6A6"/>
              <w:right w:val="single" w:sz="8" w:space="0" w:color="A6A6A6"/>
            </w:tcBorders>
            <w:noWrap/>
            <w:vAlign w:val="center"/>
            <w:hideMark/>
          </w:tcPr>
          <w:p w14:paraId="2847FDE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1.124</w:t>
            </w:r>
          </w:p>
        </w:tc>
        <w:tc>
          <w:tcPr>
            <w:tcW w:w="1120" w:type="dxa"/>
            <w:tcBorders>
              <w:top w:val="nil"/>
              <w:left w:val="nil"/>
              <w:bottom w:val="single" w:sz="8" w:space="0" w:color="A6A6A6"/>
              <w:right w:val="single" w:sz="8" w:space="0" w:color="A6A6A6"/>
            </w:tcBorders>
            <w:noWrap/>
            <w:vAlign w:val="center"/>
            <w:hideMark/>
          </w:tcPr>
          <w:p w14:paraId="6CE457E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86</w:t>
            </w:r>
          </w:p>
        </w:tc>
        <w:tc>
          <w:tcPr>
            <w:tcW w:w="1120" w:type="dxa"/>
            <w:tcBorders>
              <w:top w:val="nil"/>
              <w:left w:val="nil"/>
              <w:bottom w:val="single" w:sz="8" w:space="0" w:color="A6A6A6"/>
              <w:right w:val="single" w:sz="8" w:space="0" w:color="A6A6A6"/>
            </w:tcBorders>
            <w:noWrap/>
            <w:vAlign w:val="center"/>
            <w:hideMark/>
          </w:tcPr>
          <w:p w14:paraId="0F0D936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73</w:t>
            </w:r>
          </w:p>
        </w:tc>
      </w:tr>
      <w:tr w:rsidR="00826A3D" w:rsidRPr="000C6009" w14:paraId="01EF627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4F3B77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Cartosio</w:t>
            </w:r>
          </w:p>
        </w:tc>
        <w:tc>
          <w:tcPr>
            <w:tcW w:w="1004" w:type="dxa"/>
            <w:tcBorders>
              <w:top w:val="nil"/>
              <w:left w:val="nil"/>
              <w:bottom w:val="single" w:sz="8" w:space="0" w:color="A6A6A6"/>
              <w:right w:val="single" w:sz="8" w:space="0" w:color="A6A6A6"/>
            </w:tcBorders>
            <w:noWrap/>
            <w:vAlign w:val="center"/>
            <w:hideMark/>
          </w:tcPr>
          <w:p w14:paraId="04D2158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228</w:t>
            </w:r>
          </w:p>
        </w:tc>
        <w:tc>
          <w:tcPr>
            <w:tcW w:w="960" w:type="dxa"/>
            <w:tcBorders>
              <w:top w:val="nil"/>
              <w:left w:val="nil"/>
              <w:bottom w:val="single" w:sz="8" w:space="0" w:color="A6A6A6"/>
              <w:right w:val="single" w:sz="8" w:space="0" w:color="A6A6A6"/>
            </w:tcBorders>
            <w:noWrap/>
            <w:vAlign w:val="center"/>
            <w:hideMark/>
          </w:tcPr>
          <w:p w14:paraId="0A9129A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331</w:t>
            </w:r>
          </w:p>
        </w:tc>
        <w:tc>
          <w:tcPr>
            <w:tcW w:w="1120" w:type="dxa"/>
            <w:tcBorders>
              <w:top w:val="nil"/>
              <w:left w:val="nil"/>
              <w:bottom w:val="single" w:sz="8" w:space="0" w:color="A6A6A6"/>
              <w:right w:val="single" w:sz="8" w:space="0" w:color="A6A6A6"/>
            </w:tcBorders>
            <w:noWrap/>
            <w:vAlign w:val="center"/>
            <w:hideMark/>
          </w:tcPr>
          <w:p w14:paraId="7DF788F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724</w:t>
            </w:r>
          </w:p>
        </w:tc>
        <w:tc>
          <w:tcPr>
            <w:tcW w:w="1120" w:type="dxa"/>
            <w:tcBorders>
              <w:top w:val="nil"/>
              <w:left w:val="nil"/>
              <w:bottom w:val="single" w:sz="8" w:space="0" w:color="A6A6A6"/>
              <w:right w:val="single" w:sz="8" w:space="0" w:color="A6A6A6"/>
            </w:tcBorders>
            <w:noWrap/>
            <w:vAlign w:val="center"/>
            <w:hideMark/>
          </w:tcPr>
          <w:p w14:paraId="1C4E466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644</w:t>
            </w:r>
          </w:p>
        </w:tc>
      </w:tr>
      <w:tr w:rsidR="00826A3D" w:rsidRPr="000C6009" w14:paraId="232E0D19"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7A0430B"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Casasco</w:t>
            </w:r>
          </w:p>
        </w:tc>
        <w:tc>
          <w:tcPr>
            <w:tcW w:w="1004" w:type="dxa"/>
            <w:tcBorders>
              <w:top w:val="nil"/>
              <w:left w:val="nil"/>
              <w:bottom w:val="single" w:sz="8" w:space="0" w:color="A6A6A6"/>
              <w:right w:val="single" w:sz="8" w:space="0" w:color="A6A6A6"/>
            </w:tcBorders>
            <w:noWrap/>
            <w:vAlign w:val="center"/>
            <w:hideMark/>
          </w:tcPr>
          <w:p w14:paraId="3A38ED7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386</w:t>
            </w:r>
          </w:p>
        </w:tc>
        <w:tc>
          <w:tcPr>
            <w:tcW w:w="960" w:type="dxa"/>
            <w:tcBorders>
              <w:top w:val="nil"/>
              <w:left w:val="nil"/>
              <w:bottom w:val="single" w:sz="8" w:space="0" w:color="A6A6A6"/>
              <w:right w:val="single" w:sz="8" w:space="0" w:color="A6A6A6"/>
            </w:tcBorders>
            <w:noWrap/>
            <w:vAlign w:val="center"/>
            <w:hideMark/>
          </w:tcPr>
          <w:p w14:paraId="34FAD15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254</w:t>
            </w:r>
          </w:p>
        </w:tc>
        <w:tc>
          <w:tcPr>
            <w:tcW w:w="1120" w:type="dxa"/>
            <w:tcBorders>
              <w:top w:val="nil"/>
              <w:left w:val="nil"/>
              <w:bottom w:val="single" w:sz="8" w:space="0" w:color="A6A6A6"/>
              <w:right w:val="single" w:sz="8" w:space="0" w:color="A6A6A6"/>
            </w:tcBorders>
            <w:noWrap/>
            <w:vAlign w:val="center"/>
            <w:hideMark/>
          </w:tcPr>
          <w:p w14:paraId="153E9C2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114</w:t>
            </w:r>
          </w:p>
        </w:tc>
        <w:tc>
          <w:tcPr>
            <w:tcW w:w="1120" w:type="dxa"/>
            <w:tcBorders>
              <w:top w:val="nil"/>
              <w:left w:val="nil"/>
              <w:bottom w:val="single" w:sz="8" w:space="0" w:color="A6A6A6"/>
              <w:right w:val="single" w:sz="8" w:space="0" w:color="A6A6A6"/>
            </w:tcBorders>
            <w:noWrap/>
            <w:vAlign w:val="center"/>
            <w:hideMark/>
          </w:tcPr>
          <w:p w14:paraId="1DFA377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96</w:t>
            </w:r>
          </w:p>
        </w:tc>
      </w:tr>
      <w:tr w:rsidR="00826A3D" w:rsidRPr="000C6009" w14:paraId="7A19D76A"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8B93526"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Cassinasco</w:t>
            </w:r>
          </w:p>
        </w:tc>
        <w:tc>
          <w:tcPr>
            <w:tcW w:w="1004" w:type="dxa"/>
            <w:tcBorders>
              <w:top w:val="nil"/>
              <w:left w:val="nil"/>
              <w:bottom w:val="single" w:sz="8" w:space="0" w:color="A6A6A6"/>
              <w:right w:val="single" w:sz="8" w:space="0" w:color="A6A6A6"/>
            </w:tcBorders>
            <w:noWrap/>
            <w:vAlign w:val="center"/>
            <w:hideMark/>
          </w:tcPr>
          <w:p w14:paraId="3438CE1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428</w:t>
            </w:r>
          </w:p>
        </w:tc>
        <w:tc>
          <w:tcPr>
            <w:tcW w:w="960" w:type="dxa"/>
            <w:tcBorders>
              <w:top w:val="nil"/>
              <w:left w:val="nil"/>
              <w:bottom w:val="single" w:sz="8" w:space="0" w:color="A6A6A6"/>
              <w:right w:val="single" w:sz="8" w:space="0" w:color="A6A6A6"/>
            </w:tcBorders>
            <w:noWrap/>
            <w:vAlign w:val="center"/>
            <w:hideMark/>
          </w:tcPr>
          <w:p w14:paraId="0246452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341</w:t>
            </w:r>
          </w:p>
        </w:tc>
        <w:tc>
          <w:tcPr>
            <w:tcW w:w="1120" w:type="dxa"/>
            <w:tcBorders>
              <w:top w:val="nil"/>
              <w:left w:val="nil"/>
              <w:bottom w:val="single" w:sz="8" w:space="0" w:color="A6A6A6"/>
              <w:right w:val="single" w:sz="8" w:space="0" w:color="A6A6A6"/>
            </w:tcBorders>
            <w:noWrap/>
            <w:vAlign w:val="center"/>
            <w:hideMark/>
          </w:tcPr>
          <w:p w14:paraId="5CD7E75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558</w:t>
            </w:r>
          </w:p>
        </w:tc>
        <w:tc>
          <w:tcPr>
            <w:tcW w:w="1120" w:type="dxa"/>
            <w:tcBorders>
              <w:top w:val="nil"/>
              <w:left w:val="nil"/>
              <w:bottom w:val="single" w:sz="8" w:space="0" w:color="A6A6A6"/>
              <w:right w:val="single" w:sz="8" w:space="0" w:color="A6A6A6"/>
            </w:tcBorders>
            <w:noWrap/>
            <w:vAlign w:val="center"/>
            <w:hideMark/>
          </w:tcPr>
          <w:p w14:paraId="61D316A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489</w:t>
            </w:r>
          </w:p>
        </w:tc>
      </w:tr>
      <w:tr w:rsidR="00826A3D" w:rsidRPr="000C6009" w14:paraId="29DCC3EB"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C6A054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Cassinelle</w:t>
            </w:r>
          </w:p>
        </w:tc>
        <w:tc>
          <w:tcPr>
            <w:tcW w:w="1004" w:type="dxa"/>
            <w:tcBorders>
              <w:top w:val="nil"/>
              <w:left w:val="nil"/>
              <w:bottom w:val="single" w:sz="8" w:space="0" w:color="A6A6A6"/>
              <w:right w:val="single" w:sz="8" w:space="0" w:color="A6A6A6"/>
            </w:tcBorders>
            <w:noWrap/>
            <w:vAlign w:val="center"/>
            <w:hideMark/>
          </w:tcPr>
          <w:p w14:paraId="1A5953B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358</w:t>
            </w:r>
          </w:p>
        </w:tc>
        <w:tc>
          <w:tcPr>
            <w:tcW w:w="960" w:type="dxa"/>
            <w:tcBorders>
              <w:top w:val="nil"/>
              <w:left w:val="nil"/>
              <w:bottom w:val="single" w:sz="8" w:space="0" w:color="A6A6A6"/>
              <w:right w:val="single" w:sz="8" w:space="0" w:color="A6A6A6"/>
            </w:tcBorders>
            <w:noWrap/>
            <w:vAlign w:val="center"/>
            <w:hideMark/>
          </w:tcPr>
          <w:p w14:paraId="6FEDE5B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609</w:t>
            </w:r>
          </w:p>
        </w:tc>
        <w:tc>
          <w:tcPr>
            <w:tcW w:w="1120" w:type="dxa"/>
            <w:tcBorders>
              <w:top w:val="nil"/>
              <w:left w:val="nil"/>
              <w:bottom w:val="single" w:sz="8" w:space="0" w:color="A6A6A6"/>
              <w:right w:val="single" w:sz="8" w:space="0" w:color="A6A6A6"/>
            </w:tcBorders>
            <w:noWrap/>
            <w:vAlign w:val="center"/>
            <w:hideMark/>
          </w:tcPr>
          <w:p w14:paraId="149304A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868</w:t>
            </w:r>
          </w:p>
        </w:tc>
        <w:tc>
          <w:tcPr>
            <w:tcW w:w="1120" w:type="dxa"/>
            <w:tcBorders>
              <w:top w:val="nil"/>
              <w:left w:val="nil"/>
              <w:bottom w:val="single" w:sz="8" w:space="0" w:color="A6A6A6"/>
              <w:right w:val="single" w:sz="8" w:space="0" w:color="A6A6A6"/>
            </w:tcBorders>
            <w:noWrap/>
            <w:vAlign w:val="center"/>
            <w:hideMark/>
          </w:tcPr>
          <w:p w14:paraId="6725A2A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771</w:t>
            </w:r>
          </w:p>
        </w:tc>
      </w:tr>
      <w:tr w:rsidR="00826A3D" w:rsidRPr="000C6009" w14:paraId="12120C84"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554E883"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Castel Boglione</w:t>
            </w:r>
          </w:p>
        </w:tc>
        <w:tc>
          <w:tcPr>
            <w:tcW w:w="1004" w:type="dxa"/>
            <w:tcBorders>
              <w:top w:val="nil"/>
              <w:left w:val="nil"/>
              <w:bottom w:val="single" w:sz="8" w:space="0" w:color="A6A6A6"/>
              <w:right w:val="single" w:sz="8" w:space="0" w:color="A6A6A6"/>
            </w:tcBorders>
            <w:noWrap/>
            <w:vAlign w:val="center"/>
            <w:hideMark/>
          </w:tcPr>
          <w:p w14:paraId="7568B0C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266</w:t>
            </w:r>
          </w:p>
        </w:tc>
        <w:tc>
          <w:tcPr>
            <w:tcW w:w="960" w:type="dxa"/>
            <w:tcBorders>
              <w:top w:val="nil"/>
              <w:left w:val="nil"/>
              <w:bottom w:val="single" w:sz="8" w:space="0" w:color="A6A6A6"/>
              <w:right w:val="single" w:sz="8" w:space="0" w:color="A6A6A6"/>
            </w:tcBorders>
            <w:noWrap/>
            <w:vAlign w:val="center"/>
            <w:hideMark/>
          </w:tcPr>
          <w:p w14:paraId="4C5264D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306</w:t>
            </w:r>
          </w:p>
        </w:tc>
        <w:tc>
          <w:tcPr>
            <w:tcW w:w="1120" w:type="dxa"/>
            <w:tcBorders>
              <w:top w:val="nil"/>
              <w:left w:val="nil"/>
              <w:bottom w:val="single" w:sz="8" w:space="0" w:color="A6A6A6"/>
              <w:right w:val="single" w:sz="8" w:space="0" w:color="A6A6A6"/>
            </w:tcBorders>
            <w:noWrap/>
            <w:vAlign w:val="center"/>
            <w:hideMark/>
          </w:tcPr>
          <w:p w14:paraId="0FF3358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581</w:t>
            </w:r>
          </w:p>
        </w:tc>
        <w:tc>
          <w:tcPr>
            <w:tcW w:w="1120" w:type="dxa"/>
            <w:tcBorders>
              <w:top w:val="nil"/>
              <w:left w:val="nil"/>
              <w:bottom w:val="single" w:sz="8" w:space="0" w:color="A6A6A6"/>
              <w:right w:val="single" w:sz="8" w:space="0" w:color="A6A6A6"/>
            </w:tcBorders>
            <w:noWrap/>
            <w:vAlign w:val="center"/>
            <w:hideMark/>
          </w:tcPr>
          <w:p w14:paraId="0059DA2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513</w:t>
            </w:r>
          </w:p>
        </w:tc>
      </w:tr>
      <w:tr w:rsidR="00826A3D" w:rsidRPr="000C6009" w14:paraId="70A49546"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976E65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Castelletto d'Erro</w:t>
            </w:r>
          </w:p>
        </w:tc>
        <w:tc>
          <w:tcPr>
            <w:tcW w:w="1004" w:type="dxa"/>
            <w:tcBorders>
              <w:top w:val="nil"/>
              <w:left w:val="nil"/>
              <w:bottom w:val="single" w:sz="8" w:space="0" w:color="A6A6A6"/>
              <w:right w:val="single" w:sz="8" w:space="0" w:color="A6A6A6"/>
            </w:tcBorders>
            <w:noWrap/>
            <w:vAlign w:val="center"/>
            <w:hideMark/>
          </w:tcPr>
          <w:p w14:paraId="416F7D4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527</w:t>
            </w:r>
          </w:p>
        </w:tc>
        <w:tc>
          <w:tcPr>
            <w:tcW w:w="960" w:type="dxa"/>
            <w:tcBorders>
              <w:top w:val="nil"/>
              <w:left w:val="nil"/>
              <w:bottom w:val="single" w:sz="8" w:space="0" w:color="A6A6A6"/>
              <w:right w:val="single" w:sz="8" w:space="0" w:color="A6A6A6"/>
            </w:tcBorders>
            <w:noWrap/>
            <w:vAlign w:val="center"/>
            <w:hideMark/>
          </w:tcPr>
          <w:p w14:paraId="6D2567B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324</w:t>
            </w:r>
          </w:p>
        </w:tc>
        <w:tc>
          <w:tcPr>
            <w:tcW w:w="1120" w:type="dxa"/>
            <w:tcBorders>
              <w:top w:val="nil"/>
              <w:left w:val="nil"/>
              <w:bottom w:val="single" w:sz="8" w:space="0" w:color="A6A6A6"/>
              <w:right w:val="single" w:sz="8" w:space="0" w:color="A6A6A6"/>
            </w:tcBorders>
            <w:noWrap/>
            <w:vAlign w:val="center"/>
            <w:hideMark/>
          </w:tcPr>
          <w:p w14:paraId="4F08419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130</w:t>
            </w:r>
          </w:p>
        </w:tc>
        <w:tc>
          <w:tcPr>
            <w:tcW w:w="1120" w:type="dxa"/>
            <w:tcBorders>
              <w:top w:val="nil"/>
              <w:left w:val="nil"/>
              <w:bottom w:val="single" w:sz="8" w:space="0" w:color="A6A6A6"/>
              <w:right w:val="single" w:sz="8" w:space="0" w:color="A6A6A6"/>
            </w:tcBorders>
            <w:noWrap/>
            <w:vAlign w:val="center"/>
            <w:hideMark/>
          </w:tcPr>
          <w:p w14:paraId="0AC9894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114</w:t>
            </w:r>
          </w:p>
        </w:tc>
      </w:tr>
      <w:tr w:rsidR="00826A3D" w:rsidRPr="000C6009" w14:paraId="30803C14"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4FFA3E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Castelletto Merli</w:t>
            </w:r>
          </w:p>
        </w:tc>
        <w:tc>
          <w:tcPr>
            <w:tcW w:w="1004" w:type="dxa"/>
            <w:tcBorders>
              <w:top w:val="nil"/>
              <w:left w:val="nil"/>
              <w:bottom w:val="single" w:sz="8" w:space="0" w:color="A6A6A6"/>
              <w:right w:val="single" w:sz="8" w:space="0" w:color="A6A6A6"/>
            </w:tcBorders>
            <w:noWrap/>
            <w:vAlign w:val="center"/>
            <w:hideMark/>
          </w:tcPr>
          <w:p w14:paraId="0E3EB58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276</w:t>
            </w:r>
          </w:p>
        </w:tc>
        <w:tc>
          <w:tcPr>
            <w:tcW w:w="960" w:type="dxa"/>
            <w:tcBorders>
              <w:top w:val="nil"/>
              <w:left w:val="nil"/>
              <w:bottom w:val="single" w:sz="8" w:space="0" w:color="A6A6A6"/>
              <w:right w:val="single" w:sz="8" w:space="0" w:color="A6A6A6"/>
            </w:tcBorders>
            <w:noWrap/>
            <w:vAlign w:val="center"/>
            <w:hideMark/>
          </w:tcPr>
          <w:p w14:paraId="16C7885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246</w:t>
            </w:r>
          </w:p>
        </w:tc>
        <w:tc>
          <w:tcPr>
            <w:tcW w:w="1120" w:type="dxa"/>
            <w:tcBorders>
              <w:top w:val="nil"/>
              <w:left w:val="nil"/>
              <w:bottom w:val="single" w:sz="8" w:space="0" w:color="A6A6A6"/>
              <w:right w:val="single" w:sz="8" w:space="0" w:color="A6A6A6"/>
            </w:tcBorders>
            <w:noWrap/>
            <w:vAlign w:val="center"/>
            <w:hideMark/>
          </w:tcPr>
          <w:p w14:paraId="7FC71CB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456</w:t>
            </w:r>
          </w:p>
        </w:tc>
        <w:tc>
          <w:tcPr>
            <w:tcW w:w="1120" w:type="dxa"/>
            <w:tcBorders>
              <w:top w:val="nil"/>
              <w:left w:val="nil"/>
              <w:bottom w:val="single" w:sz="8" w:space="0" w:color="A6A6A6"/>
              <w:right w:val="single" w:sz="8" w:space="0" w:color="A6A6A6"/>
            </w:tcBorders>
            <w:noWrap/>
            <w:vAlign w:val="center"/>
            <w:hideMark/>
          </w:tcPr>
          <w:p w14:paraId="14A59CE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399</w:t>
            </w:r>
          </w:p>
        </w:tc>
      </w:tr>
      <w:tr w:rsidR="00826A3D" w:rsidRPr="000C6009" w14:paraId="6AA6489B"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28DAB06"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Cocconato</w:t>
            </w:r>
          </w:p>
        </w:tc>
        <w:tc>
          <w:tcPr>
            <w:tcW w:w="1004" w:type="dxa"/>
            <w:tcBorders>
              <w:top w:val="nil"/>
              <w:left w:val="nil"/>
              <w:bottom w:val="single" w:sz="8" w:space="0" w:color="A6A6A6"/>
              <w:right w:val="single" w:sz="8" w:space="0" w:color="A6A6A6"/>
            </w:tcBorders>
            <w:noWrap/>
            <w:vAlign w:val="center"/>
            <w:hideMark/>
          </w:tcPr>
          <w:p w14:paraId="4FE6E44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445</w:t>
            </w:r>
          </w:p>
        </w:tc>
        <w:tc>
          <w:tcPr>
            <w:tcW w:w="960" w:type="dxa"/>
            <w:tcBorders>
              <w:top w:val="nil"/>
              <w:left w:val="nil"/>
              <w:bottom w:val="single" w:sz="8" w:space="0" w:color="A6A6A6"/>
              <w:right w:val="single" w:sz="8" w:space="0" w:color="A6A6A6"/>
            </w:tcBorders>
            <w:noWrap/>
            <w:vAlign w:val="center"/>
            <w:hideMark/>
          </w:tcPr>
          <w:p w14:paraId="67CFCB6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281</w:t>
            </w:r>
          </w:p>
        </w:tc>
        <w:tc>
          <w:tcPr>
            <w:tcW w:w="1120" w:type="dxa"/>
            <w:tcBorders>
              <w:top w:val="nil"/>
              <w:left w:val="nil"/>
              <w:bottom w:val="single" w:sz="8" w:space="0" w:color="A6A6A6"/>
              <w:right w:val="single" w:sz="8" w:space="0" w:color="A6A6A6"/>
            </w:tcBorders>
            <w:noWrap/>
            <w:vAlign w:val="center"/>
            <w:hideMark/>
          </w:tcPr>
          <w:p w14:paraId="29BC4D2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1.422</w:t>
            </w:r>
          </w:p>
        </w:tc>
        <w:tc>
          <w:tcPr>
            <w:tcW w:w="1120" w:type="dxa"/>
            <w:tcBorders>
              <w:top w:val="nil"/>
              <w:left w:val="nil"/>
              <w:bottom w:val="single" w:sz="8" w:space="0" w:color="A6A6A6"/>
              <w:right w:val="single" w:sz="8" w:space="0" w:color="A6A6A6"/>
            </w:tcBorders>
            <w:noWrap/>
            <w:vAlign w:val="center"/>
            <w:hideMark/>
          </w:tcPr>
          <w:p w14:paraId="37E86CE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1.243</w:t>
            </w:r>
          </w:p>
        </w:tc>
      </w:tr>
      <w:tr w:rsidR="00826A3D" w:rsidRPr="000C6009" w14:paraId="7E0BB92F"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83C641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Cremolino</w:t>
            </w:r>
          </w:p>
        </w:tc>
        <w:tc>
          <w:tcPr>
            <w:tcW w:w="1004" w:type="dxa"/>
            <w:tcBorders>
              <w:top w:val="nil"/>
              <w:left w:val="nil"/>
              <w:bottom w:val="single" w:sz="8" w:space="0" w:color="A6A6A6"/>
              <w:right w:val="single" w:sz="8" w:space="0" w:color="A6A6A6"/>
            </w:tcBorders>
            <w:noWrap/>
            <w:vAlign w:val="center"/>
            <w:hideMark/>
          </w:tcPr>
          <w:p w14:paraId="0FD86A8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406</w:t>
            </w:r>
          </w:p>
        </w:tc>
        <w:tc>
          <w:tcPr>
            <w:tcW w:w="960" w:type="dxa"/>
            <w:tcBorders>
              <w:top w:val="nil"/>
              <w:left w:val="nil"/>
              <w:bottom w:val="single" w:sz="8" w:space="0" w:color="A6A6A6"/>
              <w:right w:val="single" w:sz="8" w:space="0" w:color="A6A6A6"/>
            </w:tcBorders>
            <w:noWrap/>
            <w:vAlign w:val="center"/>
            <w:hideMark/>
          </w:tcPr>
          <w:p w14:paraId="7C7C4C6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236</w:t>
            </w:r>
          </w:p>
        </w:tc>
        <w:tc>
          <w:tcPr>
            <w:tcW w:w="1120" w:type="dxa"/>
            <w:tcBorders>
              <w:top w:val="nil"/>
              <w:left w:val="nil"/>
              <w:bottom w:val="single" w:sz="8" w:space="0" w:color="A6A6A6"/>
              <w:right w:val="single" w:sz="8" w:space="0" w:color="A6A6A6"/>
            </w:tcBorders>
            <w:noWrap/>
            <w:vAlign w:val="center"/>
            <w:hideMark/>
          </w:tcPr>
          <w:p w14:paraId="478D146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985</w:t>
            </w:r>
          </w:p>
        </w:tc>
        <w:tc>
          <w:tcPr>
            <w:tcW w:w="1120" w:type="dxa"/>
            <w:tcBorders>
              <w:top w:val="nil"/>
              <w:left w:val="nil"/>
              <w:bottom w:val="single" w:sz="8" w:space="0" w:color="A6A6A6"/>
              <w:right w:val="single" w:sz="8" w:space="0" w:color="A6A6A6"/>
            </w:tcBorders>
            <w:noWrap/>
            <w:vAlign w:val="center"/>
            <w:hideMark/>
          </w:tcPr>
          <w:p w14:paraId="0A551B7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876</w:t>
            </w:r>
          </w:p>
        </w:tc>
      </w:tr>
      <w:tr w:rsidR="00826A3D" w:rsidRPr="000C6009" w14:paraId="0650093E"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22CC442D"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Fabbrica Curone</w:t>
            </w:r>
          </w:p>
        </w:tc>
        <w:tc>
          <w:tcPr>
            <w:tcW w:w="1004" w:type="dxa"/>
            <w:tcBorders>
              <w:top w:val="nil"/>
              <w:left w:val="nil"/>
              <w:bottom w:val="single" w:sz="8" w:space="0" w:color="A6A6A6"/>
              <w:right w:val="single" w:sz="8" w:space="0" w:color="A6A6A6"/>
            </w:tcBorders>
            <w:noWrap/>
            <w:vAlign w:val="center"/>
            <w:hideMark/>
          </w:tcPr>
          <w:p w14:paraId="11602ED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702</w:t>
            </w:r>
          </w:p>
        </w:tc>
        <w:tc>
          <w:tcPr>
            <w:tcW w:w="960" w:type="dxa"/>
            <w:tcBorders>
              <w:top w:val="nil"/>
              <w:left w:val="nil"/>
              <w:bottom w:val="single" w:sz="8" w:space="0" w:color="A6A6A6"/>
              <w:right w:val="single" w:sz="8" w:space="0" w:color="A6A6A6"/>
            </w:tcBorders>
            <w:noWrap/>
            <w:vAlign w:val="center"/>
            <w:hideMark/>
          </w:tcPr>
          <w:p w14:paraId="31F0D1C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1.260</w:t>
            </w:r>
          </w:p>
        </w:tc>
        <w:tc>
          <w:tcPr>
            <w:tcW w:w="1120" w:type="dxa"/>
            <w:tcBorders>
              <w:top w:val="nil"/>
              <w:left w:val="nil"/>
              <w:bottom w:val="single" w:sz="8" w:space="0" w:color="A6A6A6"/>
              <w:right w:val="single" w:sz="8" w:space="0" w:color="A6A6A6"/>
            </w:tcBorders>
            <w:noWrap/>
            <w:vAlign w:val="center"/>
            <w:hideMark/>
          </w:tcPr>
          <w:p w14:paraId="7EADA96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570</w:t>
            </w:r>
          </w:p>
        </w:tc>
        <w:tc>
          <w:tcPr>
            <w:tcW w:w="1120" w:type="dxa"/>
            <w:tcBorders>
              <w:top w:val="nil"/>
              <w:left w:val="nil"/>
              <w:bottom w:val="single" w:sz="8" w:space="0" w:color="A6A6A6"/>
              <w:right w:val="single" w:sz="8" w:space="0" w:color="A6A6A6"/>
            </w:tcBorders>
            <w:noWrap/>
            <w:vAlign w:val="center"/>
            <w:hideMark/>
          </w:tcPr>
          <w:p w14:paraId="6749690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500</w:t>
            </w:r>
          </w:p>
        </w:tc>
      </w:tr>
      <w:tr w:rsidR="00826A3D" w:rsidRPr="000C6009" w14:paraId="6B53D01D"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77F4A1E"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Fontanile</w:t>
            </w:r>
          </w:p>
        </w:tc>
        <w:tc>
          <w:tcPr>
            <w:tcW w:w="1004" w:type="dxa"/>
            <w:tcBorders>
              <w:top w:val="nil"/>
              <w:left w:val="nil"/>
              <w:bottom w:val="single" w:sz="8" w:space="0" w:color="A6A6A6"/>
              <w:right w:val="single" w:sz="8" w:space="0" w:color="A6A6A6"/>
            </w:tcBorders>
            <w:noWrap/>
            <w:vAlign w:val="center"/>
            <w:hideMark/>
          </w:tcPr>
          <w:p w14:paraId="794B3C6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277</w:t>
            </w:r>
          </w:p>
        </w:tc>
        <w:tc>
          <w:tcPr>
            <w:tcW w:w="960" w:type="dxa"/>
            <w:tcBorders>
              <w:top w:val="nil"/>
              <w:left w:val="nil"/>
              <w:bottom w:val="single" w:sz="8" w:space="0" w:color="A6A6A6"/>
              <w:right w:val="single" w:sz="8" w:space="0" w:color="A6A6A6"/>
            </w:tcBorders>
            <w:noWrap/>
            <w:vAlign w:val="center"/>
            <w:hideMark/>
          </w:tcPr>
          <w:p w14:paraId="5658737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180</w:t>
            </w:r>
          </w:p>
        </w:tc>
        <w:tc>
          <w:tcPr>
            <w:tcW w:w="1120" w:type="dxa"/>
            <w:tcBorders>
              <w:top w:val="nil"/>
              <w:left w:val="nil"/>
              <w:bottom w:val="single" w:sz="8" w:space="0" w:color="A6A6A6"/>
              <w:right w:val="single" w:sz="8" w:space="0" w:color="A6A6A6"/>
            </w:tcBorders>
            <w:noWrap/>
            <w:vAlign w:val="center"/>
            <w:hideMark/>
          </w:tcPr>
          <w:p w14:paraId="1A534DD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486</w:t>
            </w:r>
          </w:p>
        </w:tc>
        <w:tc>
          <w:tcPr>
            <w:tcW w:w="1120" w:type="dxa"/>
            <w:tcBorders>
              <w:top w:val="nil"/>
              <w:left w:val="nil"/>
              <w:bottom w:val="single" w:sz="8" w:space="0" w:color="A6A6A6"/>
              <w:right w:val="single" w:sz="8" w:space="0" w:color="A6A6A6"/>
            </w:tcBorders>
            <w:noWrap/>
            <w:vAlign w:val="center"/>
            <w:hideMark/>
          </w:tcPr>
          <w:p w14:paraId="08DEEDC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430</w:t>
            </w:r>
          </w:p>
        </w:tc>
      </w:tr>
      <w:tr w:rsidR="00826A3D" w:rsidRPr="000C6009" w14:paraId="5EE16F7D"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963E1E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Fraconalto</w:t>
            </w:r>
          </w:p>
        </w:tc>
        <w:tc>
          <w:tcPr>
            <w:tcW w:w="1004" w:type="dxa"/>
            <w:tcBorders>
              <w:top w:val="nil"/>
              <w:left w:val="nil"/>
              <w:bottom w:val="single" w:sz="8" w:space="0" w:color="A6A6A6"/>
              <w:right w:val="single" w:sz="8" w:space="0" w:color="A6A6A6"/>
            </w:tcBorders>
            <w:noWrap/>
            <w:vAlign w:val="center"/>
            <w:hideMark/>
          </w:tcPr>
          <w:p w14:paraId="57DED81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714</w:t>
            </w:r>
          </w:p>
        </w:tc>
        <w:tc>
          <w:tcPr>
            <w:tcW w:w="960" w:type="dxa"/>
            <w:tcBorders>
              <w:top w:val="nil"/>
              <w:left w:val="nil"/>
              <w:bottom w:val="single" w:sz="8" w:space="0" w:color="A6A6A6"/>
              <w:right w:val="single" w:sz="8" w:space="0" w:color="A6A6A6"/>
            </w:tcBorders>
            <w:noWrap/>
            <w:vAlign w:val="center"/>
            <w:hideMark/>
          </w:tcPr>
          <w:p w14:paraId="1B152E3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451</w:t>
            </w:r>
          </w:p>
        </w:tc>
        <w:tc>
          <w:tcPr>
            <w:tcW w:w="1120" w:type="dxa"/>
            <w:tcBorders>
              <w:top w:val="nil"/>
              <w:left w:val="nil"/>
              <w:bottom w:val="single" w:sz="8" w:space="0" w:color="A6A6A6"/>
              <w:right w:val="single" w:sz="8" w:space="0" w:color="A6A6A6"/>
            </w:tcBorders>
            <w:noWrap/>
            <w:vAlign w:val="center"/>
            <w:hideMark/>
          </w:tcPr>
          <w:p w14:paraId="169AECD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302</w:t>
            </w:r>
          </w:p>
        </w:tc>
        <w:tc>
          <w:tcPr>
            <w:tcW w:w="1120" w:type="dxa"/>
            <w:tcBorders>
              <w:top w:val="nil"/>
              <w:left w:val="nil"/>
              <w:bottom w:val="single" w:sz="8" w:space="0" w:color="A6A6A6"/>
              <w:right w:val="single" w:sz="8" w:space="0" w:color="A6A6A6"/>
            </w:tcBorders>
            <w:noWrap/>
            <w:vAlign w:val="center"/>
            <w:hideMark/>
          </w:tcPr>
          <w:p w14:paraId="507CCD6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278</w:t>
            </w:r>
          </w:p>
        </w:tc>
      </w:tr>
      <w:tr w:rsidR="00826A3D" w:rsidRPr="000C6009" w14:paraId="254D05F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97F04A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Gabiano</w:t>
            </w:r>
          </w:p>
        </w:tc>
        <w:tc>
          <w:tcPr>
            <w:tcW w:w="1004" w:type="dxa"/>
            <w:tcBorders>
              <w:top w:val="nil"/>
              <w:left w:val="nil"/>
              <w:bottom w:val="single" w:sz="8" w:space="0" w:color="A6A6A6"/>
              <w:right w:val="single" w:sz="8" w:space="0" w:color="A6A6A6"/>
            </w:tcBorders>
            <w:noWrap/>
            <w:vAlign w:val="center"/>
            <w:hideMark/>
          </w:tcPr>
          <w:p w14:paraId="68E21FE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296</w:t>
            </w:r>
          </w:p>
        </w:tc>
        <w:tc>
          <w:tcPr>
            <w:tcW w:w="960" w:type="dxa"/>
            <w:tcBorders>
              <w:top w:val="nil"/>
              <w:left w:val="nil"/>
              <w:bottom w:val="single" w:sz="8" w:space="0" w:color="A6A6A6"/>
              <w:right w:val="single" w:sz="8" w:space="0" w:color="A6A6A6"/>
            </w:tcBorders>
            <w:noWrap/>
            <w:vAlign w:val="center"/>
            <w:hideMark/>
          </w:tcPr>
          <w:p w14:paraId="45EEEBA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231</w:t>
            </w:r>
          </w:p>
        </w:tc>
        <w:tc>
          <w:tcPr>
            <w:tcW w:w="1120" w:type="dxa"/>
            <w:tcBorders>
              <w:top w:val="nil"/>
              <w:left w:val="nil"/>
              <w:bottom w:val="single" w:sz="8" w:space="0" w:color="A6A6A6"/>
              <w:right w:val="single" w:sz="8" w:space="0" w:color="A6A6A6"/>
            </w:tcBorders>
            <w:noWrap/>
            <w:vAlign w:val="center"/>
            <w:hideMark/>
          </w:tcPr>
          <w:p w14:paraId="79D481B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1.027</w:t>
            </w:r>
          </w:p>
        </w:tc>
        <w:tc>
          <w:tcPr>
            <w:tcW w:w="1120" w:type="dxa"/>
            <w:tcBorders>
              <w:top w:val="nil"/>
              <w:left w:val="nil"/>
              <w:bottom w:val="single" w:sz="8" w:space="0" w:color="A6A6A6"/>
              <w:right w:val="single" w:sz="8" w:space="0" w:color="A6A6A6"/>
            </w:tcBorders>
            <w:noWrap/>
            <w:vAlign w:val="center"/>
            <w:hideMark/>
          </w:tcPr>
          <w:p w14:paraId="688083C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926</w:t>
            </w:r>
          </w:p>
        </w:tc>
      </w:tr>
      <w:tr w:rsidR="00826A3D" w:rsidRPr="000C6009" w14:paraId="4A3AC827"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6E9F0C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Garbagna</w:t>
            </w:r>
          </w:p>
        </w:tc>
        <w:tc>
          <w:tcPr>
            <w:tcW w:w="1004" w:type="dxa"/>
            <w:tcBorders>
              <w:top w:val="nil"/>
              <w:left w:val="nil"/>
              <w:bottom w:val="single" w:sz="8" w:space="0" w:color="A6A6A6"/>
              <w:right w:val="single" w:sz="8" w:space="0" w:color="A6A6A6"/>
            </w:tcBorders>
            <w:noWrap/>
            <w:vAlign w:val="center"/>
            <w:hideMark/>
          </w:tcPr>
          <w:p w14:paraId="27C6D04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290</w:t>
            </w:r>
          </w:p>
        </w:tc>
        <w:tc>
          <w:tcPr>
            <w:tcW w:w="960" w:type="dxa"/>
            <w:tcBorders>
              <w:top w:val="nil"/>
              <w:left w:val="nil"/>
              <w:bottom w:val="single" w:sz="8" w:space="0" w:color="A6A6A6"/>
              <w:right w:val="single" w:sz="8" w:space="0" w:color="A6A6A6"/>
            </w:tcBorders>
            <w:noWrap/>
            <w:vAlign w:val="center"/>
            <w:hideMark/>
          </w:tcPr>
          <w:p w14:paraId="1131AA7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463</w:t>
            </w:r>
          </w:p>
        </w:tc>
        <w:tc>
          <w:tcPr>
            <w:tcW w:w="1120" w:type="dxa"/>
            <w:tcBorders>
              <w:top w:val="nil"/>
              <w:left w:val="nil"/>
              <w:bottom w:val="single" w:sz="8" w:space="0" w:color="A6A6A6"/>
              <w:right w:val="single" w:sz="8" w:space="0" w:color="A6A6A6"/>
            </w:tcBorders>
            <w:noWrap/>
            <w:vAlign w:val="center"/>
            <w:hideMark/>
          </w:tcPr>
          <w:p w14:paraId="396522D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609</w:t>
            </w:r>
          </w:p>
        </w:tc>
        <w:tc>
          <w:tcPr>
            <w:tcW w:w="1120" w:type="dxa"/>
            <w:tcBorders>
              <w:top w:val="nil"/>
              <w:left w:val="nil"/>
              <w:bottom w:val="single" w:sz="8" w:space="0" w:color="A6A6A6"/>
              <w:right w:val="single" w:sz="8" w:space="0" w:color="A6A6A6"/>
            </w:tcBorders>
            <w:noWrap/>
            <w:vAlign w:val="center"/>
            <w:hideMark/>
          </w:tcPr>
          <w:p w14:paraId="77F6983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545</w:t>
            </w:r>
          </w:p>
        </w:tc>
      </w:tr>
      <w:tr w:rsidR="00826A3D" w:rsidRPr="000C6009" w14:paraId="090D2EB9"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C1D6D5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lastRenderedPageBreak/>
              <w:t>Gremiasco</w:t>
            </w:r>
          </w:p>
        </w:tc>
        <w:tc>
          <w:tcPr>
            <w:tcW w:w="1004" w:type="dxa"/>
            <w:tcBorders>
              <w:top w:val="nil"/>
              <w:left w:val="nil"/>
              <w:bottom w:val="single" w:sz="8" w:space="0" w:color="A6A6A6"/>
              <w:right w:val="single" w:sz="8" w:space="0" w:color="A6A6A6"/>
            </w:tcBorders>
            <w:noWrap/>
            <w:vAlign w:val="center"/>
            <w:hideMark/>
          </w:tcPr>
          <w:p w14:paraId="1FF86F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394</w:t>
            </w:r>
          </w:p>
        </w:tc>
        <w:tc>
          <w:tcPr>
            <w:tcW w:w="960" w:type="dxa"/>
            <w:tcBorders>
              <w:top w:val="nil"/>
              <w:left w:val="nil"/>
              <w:bottom w:val="single" w:sz="8" w:space="0" w:color="A6A6A6"/>
              <w:right w:val="single" w:sz="8" w:space="0" w:color="A6A6A6"/>
            </w:tcBorders>
            <w:noWrap/>
            <w:vAlign w:val="center"/>
            <w:hideMark/>
          </w:tcPr>
          <w:p w14:paraId="18C86A3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402</w:t>
            </w:r>
          </w:p>
        </w:tc>
        <w:tc>
          <w:tcPr>
            <w:tcW w:w="1120" w:type="dxa"/>
            <w:tcBorders>
              <w:top w:val="nil"/>
              <w:left w:val="nil"/>
              <w:bottom w:val="single" w:sz="8" w:space="0" w:color="A6A6A6"/>
              <w:right w:val="single" w:sz="8" w:space="0" w:color="A6A6A6"/>
            </w:tcBorders>
            <w:noWrap/>
            <w:vAlign w:val="center"/>
            <w:hideMark/>
          </w:tcPr>
          <w:p w14:paraId="5BA061F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280</w:t>
            </w:r>
          </w:p>
        </w:tc>
        <w:tc>
          <w:tcPr>
            <w:tcW w:w="1120" w:type="dxa"/>
            <w:tcBorders>
              <w:top w:val="nil"/>
              <w:left w:val="nil"/>
              <w:bottom w:val="single" w:sz="8" w:space="0" w:color="A6A6A6"/>
              <w:right w:val="single" w:sz="8" w:space="0" w:color="A6A6A6"/>
            </w:tcBorders>
            <w:noWrap/>
            <w:vAlign w:val="center"/>
            <w:hideMark/>
          </w:tcPr>
          <w:p w14:paraId="32DAA58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244</w:t>
            </w:r>
          </w:p>
        </w:tc>
      </w:tr>
      <w:tr w:rsidR="00826A3D" w:rsidRPr="000C6009" w14:paraId="50774F7F"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9C61A4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Incisa Scapaccino</w:t>
            </w:r>
          </w:p>
        </w:tc>
        <w:tc>
          <w:tcPr>
            <w:tcW w:w="1004" w:type="dxa"/>
            <w:tcBorders>
              <w:top w:val="nil"/>
              <w:left w:val="nil"/>
              <w:bottom w:val="single" w:sz="8" w:space="0" w:color="A6A6A6"/>
              <w:right w:val="single" w:sz="8" w:space="0" w:color="A6A6A6"/>
            </w:tcBorders>
            <w:noWrap/>
            <w:vAlign w:val="center"/>
            <w:hideMark/>
          </w:tcPr>
          <w:p w14:paraId="1FEB73B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126</w:t>
            </w:r>
          </w:p>
        </w:tc>
        <w:tc>
          <w:tcPr>
            <w:tcW w:w="960" w:type="dxa"/>
            <w:tcBorders>
              <w:top w:val="nil"/>
              <w:left w:val="nil"/>
              <w:bottom w:val="single" w:sz="8" w:space="0" w:color="A6A6A6"/>
              <w:right w:val="single" w:sz="8" w:space="0" w:color="A6A6A6"/>
            </w:tcBorders>
            <w:noWrap/>
            <w:vAlign w:val="center"/>
            <w:hideMark/>
          </w:tcPr>
          <w:p w14:paraId="26C3A78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144</w:t>
            </w:r>
          </w:p>
        </w:tc>
        <w:tc>
          <w:tcPr>
            <w:tcW w:w="1120" w:type="dxa"/>
            <w:tcBorders>
              <w:top w:val="nil"/>
              <w:left w:val="nil"/>
              <w:bottom w:val="single" w:sz="8" w:space="0" w:color="A6A6A6"/>
              <w:right w:val="single" w:sz="8" w:space="0" w:color="A6A6A6"/>
            </w:tcBorders>
            <w:noWrap/>
            <w:vAlign w:val="center"/>
            <w:hideMark/>
          </w:tcPr>
          <w:p w14:paraId="3AFE8A4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2.019</w:t>
            </w:r>
          </w:p>
        </w:tc>
        <w:tc>
          <w:tcPr>
            <w:tcW w:w="1120" w:type="dxa"/>
            <w:tcBorders>
              <w:top w:val="nil"/>
              <w:left w:val="nil"/>
              <w:bottom w:val="single" w:sz="8" w:space="0" w:color="A6A6A6"/>
              <w:right w:val="single" w:sz="8" w:space="0" w:color="A6A6A6"/>
            </w:tcBorders>
            <w:noWrap/>
            <w:vAlign w:val="center"/>
            <w:hideMark/>
          </w:tcPr>
          <w:p w14:paraId="520CCF3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1.768</w:t>
            </w:r>
          </w:p>
        </w:tc>
      </w:tr>
      <w:tr w:rsidR="00826A3D" w:rsidRPr="000C6009" w14:paraId="02445030"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C318A0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Lerma</w:t>
            </w:r>
          </w:p>
        </w:tc>
        <w:tc>
          <w:tcPr>
            <w:tcW w:w="1004" w:type="dxa"/>
            <w:tcBorders>
              <w:top w:val="nil"/>
              <w:left w:val="nil"/>
              <w:bottom w:val="single" w:sz="8" w:space="0" w:color="A6A6A6"/>
              <w:right w:val="single" w:sz="8" w:space="0" w:color="A6A6A6"/>
            </w:tcBorders>
            <w:noWrap/>
            <w:vAlign w:val="center"/>
            <w:hideMark/>
          </w:tcPr>
          <w:p w14:paraId="63895F5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286</w:t>
            </w:r>
          </w:p>
        </w:tc>
        <w:tc>
          <w:tcPr>
            <w:tcW w:w="960" w:type="dxa"/>
            <w:tcBorders>
              <w:top w:val="nil"/>
              <w:left w:val="nil"/>
              <w:bottom w:val="single" w:sz="8" w:space="0" w:color="A6A6A6"/>
              <w:right w:val="single" w:sz="8" w:space="0" w:color="A6A6A6"/>
            </w:tcBorders>
            <w:noWrap/>
            <w:vAlign w:val="center"/>
            <w:hideMark/>
          </w:tcPr>
          <w:p w14:paraId="281CB32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637</w:t>
            </w:r>
          </w:p>
        </w:tc>
        <w:tc>
          <w:tcPr>
            <w:tcW w:w="1120" w:type="dxa"/>
            <w:tcBorders>
              <w:top w:val="nil"/>
              <w:left w:val="nil"/>
              <w:bottom w:val="single" w:sz="8" w:space="0" w:color="A6A6A6"/>
              <w:right w:val="single" w:sz="8" w:space="0" w:color="A6A6A6"/>
            </w:tcBorders>
            <w:noWrap/>
            <w:vAlign w:val="center"/>
            <w:hideMark/>
          </w:tcPr>
          <w:p w14:paraId="7010B6E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793</w:t>
            </w:r>
          </w:p>
        </w:tc>
        <w:tc>
          <w:tcPr>
            <w:tcW w:w="1120" w:type="dxa"/>
            <w:tcBorders>
              <w:top w:val="nil"/>
              <w:left w:val="nil"/>
              <w:bottom w:val="single" w:sz="8" w:space="0" w:color="A6A6A6"/>
              <w:right w:val="single" w:sz="8" w:space="0" w:color="A6A6A6"/>
            </w:tcBorders>
            <w:noWrap/>
            <w:vAlign w:val="center"/>
            <w:hideMark/>
          </w:tcPr>
          <w:p w14:paraId="4C44B0E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703</w:t>
            </w:r>
          </w:p>
        </w:tc>
      </w:tr>
      <w:tr w:rsidR="00826A3D" w:rsidRPr="000C6009" w14:paraId="027457A5"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1C4FDF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Malvicino</w:t>
            </w:r>
          </w:p>
        </w:tc>
        <w:tc>
          <w:tcPr>
            <w:tcW w:w="1004" w:type="dxa"/>
            <w:tcBorders>
              <w:top w:val="nil"/>
              <w:left w:val="nil"/>
              <w:bottom w:val="single" w:sz="8" w:space="0" w:color="A6A6A6"/>
              <w:right w:val="single" w:sz="8" w:space="0" w:color="A6A6A6"/>
            </w:tcBorders>
            <w:noWrap/>
            <w:vAlign w:val="center"/>
            <w:hideMark/>
          </w:tcPr>
          <w:p w14:paraId="4D50570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446</w:t>
            </w:r>
          </w:p>
        </w:tc>
        <w:tc>
          <w:tcPr>
            <w:tcW w:w="960" w:type="dxa"/>
            <w:tcBorders>
              <w:top w:val="nil"/>
              <w:left w:val="nil"/>
              <w:bottom w:val="single" w:sz="8" w:space="0" w:color="A6A6A6"/>
              <w:right w:val="single" w:sz="8" w:space="0" w:color="A6A6A6"/>
            </w:tcBorders>
            <w:noWrap/>
            <w:vAlign w:val="center"/>
            <w:hideMark/>
          </w:tcPr>
          <w:p w14:paraId="1E27BE6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346</w:t>
            </w:r>
          </w:p>
        </w:tc>
        <w:tc>
          <w:tcPr>
            <w:tcW w:w="1120" w:type="dxa"/>
            <w:tcBorders>
              <w:top w:val="nil"/>
              <w:left w:val="nil"/>
              <w:bottom w:val="single" w:sz="8" w:space="0" w:color="A6A6A6"/>
              <w:right w:val="single" w:sz="8" w:space="0" w:color="A6A6A6"/>
            </w:tcBorders>
            <w:noWrap/>
            <w:vAlign w:val="center"/>
            <w:hideMark/>
          </w:tcPr>
          <w:p w14:paraId="75BF350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76</w:t>
            </w:r>
          </w:p>
        </w:tc>
        <w:tc>
          <w:tcPr>
            <w:tcW w:w="1120" w:type="dxa"/>
            <w:tcBorders>
              <w:top w:val="nil"/>
              <w:left w:val="nil"/>
              <w:bottom w:val="single" w:sz="8" w:space="0" w:color="A6A6A6"/>
              <w:right w:val="single" w:sz="8" w:space="0" w:color="A6A6A6"/>
            </w:tcBorders>
            <w:noWrap/>
            <w:vAlign w:val="center"/>
            <w:hideMark/>
          </w:tcPr>
          <w:p w14:paraId="43612FD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67</w:t>
            </w:r>
          </w:p>
        </w:tc>
      </w:tr>
      <w:tr w:rsidR="00826A3D" w:rsidRPr="000C6009" w14:paraId="3B6DCAEA"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4530BF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Melazzo</w:t>
            </w:r>
          </w:p>
        </w:tc>
        <w:tc>
          <w:tcPr>
            <w:tcW w:w="1004" w:type="dxa"/>
            <w:tcBorders>
              <w:top w:val="nil"/>
              <w:left w:val="nil"/>
              <w:bottom w:val="single" w:sz="8" w:space="0" w:color="A6A6A6"/>
              <w:right w:val="single" w:sz="8" w:space="0" w:color="A6A6A6"/>
            </w:tcBorders>
            <w:noWrap/>
            <w:vAlign w:val="center"/>
            <w:hideMark/>
          </w:tcPr>
          <w:p w14:paraId="40FDDC7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251</w:t>
            </w:r>
          </w:p>
        </w:tc>
        <w:tc>
          <w:tcPr>
            <w:tcW w:w="960" w:type="dxa"/>
            <w:tcBorders>
              <w:top w:val="nil"/>
              <w:left w:val="nil"/>
              <w:bottom w:val="single" w:sz="8" w:space="0" w:color="A6A6A6"/>
              <w:right w:val="single" w:sz="8" w:space="0" w:color="A6A6A6"/>
            </w:tcBorders>
            <w:noWrap/>
            <w:vAlign w:val="center"/>
            <w:hideMark/>
          </w:tcPr>
          <w:p w14:paraId="65FFAFB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333</w:t>
            </w:r>
          </w:p>
        </w:tc>
        <w:tc>
          <w:tcPr>
            <w:tcW w:w="1120" w:type="dxa"/>
            <w:tcBorders>
              <w:top w:val="nil"/>
              <w:left w:val="nil"/>
              <w:bottom w:val="single" w:sz="8" w:space="0" w:color="A6A6A6"/>
              <w:right w:val="single" w:sz="8" w:space="0" w:color="A6A6A6"/>
            </w:tcBorders>
            <w:noWrap/>
            <w:vAlign w:val="center"/>
            <w:hideMark/>
          </w:tcPr>
          <w:p w14:paraId="1D062F8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1.219</w:t>
            </w:r>
          </w:p>
        </w:tc>
        <w:tc>
          <w:tcPr>
            <w:tcW w:w="1120" w:type="dxa"/>
            <w:tcBorders>
              <w:top w:val="nil"/>
              <w:left w:val="nil"/>
              <w:bottom w:val="single" w:sz="8" w:space="0" w:color="A6A6A6"/>
              <w:right w:val="single" w:sz="8" w:space="0" w:color="A6A6A6"/>
            </w:tcBorders>
            <w:noWrap/>
            <w:vAlign w:val="center"/>
            <w:hideMark/>
          </w:tcPr>
          <w:p w14:paraId="1159C1D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1.073</w:t>
            </w:r>
          </w:p>
        </w:tc>
      </w:tr>
      <w:tr w:rsidR="00826A3D" w:rsidRPr="000C6009" w14:paraId="68D6D028"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E0E583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Molare</w:t>
            </w:r>
          </w:p>
        </w:tc>
        <w:tc>
          <w:tcPr>
            <w:tcW w:w="1004" w:type="dxa"/>
            <w:tcBorders>
              <w:top w:val="nil"/>
              <w:left w:val="nil"/>
              <w:bottom w:val="single" w:sz="8" w:space="0" w:color="A6A6A6"/>
              <w:right w:val="single" w:sz="8" w:space="0" w:color="A6A6A6"/>
            </w:tcBorders>
            <w:noWrap/>
            <w:vAlign w:val="center"/>
            <w:hideMark/>
          </w:tcPr>
          <w:p w14:paraId="075BDED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224</w:t>
            </w:r>
          </w:p>
        </w:tc>
        <w:tc>
          <w:tcPr>
            <w:tcW w:w="960" w:type="dxa"/>
            <w:tcBorders>
              <w:top w:val="nil"/>
              <w:left w:val="nil"/>
              <w:bottom w:val="single" w:sz="8" w:space="0" w:color="A6A6A6"/>
              <w:right w:val="single" w:sz="8" w:space="0" w:color="A6A6A6"/>
            </w:tcBorders>
            <w:noWrap/>
            <w:vAlign w:val="center"/>
            <w:hideMark/>
          </w:tcPr>
          <w:p w14:paraId="6A80F7C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626</w:t>
            </w:r>
          </w:p>
        </w:tc>
        <w:tc>
          <w:tcPr>
            <w:tcW w:w="1120" w:type="dxa"/>
            <w:tcBorders>
              <w:top w:val="nil"/>
              <w:left w:val="nil"/>
              <w:bottom w:val="single" w:sz="8" w:space="0" w:color="A6A6A6"/>
              <w:right w:val="single" w:sz="8" w:space="0" w:color="A6A6A6"/>
            </w:tcBorders>
            <w:noWrap/>
            <w:vAlign w:val="center"/>
            <w:hideMark/>
          </w:tcPr>
          <w:p w14:paraId="70AEA26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1.978</w:t>
            </w:r>
          </w:p>
        </w:tc>
        <w:tc>
          <w:tcPr>
            <w:tcW w:w="1120" w:type="dxa"/>
            <w:tcBorders>
              <w:top w:val="nil"/>
              <w:left w:val="nil"/>
              <w:bottom w:val="single" w:sz="8" w:space="0" w:color="A6A6A6"/>
              <w:right w:val="single" w:sz="8" w:space="0" w:color="A6A6A6"/>
            </w:tcBorders>
            <w:noWrap/>
            <w:vAlign w:val="center"/>
            <w:hideMark/>
          </w:tcPr>
          <w:p w14:paraId="76990EB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1.743</w:t>
            </w:r>
          </w:p>
        </w:tc>
      </w:tr>
      <w:tr w:rsidR="00826A3D" w:rsidRPr="000C6009" w14:paraId="76155DF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3FC7F9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Mombaruzzo</w:t>
            </w:r>
          </w:p>
        </w:tc>
        <w:tc>
          <w:tcPr>
            <w:tcW w:w="1004" w:type="dxa"/>
            <w:tcBorders>
              <w:top w:val="nil"/>
              <w:left w:val="nil"/>
              <w:bottom w:val="single" w:sz="8" w:space="0" w:color="A6A6A6"/>
              <w:right w:val="single" w:sz="8" w:space="0" w:color="A6A6A6"/>
            </w:tcBorders>
            <w:noWrap/>
            <w:vAlign w:val="center"/>
            <w:hideMark/>
          </w:tcPr>
          <w:p w14:paraId="58B7EE1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275</w:t>
            </w:r>
          </w:p>
        </w:tc>
        <w:tc>
          <w:tcPr>
            <w:tcW w:w="960" w:type="dxa"/>
            <w:tcBorders>
              <w:top w:val="nil"/>
              <w:left w:val="nil"/>
              <w:bottom w:val="single" w:sz="8" w:space="0" w:color="A6A6A6"/>
              <w:right w:val="single" w:sz="8" w:space="0" w:color="A6A6A6"/>
            </w:tcBorders>
            <w:noWrap/>
            <w:vAlign w:val="center"/>
            <w:hideMark/>
          </w:tcPr>
          <w:p w14:paraId="2335DC9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196</w:t>
            </w:r>
          </w:p>
        </w:tc>
        <w:tc>
          <w:tcPr>
            <w:tcW w:w="1120" w:type="dxa"/>
            <w:tcBorders>
              <w:top w:val="nil"/>
              <w:left w:val="nil"/>
              <w:bottom w:val="single" w:sz="8" w:space="0" w:color="A6A6A6"/>
              <w:right w:val="single" w:sz="8" w:space="0" w:color="A6A6A6"/>
            </w:tcBorders>
            <w:noWrap/>
            <w:vAlign w:val="center"/>
            <w:hideMark/>
          </w:tcPr>
          <w:p w14:paraId="645B9C5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952</w:t>
            </w:r>
          </w:p>
        </w:tc>
        <w:tc>
          <w:tcPr>
            <w:tcW w:w="1120" w:type="dxa"/>
            <w:tcBorders>
              <w:top w:val="nil"/>
              <w:left w:val="nil"/>
              <w:bottom w:val="single" w:sz="8" w:space="0" w:color="A6A6A6"/>
              <w:right w:val="single" w:sz="8" w:space="0" w:color="A6A6A6"/>
            </w:tcBorders>
            <w:noWrap/>
            <w:vAlign w:val="center"/>
            <w:hideMark/>
          </w:tcPr>
          <w:p w14:paraId="298889A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829</w:t>
            </w:r>
          </w:p>
        </w:tc>
      </w:tr>
      <w:tr w:rsidR="00826A3D" w:rsidRPr="000C6009" w14:paraId="3F2BD5CE"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2CC21968"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Momperone</w:t>
            </w:r>
          </w:p>
        </w:tc>
        <w:tc>
          <w:tcPr>
            <w:tcW w:w="1004" w:type="dxa"/>
            <w:tcBorders>
              <w:top w:val="nil"/>
              <w:left w:val="nil"/>
              <w:bottom w:val="single" w:sz="8" w:space="0" w:color="A6A6A6"/>
              <w:right w:val="single" w:sz="8" w:space="0" w:color="A6A6A6"/>
            </w:tcBorders>
            <w:noWrap/>
            <w:vAlign w:val="center"/>
            <w:hideMark/>
          </w:tcPr>
          <w:p w14:paraId="2D55747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271</w:t>
            </w:r>
          </w:p>
        </w:tc>
        <w:tc>
          <w:tcPr>
            <w:tcW w:w="960" w:type="dxa"/>
            <w:tcBorders>
              <w:top w:val="nil"/>
              <w:left w:val="nil"/>
              <w:bottom w:val="single" w:sz="8" w:space="0" w:color="A6A6A6"/>
              <w:right w:val="single" w:sz="8" w:space="0" w:color="A6A6A6"/>
            </w:tcBorders>
            <w:noWrap/>
            <w:vAlign w:val="center"/>
            <w:hideMark/>
          </w:tcPr>
          <w:p w14:paraId="4260B55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252</w:t>
            </w:r>
          </w:p>
        </w:tc>
        <w:tc>
          <w:tcPr>
            <w:tcW w:w="1120" w:type="dxa"/>
            <w:tcBorders>
              <w:top w:val="nil"/>
              <w:left w:val="nil"/>
              <w:bottom w:val="single" w:sz="8" w:space="0" w:color="A6A6A6"/>
              <w:right w:val="single" w:sz="8" w:space="0" w:color="A6A6A6"/>
            </w:tcBorders>
            <w:noWrap/>
            <w:vAlign w:val="center"/>
            <w:hideMark/>
          </w:tcPr>
          <w:p w14:paraId="131AB85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201</w:t>
            </w:r>
          </w:p>
        </w:tc>
        <w:tc>
          <w:tcPr>
            <w:tcW w:w="1120" w:type="dxa"/>
            <w:tcBorders>
              <w:top w:val="nil"/>
              <w:left w:val="nil"/>
              <w:bottom w:val="single" w:sz="8" w:space="0" w:color="A6A6A6"/>
              <w:right w:val="single" w:sz="8" w:space="0" w:color="A6A6A6"/>
            </w:tcBorders>
            <w:noWrap/>
            <w:vAlign w:val="center"/>
            <w:hideMark/>
          </w:tcPr>
          <w:p w14:paraId="031E5EE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175</w:t>
            </w:r>
          </w:p>
        </w:tc>
      </w:tr>
      <w:tr w:rsidR="00826A3D" w:rsidRPr="000C6009" w14:paraId="6890CA0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FB60C6B"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Mongiardino Ligure</w:t>
            </w:r>
          </w:p>
        </w:tc>
        <w:tc>
          <w:tcPr>
            <w:tcW w:w="1004" w:type="dxa"/>
            <w:tcBorders>
              <w:top w:val="nil"/>
              <w:left w:val="nil"/>
              <w:bottom w:val="single" w:sz="8" w:space="0" w:color="A6A6A6"/>
              <w:right w:val="single" w:sz="8" w:space="0" w:color="A6A6A6"/>
            </w:tcBorders>
            <w:noWrap/>
            <w:vAlign w:val="center"/>
            <w:hideMark/>
          </w:tcPr>
          <w:p w14:paraId="5607216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598</w:t>
            </w:r>
          </w:p>
        </w:tc>
        <w:tc>
          <w:tcPr>
            <w:tcW w:w="960" w:type="dxa"/>
            <w:tcBorders>
              <w:top w:val="nil"/>
              <w:left w:val="nil"/>
              <w:bottom w:val="single" w:sz="8" w:space="0" w:color="A6A6A6"/>
              <w:right w:val="single" w:sz="8" w:space="0" w:color="A6A6A6"/>
            </w:tcBorders>
            <w:noWrap/>
            <w:vAlign w:val="center"/>
            <w:hideMark/>
          </w:tcPr>
          <w:p w14:paraId="6A99B05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720</w:t>
            </w:r>
          </w:p>
        </w:tc>
        <w:tc>
          <w:tcPr>
            <w:tcW w:w="1120" w:type="dxa"/>
            <w:tcBorders>
              <w:top w:val="nil"/>
              <w:left w:val="nil"/>
              <w:bottom w:val="single" w:sz="8" w:space="0" w:color="A6A6A6"/>
              <w:right w:val="single" w:sz="8" w:space="0" w:color="A6A6A6"/>
            </w:tcBorders>
            <w:noWrap/>
            <w:vAlign w:val="center"/>
            <w:hideMark/>
          </w:tcPr>
          <w:p w14:paraId="250F6C8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151</w:t>
            </w:r>
          </w:p>
        </w:tc>
        <w:tc>
          <w:tcPr>
            <w:tcW w:w="1120" w:type="dxa"/>
            <w:tcBorders>
              <w:top w:val="nil"/>
              <w:left w:val="nil"/>
              <w:bottom w:val="single" w:sz="8" w:space="0" w:color="A6A6A6"/>
              <w:right w:val="single" w:sz="8" w:space="0" w:color="A6A6A6"/>
            </w:tcBorders>
            <w:noWrap/>
            <w:vAlign w:val="center"/>
            <w:hideMark/>
          </w:tcPr>
          <w:p w14:paraId="5BC325D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133</w:t>
            </w:r>
          </w:p>
        </w:tc>
      </w:tr>
      <w:tr w:rsidR="00826A3D" w:rsidRPr="000C6009" w14:paraId="7CC5DF8B"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5A27B15"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Montabone</w:t>
            </w:r>
          </w:p>
        </w:tc>
        <w:tc>
          <w:tcPr>
            <w:tcW w:w="1004" w:type="dxa"/>
            <w:tcBorders>
              <w:top w:val="nil"/>
              <w:left w:val="nil"/>
              <w:bottom w:val="single" w:sz="8" w:space="0" w:color="A6A6A6"/>
              <w:right w:val="single" w:sz="8" w:space="0" w:color="A6A6A6"/>
            </w:tcBorders>
            <w:noWrap/>
            <w:vAlign w:val="center"/>
            <w:hideMark/>
          </w:tcPr>
          <w:p w14:paraId="15588BA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436</w:t>
            </w:r>
          </w:p>
        </w:tc>
        <w:tc>
          <w:tcPr>
            <w:tcW w:w="960" w:type="dxa"/>
            <w:tcBorders>
              <w:top w:val="nil"/>
              <w:left w:val="nil"/>
              <w:bottom w:val="single" w:sz="8" w:space="0" w:color="A6A6A6"/>
              <w:right w:val="single" w:sz="8" w:space="0" w:color="A6A6A6"/>
            </w:tcBorders>
            <w:noWrap/>
            <w:vAlign w:val="center"/>
            <w:hideMark/>
          </w:tcPr>
          <w:p w14:paraId="00F15F6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322</w:t>
            </w:r>
          </w:p>
        </w:tc>
        <w:tc>
          <w:tcPr>
            <w:tcW w:w="1120" w:type="dxa"/>
            <w:tcBorders>
              <w:top w:val="nil"/>
              <w:left w:val="nil"/>
              <w:bottom w:val="single" w:sz="8" w:space="0" w:color="A6A6A6"/>
              <w:right w:val="single" w:sz="8" w:space="0" w:color="A6A6A6"/>
            </w:tcBorders>
            <w:noWrap/>
            <w:vAlign w:val="center"/>
            <w:hideMark/>
          </w:tcPr>
          <w:p w14:paraId="46E5C9E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319</w:t>
            </w:r>
          </w:p>
        </w:tc>
        <w:tc>
          <w:tcPr>
            <w:tcW w:w="1120" w:type="dxa"/>
            <w:tcBorders>
              <w:top w:val="nil"/>
              <w:left w:val="nil"/>
              <w:bottom w:val="single" w:sz="8" w:space="0" w:color="A6A6A6"/>
              <w:right w:val="single" w:sz="8" w:space="0" w:color="A6A6A6"/>
            </w:tcBorders>
            <w:noWrap/>
            <w:vAlign w:val="center"/>
            <w:hideMark/>
          </w:tcPr>
          <w:p w14:paraId="7880B5A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281</w:t>
            </w:r>
          </w:p>
        </w:tc>
      </w:tr>
      <w:tr w:rsidR="00826A3D" w:rsidRPr="000C6009" w14:paraId="3197BBC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4E1DDEE4"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Montacuto</w:t>
            </w:r>
          </w:p>
        </w:tc>
        <w:tc>
          <w:tcPr>
            <w:tcW w:w="1004" w:type="dxa"/>
            <w:tcBorders>
              <w:top w:val="nil"/>
              <w:left w:val="nil"/>
              <w:bottom w:val="single" w:sz="8" w:space="0" w:color="A6A6A6"/>
              <w:right w:val="single" w:sz="8" w:space="0" w:color="A6A6A6"/>
            </w:tcBorders>
            <w:noWrap/>
            <w:vAlign w:val="center"/>
            <w:hideMark/>
          </w:tcPr>
          <w:p w14:paraId="6AFCB35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512</w:t>
            </w:r>
          </w:p>
        </w:tc>
        <w:tc>
          <w:tcPr>
            <w:tcW w:w="960" w:type="dxa"/>
            <w:tcBorders>
              <w:top w:val="nil"/>
              <w:left w:val="nil"/>
              <w:bottom w:val="single" w:sz="8" w:space="0" w:color="A6A6A6"/>
              <w:right w:val="single" w:sz="8" w:space="0" w:color="A6A6A6"/>
            </w:tcBorders>
            <w:noWrap/>
            <w:vAlign w:val="center"/>
            <w:hideMark/>
          </w:tcPr>
          <w:p w14:paraId="7B79A4C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1.123</w:t>
            </w:r>
          </w:p>
        </w:tc>
        <w:tc>
          <w:tcPr>
            <w:tcW w:w="1120" w:type="dxa"/>
            <w:tcBorders>
              <w:top w:val="nil"/>
              <w:left w:val="nil"/>
              <w:bottom w:val="single" w:sz="8" w:space="0" w:color="A6A6A6"/>
              <w:right w:val="single" w:sz="8" w:space="0" w:color="A6A6A6"/>
            </w:tcBorders>
            <w:noWrap/>
            <w:vAlign w:val="center"/>
            <w:hideMark/>
          </w:tcPr>
          <w:p w14:paraId="04B3C79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248</w:t>
            </w:r>
          </w:p>
        </w:tc>
        <w:tc>
          <w:tcPr>
            <w:tcW w:w="1120" w:type="dxa"/>
            <w:tcBorders>
              <w:top w:val="nil"/>
              <w:left w:val="nil"/>
              <w:bottom w:val="single" w:sz="8" w:space="0" w:color="A6A6A6"/>
              <w:right w:val="single" w:sz="8" w:space="0" w:color="A6A6A6"/>
            </w:tcBorders>
            <w:noWrap/>
            <w:vAlign w:val="center"/>
            <w:hideMark/>
          </w:tcPr>
          <w:p w14:paraId="7FFD404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224</w:t>
            </w:r>
          </w:p>
        </w:tc>
      </w:tr>
      <w:tr w:rsidR="00826A3D" w:rsidRPr="000C6009" w14:paraId="76A7EF04"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250AE4E9"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Montaldo Bormida</w:t>
            </w:r>
          </w:p>
        </w:tc>
        <w:tc>
          <w:tcPr>
            <w:tcW w:w="1004" w:type="dxa"/>
            <w:tcBorders>
              <w:top w:val="nil"/>
              <w:left w:val="nil"/>
              <w:bottom w:val="single" w:sz="8" w:space="0" w:color="A6A6A6"/>
              <w:right w:val="single" w:sz="8" w:space="0" w:color="A6A6A6"/>
            </w:tcBorders>
            <w:noWrap/>
            <w:vAlign w:val="center"/>
            <w:hideMark/>
          </w:tcPr>
          <w:p w14:paraId="2DFC738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320</w:t>
            </w:r>
          </w:p>
        </w:tc>
        <w:tc>
          <w:tcPr>
            <w:tcW w:w="960" w:type="dxa"/>
            <w:tcBorders>
              <w:top w:val="nil"/>
              <w:left w:val="nil"/>
              <w:bottom w:val="single" w:sz="8" w:space="0" w:color="A6A6A6"/>
              <w:right w:val="single" w:sz="8" w:space="0" w:color="A6A6A6"/>
            </w:tcBorders>
            <w:noWrap/>
            <w:vAlign w:val="center"/>
            <w:hideMark/>
          </w:tcPr>
          <w:p w14:paraId="48E97E7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168</w:t>
            </w:r>
          </w:p>
        </w:tc>
        <w:tc>
          <w:tcPr>
            <w:tcW w:w="1120" w:type="dxa"/>
            <w:tcBorders>
              <w:top w:val="nil"/>
              <w:left w:val="nil"/>
              <w:bottom w:val="single" w:sz="8" w:space="0" w:color="A6A6A6"/>
              <w:right w:val="single" w:sz="8" w:space="0" w:color="A6A6A6"/>
            </w:tcBorders>
            <w:noWrap/>
            <w:vAlign w:val="center"/>
            <w:hideMark/>
          </w:tcPr>
          <w:p w14:paraId="40A5E62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605</w:t>
            </w:r>
          </w:p>
        </w:tc>
        <w:tc>
          <w:tcPr>
            <w:tcW w:w="1120" w:type="dxa"/>
            <w:tcBorders>
              <w:top w:val="nil"/>
              <w:left w:val="nil"/>
              <w:bottom w:val="single" w:sz="8" w:space="0" w:color="A6A6A6"/>
              <w:right w:val="single" w:sz="8" w:space="0" w:color="A6A6A6"/>
            </w:tcBorders>
            <w:noWrap/>
            <w:vAlign w:val="center"/>
            <w:hideMark/>
          </w:tcPr>
          <w:p w14:paraId="377AA20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528</w:t>
            </w:r>
          </w:p>
        </w:tc>
      </w:tr>
      <w:tr w:rsidR="00826A3D" w:rsidRPr="000C6009" w14:paraId="3459F90A"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238956EE"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Montechiaro d'Acqui</w:t>
            </w:r>
          </w:p>
        </w:tc>
        <w:tc>
          <w:tcPr>
            <w:tcW w:w="1004" w:type="dxa"/>
            <w:tcBorders>
              <w:top w:val="nil"/>
              <w:left w:val="nil"/>
              <w:bottom w:val="single" w:sz="8" w:space="0" w:color="A6A6A6"/>
              <w:right w:val="single" w:sz="8" w:space="0" w:color="A6A6A6"/>
            </w:tcBorders>
            <w:noWrap/>
            <w:vAlign w:val="center"/>
            <w:hideMark/>
          </w:tcPr>
          <w:p w14:paraId="66D8A04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515</w:t>
            </w:r>
          </w:p>
        </w:tc>
        <w:tc>
          <w:tcPr>
            <w:tcW w:w="960" w:type="dxa"/>
            <w:tcBorders>
              <w:top w:val="nil"/>
              <w:left w:val="nil"/>
              <w:bottom w:val="single" w:sz="8" w:space="0" w:color="A6A6A6"/>
              <w:right w:val="single" w:sz="8" w:space="0" w:color="A6A6A6"/>
            </w:tcBorders>
            <w:noWrap/>
            <w:vAlign w:val="center"/>
            <w:hideMark/>
          </w:tcPr>
          <w:p w14:paraId="1F89D05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428</w:t>
            </w:r>
          </w:p>
        </w:tc>
        <w:tc>
          <w:tcPr>
            <w:tcW w:w="1120" w:type="dxa"/>
            <w:tcBorders>
              <w:top w:val="nil"/>
              <w:left w:val="nil"/>
              <w:bottom w:val="single" w:sz="8" w:space="0" w:color="A6A6A6"/>
              <w:right w:val="single" w:sz="8" w:space="0" w:color="A6A6A6"/>
            </w:tcBorders>
            <w:noWrap/>
            <w:vAlign w:val="center"/>
            <w:hideMark/>
          </w:tcPr>
          <w:p w14:paraId="050B29F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504</w:t>
            </w:r>
          </w:p>
        </w:tc>
        <w:tc>
          <w:tcPr>
            <w:tcW w:w="1120" w:type="dxa"/>
            <w:tcBorders>
              <w:top w:val="nil"/>
              <w:left w:val="nil"/>
              <w:bottom w:val="single" w:sz="8" w:space="0" w:color="A6A6A6"/>
              <w:right w:val="single" w:sz="8" w:space="0" w:color="A6A6A6"/>
            </w:tcBorders>
            <w:noWrap/>
            <w:vAlign w:val="center"/>
            <w:hideMark/>
          </w:tcPr>
          <w:p w14:paraId="1855F30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444</w:t>
            </w:r>
          </w:p>
        </w:tc>
      </w:tr>
      <w:tr w:rsidR="00826A3D" w:rsidRPr="000C6009" w14:paraId="32EE8AD6"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AB3BAC3"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Montemarzino</w:t>
            </w:r>
          </w:p>
        </w:tc>
        <w:tc>
          <w:tcPr>
            <w:tcW w:w="1004" w:type="dxa"/>
            <w:tcBorders>
              <w:top w:val="nil"/>
              <w:left w:val="nil"/>
              <w:bottom w:val="single" w:sz="8" w:space="0" w:color="A6A6A6"/>
              <w:right w:val="single" w:sz="8" w:space="0" w:color="A6A6A6"/>
            </w:tcBorders>
            <w:noWrap/>
            <w:vAlign w:val="center"/>
            <w:hideMark/>
          </w:tcPr>
          <w:p w14:paraId="5C10CBA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450</w:t>
            </w:r>
          </w:p>
        </w:tc>
        <w:tc>
          <w:tcPr>
            <w:tcW w:w="960" w:type="dxa"/>
            <w:tcBorders>
              <w:top w:val="nil"/>
              <w:left w:val="nil"/>
              <w:bottom w:val="single" w:sz="8" w:space="0" w:color="A6A6A6"/>
              <w:right w:val="single" w:sz="8" w:space="0" w:color="A6A6A6"/>
            </w:tcBorders>
            <w:noWrap/>
            <w:vAlign w:val="center"/>
            <w:hideMark/>
          </w:tcPr>
          <w:p w14:paraId="0B6135B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273</w:t>
            </w:r>
          </w:p>
        </w:tc>
        <w:tc>
          <w:tcPr>
            <w:tcW w:w="1120" w:type="dxa"/>
            <w:tcBorders>
              <w:top w:val="nil"/>
              <w:left w:val="nil"/>
              <w:bottom w:val="single" w:sz="8" w:space="0" w:color="A6A6A6"/>
              <w:right w:val="single" w:sz="8" w:space="0" w:color="A6A6A6"/>
            </w:tcBorders>
            <w:noWrap/>
            <w:vAlign w:val="center"/>
            <w:hideMark/>
          </w:tcPr>
          <w:p w14:paraId="2B56468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306</w:t>
            </w:r>
          </w:p>
        </w:tc>
        <w:tc>
          <w:tcPr>
            <w:tcW w:w="1120" w:type="dxa"/>
            <w:tcBorders>
              <w:top w:val="nil"/>
              <w:left w:val="nil"/>
              <w:bottom w:val="single" w:sz="8" w:space="0" w:color="A6A6A6"/>
              <w:right w:val="single" w:sz="8" w:space="0" w:color="A6A6A6"/>
            </w:tcBorders>
            <w:noWrap/>
            <w:vAlign w:val="center"/>
            <w:hideMark/>
          </w:tcPr>
          <w:p w14:paraId="27DBB65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273</w:t>
            </w:r>
          </w:p>
        </w:tc>
      </w:tr>
      <w:tr w:rsidR="00826A3D" w:rsidRPr="000C6009" w14:paraId="594097F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450F0D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Montiglio Monferrato</w:t>
            </w:r>
          </w:p>
        </w:tc>
        <w:tc>
          <w:tcPr>
            <w:tcW w:w="1004" w:type="dxa"/>
            <w:tcBorders>
              <w:top w:val="nil"/>
              <w:left w:val="nil"/>
              <w:bottom w:val="single" w:sz="8" w:space="0" w:color="A6A6A6"/>
              <w:right w:val="single" w:sz="8" w:space="0" w:color="A6A6A6"/>
            </w:tcBorders>
            <w:noWrap/>
            <w:vAlign w:val="center"/>
            <w:hideMark/>
          </w:tcPr>
          <w:p w14:paraId="3033107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316</w:t>
            </w:r>
          </w:p>
        </w:tc>
        <w:tc>
          <w:tcPr>
            <w:tcW w:w="960" w:type="dxa"/>
            <w:tcBorders>
              <w:top w:val="nil"/>
              <w:left w:val="nil"/>
              <w:bottom w:val="single" w:sz="8" w:space="0" w:color="A6A6A6"/>
              <w:right w:val="single" w:sz="8" w:space="0" w:color="A6A6A6"/>
            </w:tcBorders>
            <w:noWrap/>
            <w:vAlign w:val="center"/>
            <w:hideMark/>
          </w:tcPr>
          <w:p w14:paraId="320B61D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191</w:t>
            </w:r>
          </w:p>
        </w:tc>
        <w:tc>
          <w:tcPr>
            <w:tcW w:w="1120" w:type="dxa"/>
            <w:tcBorders>
              <w:top w:val="nil"/>
              <w:left w:val="nil"/>
              <w:bottom w:val="single" w:sz="8" w:space="0" w:color="A6A6A6"/>
              <w:right w:val="single" w:sz="8" w:space="0" w:color="A6A6A6"/>
            </w:tcBorders>
            <w:noWrap/>
            <w:vAlign w:val="center"/>
            <w:hideMark/>
          </w:tcPr>
          <w:p w14:paraId="79B599A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1.496</w:t>
            </w:r>
          </w:p>
        </w:tc>
        <w:tc>
          <w:tcPr>
            <w:tcW w:w="1120" w:type="dxa"/>
            <w:tcBorders>
              <w:top w:val="nil"/>
              <w:left w:val="nil"/>
              <w:bottom w:val="single" w:sz="8" w:space="0" w:color="A6A6A6"/>
              <w:right w:val="single" w:sz="8" w:space="0" w:color="A6A6A6"/>
            </w:tcBorders>
            <w:noWrap/>
            <w:vAlign w:val="center"/>
            <w:hideMark/>
          </w:tcPr>
          <w:p w14:paraId="46D44AA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1.287</w:t>
            </w:r>
          </w:p>
        </w:tc>
      </w:tr>
      <w:tr w:rsidR="00826A3D" w:rsidRPr="000C6009" w14:paraId="10AF4F36"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E12105C"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Murisengo</w:t>
            </w:r>
          </w:p>
        </w:tc>
        <w:tc>
          <w:tcPr>
            <w:tcW w:w="1004" w:type="dxa"/>
            <w:tcBorders>
              <w:top w:val="nil"/>
              <w:left w:val="nil"/>
              <w:bottom w:val="single" w:sz="8" w:space="0" w:color="A6A6A6"/>
              <w:right w:val="single" w:sz="8" w:space="0" w:color="A6A6A6"/>
            </w:tcBorders>
            <w:noWrap/>
            <w:vAlign w:val="center"/>
            <w:hideMark/>
          </w:tcPr>
          <w:p w14:paraId="360A4D0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278</w:t>
            </w:r>
          </w:p>
        </w:tc>
        <w:tc>
          <w:tcPr>
            <w:tcW w:w="960" w:type="dxa"/>
            <w:tcBorders>
              <w:top w:val="nil"/>
              <w:left w:val="nil"/>
              <w:bottom w:val="single" w:sz="8" w:space="0" w:color="A6A6A6"/>
              <w:right w:val="single" w:sz="8" w:space="0" w:color="A6A6A6"/>
            </w:tcBorders>
            <w:noWrap/>
            <w:vAlign w:val="center"/>
            <w:hideMark/>
          </w:tcPr>
          <w:p w14:paraId="443AA4F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243</w:t>
            </w:r>
          </w:p>
        </w:tc>
        <w:tc>
          <w:tcPr>
            <w:tcW w:w="1120" w:type="dxa"/>
            <w:tcBorders>
              <w:top w:val="nil"/>
              <w:left w:val="nil"/>
              <w:bottom w:val="single" w:sz="8" w:space="0" w:color="A6A6A6"/>
              <w:right w:val="single" w:sz="8" w:space="0" w:color="A6A6A6"/>
            </w:tcBorders>
            <w:noWrap/>
            <w:vAlign w:val="center"/>
            <w:hideMark/>
          </w:tcPr>
          <w:p w14:paraId="18D78F3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1.272</w:t>
            </w:r>
          </w:p>
        </w:tc>
        <w:tc>
          <w:tcPr>
            <w:tcW w:w="1120" w:type="dxa"/>
            <w:tcBorders>
              <w:top w:val="nil"/>
              <w:left w:val="nil"/>
              <w:bottom w:val="single" w:sz="8" w:space="0" w:color="A6A6A6"/>
              <w:right w:val="single" w:sz="8" w:space="0" w:color="A6A6A6"/>
            </w:tcBorders>
            <w:noWrap/>
            <w:vAlign w:val="center"/>
            <w:hideMark/>
          </w:tcPr>
          <w:p w14:paraId="209F0C8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1.122</w:t>
            </w:r>
          </w:p>
        </w:tc>
      </w:tr>
      <w:tr w:rsidR="00826A3D" w:rsidRPr="000C6009" w14:paraId="3244517C"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07E93C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Odalengo Grande</w:t>
            </w:r>
          </w:p>
        </w:tc>
        <w:tc>
          <w:tcPr>
            <w:tcW w:w="1004" w:type="dxa"/>
            <w:tcBorders>
              <w:top w:val="nil"/>
              <w:left w:val="nil"/>
              <w:bottom w:val="single" w:sz="8" w:space="0" w:color="A6A6A6"/>
              <w:right w:val="single" w:sz="8" w:space="0" w:color="A6A6A6"/>
            </w:tcBorders>
            <w:noWrap/>
            <w:vAlign w:val="center"/>
            <w:hideMark/>
          </w:tcPr>
          <w:p w14:paraId="02F6EB0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375</w:t>
            </w:r>
          </w:p>
        </w:tc>
        <w:tc>
          <w:tcPr>
            <w:tcW w:w="960" w:type="dxa"/>
            <w:tcBorders>
              <w:top w:val="nil"/>
              <w:left w:val="nil"/>
              <w:bottom w:val="single" w:sz="8" w:space="0" w:color="A6A6A6"/>
              <w:right w:val="single" w:sz="8" w:space="0" w:color="A6A6A6"/>
            </w:tcBorders>
            <w:noWrap/>
            <w:vAlign w:val="center"/>
            <w:hideMark/>
          </w:tcPr>
          <w:p w14:paraId="55A2D01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262</w:t>
            </w:r>
          </w:p>
        </w:tc>
        <w:tc>
          <w:tcPr>
            <w:tcW w:w="1120" w:type="dxa"/>
            <w:tcBorders>
              <w:top w:val="nil"/>
              <w:left w:val="nil"/>
              <w:bottom w:val="single" w:sz="8" w:space="0" w:color="A6A6A6"/>
              <w:right w:val="single" w:sz="8" w:space="0" w:color="A6A6A6"/>
            </w:tcBorders>
            <w:noWrap/>
            <w:vAlign w:val="center"/>
            <w:hideMark/>
          </w:tcPr>
          <w:p w14:paraId="6216FCA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415</w:t>
            </w:r>
          </w:p>
        </w:tc>
        <w:tc>
          <w:tcPr>
            <w:tcW w:w="1120" w:type="dxa"/>
            <w:tcBorders>
              <w:top w:val="nil"/>
              <w:left w:val="nil"/>
              <w:bottom w:val="single" w:sz="8" w:space="0" w:color="A6A6A6"/>
              <w:right w:val="single" w:sz="8" w:space="0" w:color="A6A6A6"/>
            </w:tcBorders>
            <w:noWrap/>
            <w:vAlign w:val="center"/>
            <w:hideMark/>
          </w:tcPr>
          <w:p w14:paraId="26E820F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361</w:t>
            </w:r>
          </w:p>
        </w:tc>
      </w:tr>
      <w:tr w:rsidR="00826A3D" w:rsidRPr="000C6009" w14:paraId="524BBD56"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1F6C1A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Pareto</w:t>
            </w:r>
          </w:p>
        </w:tc>
        <w:tc>
          <w:tcPr>
            <w:tcW w:w="1004" w:type="dxa"/>
            <w:tcBorders>
              <w:top w:val="nil"/>
              <w:left w:val="nil"/>
              <w:bottom w:val="single" w:sz="8" w:space="0" w:color="A6A6A6"/>
              <w:right w:val="single" w:sz="8" w:space="0" w:color="A6A6A6"/>
            </w:tcBorders>
            <w:noWrap/>
            <w:vAlign w:val="center"/>
            <w:hideMark/>
          </w:tcPr>
          <w:p w14:paraId="7270526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451</w:t>
            </w:r>
          </w:p>
        </w:tc>
        <w:tc>
          <w:tcPr>
            <w:tcW w:w="960" w:type="dxa"/>
            <w:tcBorders>
              <w:top w:val="nil"/>
              <w:left w:val="nil"/>
              <w:bottom w:val="single" w:sz="8" w:space="0" w:color="A6A6A6"/>
              <w:right w:val="single" w:sz="8" w:space="0" w:color="A6A6A6"/>
            </w:tcBorders>
            <w:noWrap/>
            <w:vAlign w:val="center"/>
            <w:hideMark/>
          </w:tcPr>
          <w:p w14:paraId="5A16036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335</w:t>
            </w:r>
          </w:p>
        </w:tc>
        <w:tc>
          <w:tcPr>
            <w:tcW w:w="1120" w:type="dxa"/>
            <w:tcBorders>
              <w:top w:val="nil"/>
              <w:left w:val="nil"/>
              <w:bottom w:val="single" w:sz="8" w:space="0" w:color="A6A6A6"/>
              <w:right w:val="single" w:sz="8" w:space="0" w:color="A6A6A6"/>
            </w:tcBorders>
            <w:noWrap/>
            <w:vAlign w:val="center"/>
            <w:hideMark/>
          </w:tcPr>
          <w:p w14:paraId="198C4F1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498</w:t>
            </w:r>
          </w:p>
        </w:tc>
        <w:tc>
          <w:tcPr>
            <w:tcW w:w="1120" w:type="dxa"/>
            <w:tcBorders>
              <w:top w:val="nil"/>
              <w:left w:val="nil"/>
              <w:bottom w:val="single" w:sz="8" w:space="0" w:color="A6A6A6"/>
              <w:right w:val="single" w:sz="8" w:space="0" w:color="A6A6A6"/>
            </w:tcBorders>
            <w:noWrap/>
            <w:vAlign w:val="center"/>
            <w:hideMark/>
          </w:tcPr>
          <w:p w14:paraId="36C22D2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428</w:t>
            </w:r>
          </w:p>
        </w:tc>
      </w:tr>
      <w:tr w:rsidR="00826A3D" w:rsidRPr="000C6009" w14:paraId="430D2B0D"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EAB699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Piovà Massaia</w:t>
            </w:r>
          </w:p>
        </w:tc>
        <w:tc>
          <w:tcPr>
            <w:tcW w:w="1004" w:type="dxa"/>
            <w:tcBorders>
              <w:top w:val="nil"/>
              <w:left w:val="nil"/>
              <w:bottom w:val="single" w:sz="8" w:space="0" w:color="A6A6A6"/>
              <w:right w:val="single" w:sz="8" w:space="0" w:color="A6A6A6"/>
            </w:tcBorders>
            <w:noWrap/>
            <w:vAlign w:val="center"/>
            <w:hideMark/>
          </w:tcPr>
          <w:p w14:paraId="50FF1F3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302</w:t>
            </w:r>
          </w:p>
        </w:tc>
        <w:tc>
          <w:tcPr>
            <w:tcW w:w="960" w:type="dxa"/>
            <w:tcBorders>
              <w:top w:val="nil"/>
              <w:left w:val="nil"/>
              <w:bottom w:val="single" w:sz="8" w:space="0" w:color="A6A6A6"/>
              <w:right w:val="single" w:sz="8" w:space="0" w:color="A6A6A6"/>
            </w:tcBorders>
            <w:noWrap/>
            <w:vAlign w:val="center"/>
            <w:hideMark/>
          </w:tcPr>
          <w:p w14:paraId="665DA53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159</w:t>
            </w:r>
          </w:p>
        </w:tc>
        <w:tc>
          <w:tcPr>
            <w:tcW w:w="1120" w:type="dxa"/>
            <w:tcBorders>
              <w:top w:val="nil"/>
              <w:left w:val="nil"/>
              <w:bottom w:val="single" w:sz="8" w:space="0" w:color="A6A6A6"/>
              <w:right w:val="single" w:sz="8" w:space="0" w:color="A6A6A6"/>
            </w:tcBorders>
            <w:noWrap/>
            <w:vAlign w:val="center"/>
            <w:hideMark/>
          </w:tcPr>
          <w:p w14:paraId="31985B8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575</w:t>
            </w:r>
          </w:p>
        </w:tc>
        <w:tc>
          <w:tcPr>
            <w:tcW w:w="1120" w:type="dxa"/>
            <w:tcBorders>
              <w:top w:val="nil"/>
              <w:left w:val="nil"/>
              <w:bottom w:val="single" w:sz="8" w:space="0" w:color="A6A6A6"/>
              <w:right w:val="single" w:sz="8" w:space="0" w:color="A6A6A6"/>
            </w:tcBorders>
            <w:noWrap/>
            <w:vAlign w:val="center"/>
            <w:hideMark/>
          </w:tcPr>
          <w:p w14:paraId="3CFCA33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518</w:t>
            </w:r>
          </w:p>
        </w:tc>
      </w:tr>
      <w:tr w:rsidR="00826A3D" w:rsidRPr="000C6009" w14:paraId="790C913D"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6B39578E"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Ponti</w:t>
            </w:r>
          </w:p>
        </w:tc>
        <w:tc>
          <w:tcPr>
            <w:tcW w:w="1004" w:type="dxa"/>
            <w:tcBorders>
              <w:top w:val="nil"/>
              <w:left w:val="nil"/>
              <w:bottom w:val="single" w:sz="8" w:space="0" w:color="A6A6A6"/>
              <w:right w:val="single" w:sz="8" w:space="0" w:color="A6A6A6"/>
            </w:tcBorders>
            <w:noWrap/>
            <w:vAlign w:val="center"/>
            <w:hideMark/>
          </w:tcPr>
          <w:p w14:paraId="11E0C78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184</w:t>
            </w:r>
          </w:p>
        </w:tc>
        <w:tc>
          <w:tcPr>
            <w:tcW w:w="960" w:type="dxa"/>
            <w:tcBorders>
              <w:top w:val="nil"/>
              <w:left w:val="nil"/>
              <w:bottom w:val="single" w:sz="8" w:space="0" w:color="A6A6A6"/>
              <w:right w:val="single" w:sz="8" w:space="0" w:color="A6A6A6"/>
            </w:tcBorders>
            <w:noWrap/>
            <w:vAlign w:val="center"/>
            <w:hideMark/>
          </w:tcPr>
          <w:p w14:paraId="7752E03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391</w:t>
            </w:r>
          </w:p>
        </w:tc>
        <w:tc>
          <w:tcPr>
            <w:tcW w:w="1120" w:type="dxa"/>
            <w:tcBorders>
              <w:top w:val="nil"/>
              <w:left w:val="nil"/>
              <w:bottom w:val="single" w:sz="8" w:space="0" w:color="A6A6A6"/>
              <w:right w:val="single" w:sz="8" w:space="0" w:color="A6A6A6"/>
            </w:tcBorders>
            <w:noWrap/>
            <w:vAlign w:val="center"/>
            <w:hideMark/>
          </w:tcPr>
          <w:p w14:paraId="41700F2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514</w:t>
            </w:r>
          </w:p>
        </w:tc>
        <w:tc>
          <w:tcPr>
            <w:tcW w:w="1120" w:type="dxa"/>
            <w:tcBorders>
              <w:top w:val="nil"/>
              <w:left w:val="nil"/>
              <w:bottom w:val="single" w:sz="8" w:space="0" w:color="A6A6A6"/>
              <w:right w:val="single" w:sz="8" w:space="0" w:color="A6A6A6"/>
            </w:tcBorders>
            <w:noWrap/>
            <w:vAlign w:val="center"/>
            <w:hideMark/>
          </w:tcPr>
          <w:p w14:paraId="0301D9C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461</w:t>
            </w:r>
          </w:p>
        </w:tc>
      </w:tr>
      <w:tr w:rsidR="00826A3D" w:rsidRPr="000C6009" w14:paraId="2A3D3C4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22CCB38"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Ponzone</w:t>
            </w:r>
          </w:p>
        </w:tc>
        <w:tc>
          <w:tcPr>
            <w:tcW w:w="1004" w:type="dxa"/>
            <w:tcBorders>
              <w:top w:val="nil"/>
              <w:left w:val="nil"/>
              <w:bottom w:val="single" w:sz="8" w:space="0" w:color="A6A6A6"/>
              <w:right w:val="single" w:sz="8" w:space="0" w:color="A6A6A6"/>
            </w:tcBorders>
            <w:noWrap/>
            <w:vAlign w:val="center"/>
            <w:hideMark/>
          </w:tcPr>
          <w:p w14:paraId="3B7D101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603</w:t>
            </w:r>
          </w:p>
        </w:tc>
        <w:tc>
          <w:tcPr>
            <w:tcW w:w="960" w:type="dxa"/>
            <w:tcBorders>
              <w:top w:val="nil"/>
              <w:left w:val="nil"/>
              <w:bottom w:val="single" w:sz="8" w:space="0" w:color="A6A6A6"/>
              <w:right w:val="single" w:sz="8" w:space="0" w:color="A6A6A6"/>
            </w:tcBorders>
            <w:noWrap/>
            <w:vAlign w:val="center"/>
            <w:hideMark/>
          </w:tcPr>
          <w:p w14:paraId="47DE253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551</w:t>
            </w:r>
          </w:p>
        </w:tc>
        <w:tc>
          <w:tcPr>
            <w:tcW w:w="1120" w:type="dxa"/>
            <w:tcBorders>
              <w:top w:val="nil"/>
              <w:left w:val="nil"/>
              <w:bottom w:val="single" w:sz="8" w:space="0" w:color="A6A6A6"/>
              <w:right w:val="single" w:sz="8" w:space="0" w:color="A6A6A6"/>
            </w:tcBorders>
            <w:noWrap/>
            <w:vAlign w:val="center"/>
            <w:hideMark/>
          </w:tcPr>
          <w:p w14:paraId="3047261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1.007</w:t>
            </w:r>
          </w:p>
        </w:tc>
        <w:tc>
          <w:tcPr>
            <w:tcW w:w="1120" w:type="dxa"/>
            <w:tcBorders>
              <w:top w:val="nil"/>
              <w:left w:val="nil"/>
              <w:bottom w:val="single" w:sz="8" w:space="0" w:color="A6A6A6"/>
              <w:right w:val="single" w:sz="8" w:space="0" w:color="A6A6A6"/>
            </w:tcBorders>
            <w:noWrap/>
            <w:vAlign w:val="center"/>
            <w:hideMark/>
          </w:tcPr>
          <w:p w14:paraId="348D428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886</w:t>
            </w:r>
          </w:p>
        </w:tc>
      </w:tr>
      <w:tr w:rsidR="00826A3D" w:rsidRPr="000C6009" w14:paraId="7CD09406"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A3D915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Rivalta Bormida</w:t>
            </w:r>
          </w:p>
        </w:tc>
        <w:tc>
          <w:tcPr>
            <w:tcW w:w="1004" w:type="dxa"/>
            <w:tcBorders>
              <w:top w:val="nil"/>
              <w:left w:val="nil"/>
              <w:bottom w:val="single" w:sz="8" w:space="0" w:color="A6A6A6"/>
              <w:right w:val="single" w:sz="8" w:space="0" w:color="A6A6A6"/>
            </w:tcBorders>
            <w:noWrap/>
            <w:vAlign w:val="center"/>
            <w:hideMark/>
          </w:tcPr>
          <w:p w14:paraId="76FC5BA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142</w:t>
            </w:r>
          </w:p>
        </w:tc>
        <w:tc>
          <w:tcPr>
            <w:tcW w:w="960" w:type="dxa"/>
            <w:tcBorders>
              <w:top w:val="nil"/>
              <w:left w:val="nil"/>
              <w:bottom w:val="single" w:sz="8" w:space="0" w:color="A6A6A6"/>
              <w:right w:val="single" w:sz="8" w:space="0" w:color="A6A6A6"/>
            </w:tcBorders>
            <w:noWrap/>
            <w:vAlign w:val="center"/>
            <w:hideMark/>
          </w:tcPr>
          <w:p w14:paraId="4A556C0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154</w:t>
            </w:r>
          </w:p>
        </w:tc>
        <w:tc>
          <w:tcPr>
            <w:tcW w:w="1120" w:type="dxa"/>
            <w:tcBorders>
              <w:top w:val="nil"/>
              <w:left w:val="nil"/>
              <w:bottom w:val="single" w:sz="8" w:space="0" w:color="A6A6A6"/>
              <w:right w:val="single" w:sz="8" w:space="0" w:color="A6A6A6"/>
            </w:tcBorders>
            <w:noWrap/>
            <w:vAlign w:val="center"/>
            <w:hideMark/>
          </w:tcPr>
          <w:p w14:paraId="4A1E89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1.373</w:t>
            </w:r>
          </w:p>
        </w:tc>
        <w:tc>
          <w:tcPr>
            <w:tcW w:w="1120" w:type="dxa"/>
            <w:tcBorders>
              <w:top w:val="nil"/>
              <w:left w:val="nil"/>
              <w:bottom w:val="single" w:sz="8" w:space="0" w:color="A6A6A6"/>
              <w:right w:val="single" w:sz="8" w:space="0" w:color="A6A6A6"/>
            </w:tcBorders>
            <w:noWrap/>
            <w:vAlign w:val="center"/>
            <w:hideMark/>
          </w:tcPr>
          <w:p w14:paraId="107BEA1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1.184</w:t>
            </w:r>
          </w:p>
        </w:tc>
      </w:tr>
      <w:tr w:rsidR="00826A3D" w:rsidRPr="000C6009" w14:paraId="387A89D2"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68CBAD4D"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Rocca Grimalda</w:t>
            </w:r>
          </w:p>
        </w:tc>
        <w:tc>
          <w:tcPr>
            <w:tcW w:w="1004" w:type="dxa"/>
            <w:tcBorders>
              <w:top w:val="nil"/>
              <w:left w:val="nil"/>
              <w:bottom w:val="single" w:sz="8" w:space="0" w:color="A6A6A6"/>
              <w:right w:val="single" w:sz="8" w:space="0" w:color="A6A6A6"/>
            </w:tcBorders>
            <w:noWrap/>
            <w:vAlign w:val="center"/>
            <w:hideMark/>
          </w:tcPr>
          <w:p w14:paraId="68C45E6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277</w:t>
            </w:r>
          </w:p>
        </w:tc>
        <w:tc>
          <w:tcPr>
            <w:tcW w:w="960" w:type="dxa"/>
            <w:tcBorders>
              <w:top w:val="nil"/>
              <w:left w:val="nil"/>
              <w:bottom w:val="single" w:sz="8" w:space="0" w:color="A6A6A6"/>
              <w:right w:val="single" w:sz="8" w:space="0" w:color="A6A6A6"/>
            </w:tcBorders>
            <w:noWrap/>
            <w:vAlign w:val="center"/>
            <w:hideMark/>
          </w:tcPr>
          <w:p w14:paraId="50658F4C"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220</w:t>
            </w:r>
          </w:p>
        </w:tc>
        <w:tc>
          <w:tcPr>
            <w:tcW w:w="1120" w:type="dxa"/>
            <w:tcBorders>
              <w:top w:val="nil"/>
              <w:left w:val="nil"/>
              <w:bottom w:val="single" w:sz="8" w:space="0" w:color="A6A6A6"/>
              <w:right w:val="single" w:sz="8" w:space="0" w:color="A6A6A6"/>
            </w:tcBorders>
            <w:noWrap/>
            <w:vAlign w:val="center"/>
            <w:hideMark/>
          </w:tcPr>
          <w:p w14:paraId="63372B3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1.407</w:t>
            </w:r>
          </w:p>
        </w:tc>
        <w:tc>
          <w:tcPr>
            <w:tcW w:w="1120" w:type="dxa"/>
            <w:tcBorders>
              <w:top w:val="nil"/>
              <w:left w:val="nil"/>
              <w:bottom w:val="single" w:sz="8" w:space="0" w:color="A6A6A6"/>
              <w:right w:val="single" w:sz="8" w:space="0" w:color="A6A6A6"/>
            </w:tcBorders>
            <w:noWrap/>
            <w:vAlign w:val="center"/>
            <w:hideMark/>
          </w:tcPr>
          <w:p w14:paraId="56814680"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1.269</w:t>
            </w:r>
          </w:p>
        </w:tc>
      </w:tr>
      <w:tr w:rsidR="00826A3D" w:rsidRPr="000C6009" w14:paraId="00356EE8"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00617A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Roccaforte Ligure</w:t>
            </w:r>
          </w:p>
        </w:tc>
        <w:tc>
          <w:tcPr>
            <w:tcW w:w="1004" w:type="dxa"/>
            <w:tcBorders>
              <w:top w:val="nil"/>
              <w:left w:val="nil"/>
              <w:bottom w:val="single" w:sz="8" w:space="0" w:color="A6A6A6"/>
              <w:right w:val="single" w:sz="8" w:space="0" w:color="A6A6A6"/>
            </w:tcBorders>
            <w:noWrap/>
            <w:vAlign w:val="center"/>
            <w:hideMark/>
          </w:tcPr>
          <w:p w14:paraId="14C63DC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706</w:t>
            </w:r>
          </w:p>
        </w:tc>
        <w:tc>
          <w:tcPr>
            <w:tcW w:w="960" w:type="dxa"/>
            <w:tcBorders>
              <w:top w:val="nil"/>
              <w:left w:val="nil"/>
              <w:bottom w:val="single" w:sz="8" w:space="0" w:color="A6A6A6"/>
              <w:right w:val="single" w:sz="8" w:space="0" w:color="A6A6A6"/>
            </w:tcBorders>
            <w:noWrap/>
            <w:vAlign w:val="center"/>
            <w:hideMark/>
          </w:tcPr>
          <w:p w14:paraId="143BF80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620</w:t>
            </w:r>
          </w:p>
        </w:tc>
        <w:tc>
          <w:tcPr>
            <w:tcW w:w="1120" w:type="dxa"/>
            <w:tcBorders>
              <w:top w:val="nil"/>
              <w:left w:val="nil"/>
              <w:bottom w:val="single" w:sz="8" w:space="0" w:color="A6A6A6"/>
              <w:right w:val="single" w:sz="8" w:space="0" w:color="A6A6A6"/>
            </w:tcBorders>
            <w:noWrap/>
            <w:vAlign w:val="center"/>
            <w:hideMark/>
          </w:tcPr>
          <w:p w14:paraId="5BA6A8A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129</w:t>
            </w:r>
          </w:p>
        </w:tc>
        <w:tc>
          <w:tcPr>
            <w:tcW w:w="1120" w:type="dxa"/>
            <w:tcBorders>
              <w:top w:val="nil"/>
              <w:left w:val="nil"/>
              <w:bottom w:val="single" w:sz="8" w:space="0" w:color="A6A6A6"/>
              <w:right w:val="single" w:sz="8" w:space="0" w:color="A6A6A6"/>
            </w:tcBorders>
            <w:noWrap/>
            <w:vAlign w:val="center"/>
            <w:hideMark/>
          </w:tcPr>
          <w:p w14:paraId="23A15B3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107</w:t>
            </w:r>
          </w:p>
        </w:tc>
      </w:tr>
      <w:tr w:rsidR="00826A3D" w:rsidRPr="000C6009" w14:paraId="60DEAE45"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CEC5B8D"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Roccaverano</w:t>
            </w:r>
          </w:p>
        </w:tc>
        <w:tc>
          <w:tcPr>
            <w:tcW w:w="1004" w:type="dxa"/>
            <w:tcBorders>
              <w:top w:val="nil"/>
              <w:left w:val="nil"/>
              <w:bottom w:val="single" w:sz="8" w:space="0" w:color="A6A6A6"/>
              <w:right w:val="single" w:sz="8" w:space="0" w:color="A6A6A6"/>
            </w:tcBorders>
            <w:noWrap/>
            <w:vAlign w:val="center"/>
            <w:hideMark/>
          </w:tcPr>
          <w:p w14:paraId="3280FC9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743</w:t>
            </w:r>
          </w:p>
        </w:tc>
        <w:tc>
          <w:tcPr>
            <w:tcW w:w="960" w:type="dxa"/>
            <w:tcBorders>
              <w:top w:val="nil"/>
              <w:left w:val="nil"/>
              <w:bottom w:val="single" w:sz="8" w:space="0" w:color="A6A6A6"/>
              <w:right w:val="single" w:sz="8" w:space="0" w:color="A6A6A6"/>
            </w:tcBorders>
            <w:noWrap/>
            <w:vAlign w:val="center"/>
            <w:hideMark/>
          </w:tcPr>
          <w:p w14:paraId="19667F2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519</w:t>
            </w:r>
          </w:p>
        </w:tc>
        <w:tc>
          <w:tcPr>
            <w:tcW w:w="1120" w:type="dxa"/>
            <w:tcBorders>
              <w:top w:val="nil"/>
              <w:left w:val="nil"/>
              <w:bottom w:val="single" w:sz="8" w:space="0" w:color="A6A6A6"/>
              <w:right w:val="single" w:sz="8" w:space="0" w:color="A6A6A6"/>
            </w:tcBorders>
            <w:noWrap/>
            <w:vAlign w:val="center"/>
            <w:hideMark/>
          </w:tcPr>
          <w:p w14:paraId="0C28B64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374</w:t>
            </w:r>
          </w:p>
        </w:tc>
        <w:tc>
          <w:tcPr>
            <w:tcW w:w="1120" w:type="dxa"/>
            <w:tcBorders>
              <w:top w:val="nil"/>
              <w:left w:val="nil"/>
              <w:bottom w:val="single" w:sz="8" w:space="0" w:color="A6A6A6"/>
              <w:right w:val="single" w:sz="8" w:space="0" w:color="A6A6A6"/>
            </w:tcBorders>
            <w:noWrap/>
            <w:vAlign w:val="center"/>
            <w:hideMark/>
          </w:tcPr>
          <w:p w14:paraId="10E5F46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323</w:t>
            </w:r>
          </w:p>
        </w:tc>
      </w:tr>
      <w:tr w:rsidR="00826A3D" w:rsidRPr="000C6009" w14:paraId="4E5F417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9D08181"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Rocchetta Ligure</w:t>
            </w:r>
          </w:p>
        </w:tc>
        <w:tc>
          <w:tcPr>
            <w:tcW w:w="1004" w:type="dxa"/>
            <w:tcBorders>
              <w:top w:val="nil"/>
              <w:left w:val="nil"/>
              <w:bottom w:val="single" w:sz="8" w:space="0" w:color="A6A6A6"/>
              <w:right w:val="single" w:sz="8" w:space="0" w:color="A6A6A6"/>
            </w:tcBorders>
            <w:noWrap/>
            <w:vAlign w:val="center"/>
            <w:hideMark/>
          </w:tcPr>
          <w:p w14:paraId="2F05160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389</w:t>
            </w:r>
          </w:p>
        </w:tc>
        <w:tc>
          <w:tcPr>
            <w:tcW w:w="960" w:type="dxa"/>
            <w:tcBorders>
              <w:top w:val="nil"/>
              <w:left w:val="nil"/>
              <w:bottom w:val="single" w:sz="8" w:space="0" w:color="A6A6A6"/>
              <w:right w:val="single" w:sz="8" w:space="0" w:color="A6A6A6"/>
            </w:tcBorders>
            <w:noWrap/>
            <w:vAlign w:val="center"/>
            <w:hideMark/>
          </w:tcPr>
          <w:p w14:paraId="712B783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496</w:t>
            </w:r>
          </w:p>
        </w:tc>
        <w:tc>
          <w:tcPr>
            <w:tcW w:w="1120" w:type="dxa"/>
            <w:tcBorders>
              <w:top w:val="nil"/>
              <w:left w:val="nil"/>
              <w:bottom w:val="single" w:sz="8" w:space="0" w:color="A6A6A6"/>
              <w:right w:val="single" w:sz="8" w:space="0" w:color="A6A6A6"/>
            </w:tcBorders>
            <w:noWrap/>
            <w:vAlign w:val="center"/>
            <w:hideMark/>
          </w:tcPr>
          <w:p w14:paraId="2BAFB61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223</w:t>
            </w:r>
          </w:p>
        </w:tc>
        <w:tc>
          <w:tcPr>
            <w:tcW w:w="1120" w:type="dxa"/>
            <w:tcBorders>
              <w:top w:val="nil"/>
              <w:left w:val="nil"/>
              <w:bottom w:val="single" w:sz="8" w:space="0" w:color="A6A6A6"/>
              <w:right w:val="single" w:sz="8" w:space="0" w:color="A6A6A6"/>
            </w:tcBorders>
            <w:noWrap/>
            <w:vAlign w:val="center"/>
            <w:hideMark/>
          </w:tcPr>
          <w:p w14:paraId="0EEA522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203</w:t>
            </w:r>
          </w:p>
        </w:tc>
      </w:tr>
      <w:tr w:rsidR="00826A3D" w:rsidRPr="000C6009" w14:paraId="7B745B2C"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75E75A0"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Spigno Monferrato</w:t>
            </w:r>
          </w:p>
        </w:tc>
        <w:tc>
          <w:tcPr>
            <w:tcW w:w="1004" w:type="dxa"/>
            <w:tcBorders>
              <w:top w:val="nil"/>
              <w:left w:val="nil"/>
              <w:bottom w:val="single" w:sz="8" w:space="0" w:color="A6A6A6"/>
              <w:right w:val="single" w:sz="8" w:space="0" w:color="A6A6A6"/>
            </w:tcBorders>
            <w:noWrap/>
            <w:vAlign w:val="center"/>
            <w:hideMark/>
          </w:tcPr>
          <w:p w14:paraId="3DD3525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242</w:t>
            </w:r>
          </w:p>
        </w:tc>
        <w:tc>
          <w:tcPr>
            <w:tcW w:w="960" w:type="dxa"/>
            <w:tcBorders>
              <w:top w:val="nil"/>
              <w:left w:val="nil"/>
              <w:bottom w:val="single" w:sz="8" w:space="0" w:color="A6A6A6"/>
              <w:right w:val="single" w:sz="8" w:space="0" w:color="A6A6A6"/>
            </w:tcBorders>
            <w:noWrap/>
            <w:vAlign w:val="center"/>
            <w:hideMark/>
          </w:tcPr>
          <w:p w14:paraId="6F0ABDE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420</w:t>
            </w:r>
          </w:p>
        </w:tc>
        <w:tc>
          <w:tcPr>
            <w:tcW w:w="1120" w:type="dxa"/>
            <w:tcBorders>
              <w:top w:val="nil"/>
              <w:left w:val="nil"/>
              <w:bottom w:val="single" w:sz="8" w:space="0" w:color="A6A6A6"/>
              <w:right w:val="single" w:sz="8" w:space="0" w:color="A6A6A6"/>
            </w:tcBorders>
            <w:noWrap/>
            <w:vAlign w:val="center"/>
            <w:hideMark/>
          </w:tcPr>
          <w:p w14:paraId="0A2523A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898</w:t>
            </w:r>
          </w:p>
        </w:tc>
        <w:tc>
          <w:tcPr>
            <w:tcW w:w="1120" w:type="dxa"/>
            <w:tcBorders>
              <w:top w:val="nil"/>
              <w:left w:val="nil"/>
              <w:bottom w:val="single" w:sz="8" w:space="0" w:color="A6A6A6"/>
              <w:right w:val="single" w:sz="8" w:space="0" w:color="A6A6A6"/>
            </w:tcBorders>
            <w:noWrap/>
            <w:vAlign w:val="center"/>
            <w:hideMark/>
          </w:tcPr>
          <w:p w14:paraId="4DD4E57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795</w:t>
            </w:r>
          </w:p>
        </w:tc>
      </w:tr>
      <w:tr w:rsidR="00826A3D" w:rsidRPr="000C6009" w14:paraId="165D7F05"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39DAAFBB"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Strevi</w:t>
            </w:r>
          </w:p>
        </w:tc>
        <w:tc>
          <w:tcPr>
            <w:tcW w:w="1004" w:type="dxa"/>
            <w:tcBorders>
              <w:top w:val="nil"/>
              <w:left w:val="nil"/>
              <w:bottom w:val="single" w:sz="8" w:space="0" w:color="A6A6A6"/>
              <w:right w:val="single" w:sz="8" w:space="0" w:color="A6A6A6"/>
            </w:tcBorders>
            <w:noWrap/>
            <w:vAlign w:val="center"/>
            <w:hideMark/>
          </w:tcPr>
          <w:p w14:paraId="15945F72"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162</w:t>
            </w:r>
          </w:p>
        </w:tc>
        <w:tc>
          <w:tcPr>
            <w:tcW w:w="960" w:type="dxa"/>
            <w:tcBorders>
              <w:top w:val="nil"/>
              <w:left w:val="nil"/>
              <w:bottom w:val="single" w:sz="8" w:space="0" w:color="A6A6A6"/>
              <w:right w:val="single" w:sz="8" w:space="0" w:color="A6A6A6"/>
            </w:tcBorders>
            <w:noWrap/>
            <w:vAlign w:val="center"/>
            <w:hideMark/>
          </w:tcPr>
          <w:p w14:paraId="781E48F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205</w:t>
            </w:r>
          </w:p>
        </w:tc>
        <w:tc>
          <w:tcPr>
            <w:tcW w:w="1120" w:type="dxa"/>
            <w:tcBorders>
              <w:top w:val="nil"/>
              <w:left w:val="nil"/>
              <w:bottom w:val="single" w:sz="8" w:space="0" w:color="A6A6A6"/>
              <w:right w:val="single" w:sz="8" w:space="0" w:color="A6A6A6"/>
            </w:tcBorders>
            <w:noWrap/>
            <w:vAlign w:val="center"/>
            <w:hideMark/>
          </w:tcPr>
          <w:p w14:paraId="3CE2208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1.928</w:t>
            </w:r>
          </w:p>
        </w:tc>
        <w:tc>
          <w:tcPr>
            <w:tcW w:w="1120" w:type="dxa"/>
            <w:tcBorders>
              <w:top w:val="nil"/>
              <w:left w:val="nil"/>
              <w:bottom w:val="single" w:sz="8" w:space="0" w:color="A6A6A6"/>
              <w:right w:val="single" w:sz="8" w:space="0" w:color="A6A6A6"/>
            </w:tcBorders>
            <w:noWrap/>
            <w:vAlign w:val="center"/>
            <w:hideMark/>
          </w:tcPr>
          <w:p w14:paraId="4A07553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1.692</w:t>
            </w:r>
          </w:p>
        </w:tc>
      </w:tr>
      <w:tr w:rsidR="00826A3D" w:rsidRPr="000C6009" w14:paraId="18584964"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1BDE9A5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Tagliolo Monferrato</w:t>
            </w:r>
          </w:p>
        </w:tc>
        <w:tc>
          <w:tcPr>
            <w:tcW w:w="1004" w:type="dxa"/>
            <w:tcBorders>
              <w:top w:val="nil"/>
              <w:left w:val="nil"/>
              <w:bottom w:val="single" w:sz="8" w:space="0" w:color="A6A6A6"/>
              <w:right w:val="single" w:sz="8" w:space="0" w:color="A6A6A6"/>
            </w:tcBorders>
            <w:noWrap/>
            <w:vAlign w:val="center"/>
            <w:hideMark/>
          </w:tcPr>
          <w:p w14:paraId="45D3C5E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304</w:t>
            </w:r>
          </w:p>
        </w:tc>
        <w:tc>
          <w:tcPr>
            <w:tcW w:w="960" w:type="dxa"/>
            <w:tcBorders>
              <w:top w:val="nil"/>
              <w:left w:val="nil"/>
              <w:bottom w:val="single" w:sz="8" w:space="0" w:color="A6A6A6"/>
              <w:right w:val="single" w:sz="8" w:space="0" w:color="A6A6A6"/>
            </w:tcBorders>
            <w:noWrap/>
            <w:vAlign w:val="center"/>
            <w:hideMark/>
          </w:tcPr>
          <w:p w14:paraId="685D42D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683</w:t>
            </w:r>
          </w:p>
        </w:tc>
        <w:tc>
          <w:tcPr>
            <w:tcW w:w="1120" w:type="dxa"/>
            <w:tcBorders>
              <w:top w:val="nil"/>
              <w:left w:val="nil"/>
              <w:bottom w:val="single" w:sz="8" w:space="0" w:color="A6A6A6"/>
              <w:right w:val="single" w:sz="8" w:space="0" w:color="A6A6A6"/>
            </w:tcBorders>
            <w:noWrap/>
            <w:vAlign w:val="center"/>
            <w:hideMark/>
          </w:tcPr>
          <w:p w14:paraId="5CDAAE0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1.493</w:t>
            </w:r>
          </w:p>
        </w:tc>
        <w:tc>
          <w:tcPr>
            <w:tcW w:w="1120" w:type="dxa"/>
            <w:tcBorders>
              <w:top w:val="nil"/>
              <w:left w:val="nil"/>
              <w:bottom w:val="single" w:sz="8" w:space="0" w:color="A6A6A6"/>
              <w:right w:val="single" w:sz="8" w:space="0" w:color="A6A6A6"/>
            </w:tcBorders>
            <w:noWrap/>
            <w:vAlign w:val="center"/>
            <w:hideMark/>
          </w:tcPr>
          <w:p w14:paraId="4C529CD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1.336</w:t>
            </w:r>
          </w:p>
        </w:tc>
      </w:tr>
      <w:tr w:rsidR="00826A3D" w:rsidRPr="000C6009" w14:paraId="1B4C1453"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0E042DEA"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Terzo</w:t>
            </w:r>
          </w:p>
        </w:tc>
        <w:tc>
          <w:tcPr>
            <w:tcW w:w="1004" w:type="dxa"/>
            <w:tcBorders>
              <w:top w:val="nil"/>
              <w:left w:val="nil"/>
              <w:bottom w:val="single" w:sz="8" w:space="0" w:color="A6A6A6"/>
              <w:right w:val="single" w:sz="8" w:space="0" w:color="A6A6A6"/>
            </w:tcBorders>
            <w:noWrap/>
            <w:vAlign w:val="center"/>
            <w:hideMark/>
          </w:tcPr>
          <w:p w14:paraId="5162206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222</w:t>
            </w:r>
          </w:p>
        </w:tc>
        <w:tc>
          <w:tcPr>
            <w:tcW w:w="960" w:type="dxa"/>
            <w:tcBorders>
              <w:top w:val="nil"/>
              <w:left w:val="nil"/>
              <w:bottom w:val="single" w:sz="8" w:space="0" w:color="A6A6A6"/>
              <w:right w:val="single" w:sz="8" w:space="0" w:color="A6A6A6"/>
            </w:tcBorders>
            <w:noWrap/>
            <w:vAlign w:val="center"/>
            <w:hideMark/>
          </w:tcPr>
          <w:p w14:paraId="3C820AAD"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229</w:t>
            </w:r>
          </w:p>
        </w:tc>
        <w:tc>
          <w:tcPr>
            <w:tcW w:w="1120" w:type="dxa"/>
            <w:tcBorders>
              <w:top w:val="nil"/>
              <w:left w:val="nil"/>
              <w:bottom w:val="single" w:sz="8" w:space="0" w:color="A6A6A6"/>
              <w:right w:val="single" w:sz="8" w:space="0" w:color="A6A6A6"/>
            </w:tcBorders>
            <w:noWrap/>
            <w:vAlign w:val="center"/>
            <w:hideMark/>
          </w:tcPr>
          <w:p w14:paraId="63E060F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822</w:t>
            </w:r>
          </w:p>
        </w:tc>
        <w:tc>
          <w:tcPr>
            <w:tcW w:w="1120" w:type="dxa"/>
            <w:tcBorders>
              <w:top w:val="nil"/>
              <w:left w:val="nil"/>
              <w:bottom w:val="single" w:sz="8" w:space="0" w:color="A6A6A6"/>
              <w:right w:val="single" w:sz="8" w:space="0" w:color="A6A6A6"/>
            </w:tcBorders>
            <w:noWrap/>
            <w:vAlign w:val="center"/>
            <w:hideMark/>
          </w:tcPr>
          <w:p w14:paraId="31F4E6EE"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738</w:t>
            </w:r>
          </w:p>
        </w:tc>
      </w:tr>
      <w:tr w:rsidR="00826A3D" w:rsidRPr="000C6009" w14:paraId="7E50A5EF"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50B48227"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Trisobbio</w:t>
            </w:r>
          </w:p>
        </w:tc>
        <w:tc>
          <w:tcPr>
            <w:tcW w:w="1004" w:type="dxa"/>
            <w:tcBorders>
              <w:top w:val="nil"/>
              <w:left w:val="nil"/>
              <w:bottom w:val="single" w:sz="8" w:space="0" w:color="A6A6A6"/>
              <w:right w:val="single" w:sz="8" w:space="0" w:color="A6A6A6"/>
            </w:tcBorders>
            <w:noWrap/>
            <w:vAlign w:val="center"/>
            <w:hideMark/>
          </w:tcPr>
          <w:p w14:paraId="37F1EF61"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328</w:t>
            </w:r>
          </w:p>
        </w:tc>
        <w:tc>
          <w:tcPr>
            <w:tcW w:w="960" w:type="dxa"/>
            <w:tcBorders>
              <w:top w:val="nil"/>
              <w:left w:val="nil"/>
              <w:bottom w:val="single" w:sz="8" w:space="0" w:color="A6A6A6"/>
              <w:right w:val="single" w:sz="8" w:space="0" w:color="A6A6A6"/>
            </w:tcBorders>
            <w:noWrap/>
            <w:vAlign w:val="center"/>
            <w:hideMark/>
          </w:tcPr>
          <w:p w14:paraId="5779349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222</w:t>
            </w:r>
          </w:p>
        </w:tc>
        <w:tc>
          <w:tcPr>
            <w:tcW w:w="1120" w:type="dxa"/>
            <w:tcBorders>
              <w:top w:val="nil"/>
              <w:left w:val="nil"/>
              <w:bottom w:val="single" w:sz="8" w:space="0" w:color="A6A6A6"/>
              <w:right w:val="single" w:sz="8" w:space="0" w:color="A6A6A6"/>
            </w:tcBorders>
            <w:noWrap/>
            <w:vAlign w:val="center"/>
            <w:hideMark/>
          </w:tcPr>
          <w:p w14:paraId="5FE2F186"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655</w:t>
            </w:r>
          </w:p>
        </w:tc>
        <w:tc>
          <w:tcPr>
            <w:tcW w:w="1120" w:type="dxa"/>
            <w:tcBorders>
              <w:top w:val="nil"/>
              <w:left w:val="nil"/>
              <w:bottom w:val="single" w:sz="8" w:space="0" w:color="A6A6A6"/>
              <w:right w:val="single" w:sz="8" w:space="0" w:color="A6A6A6"/>
            </w:tcBorders>
            <w:noWrap/>
            <w:vAlign w:val="center"/>
            <w:hideMark/>
          </w:tcPr>
          <w:p w14:paraId="205880C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591</w:t>
            </w:r>
          </w:p>
        </w:tc>
      </w:tr>
      <w:tr w:rsidR="00826A3D" w:rsidRPr="000C6009" w14:paraId="6F06CA81"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6FAADA5"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Villadeati</w:t>
            </w:r>
          </w:p>
        </w:tc>
        <w:tc>
          <w:tcPr>
            <w:tcW w:w="1004" w:type="dxa"/>
            <w:tcBorders>
              <w:top w:val="nil"/>
              <w:left w:val="nil"/>
              <w:bottom w:val="single" w:sz="8" w:space="0" w:color="A6A6A6"/>
              <w:right w:val="single" w:sz="8" w:space="0" w:color="A6A6A6"/>
            </w:tcBorders>
            <w:noWrap/>
            <w:vAlign w:val="center"/>
            <w:hideMark/>
          </w:tcPr>
          <w:p w14:paraId="09E47B7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364</w:t>
            </w:r>
          </w:p>
        </w:tc>
        <w:tc>
          <w:tcPr>
            <w:tcW w:w="960" w:type="dxa"/>
            <w:tcBorders>
              <w:top w:val="nil"/>
              <w:left w:val="nil"/>
              <w:bottom w:val="single" w:sz="8" w:space="0" w:color="A6A6A6"/>
              <w:right w:val="single" w:sz="8" w:space="0" w:color="A6A6A6"/>
            </w:tcBorders>
            <w:noWrap/>
            <w:vAlign w:val="center"/>
            <w:hideMark/>
          </w:tcPr>
          <w:p w14:paraId="1D616D0F"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303</w:t>
            </w:r>
          </w:p>
        </w:tc>
        <w:tc>
          <w:tcPr>
            <w:tcW w:w="1120" w:type="dxa"/>
            <w:tcBorders>
              <w:top w:val="nil"/>
              <w:left w:val="nil"/>
              <w:bottom w:val="single" w:sz="8" w:space="0" w:color="A6A6A6"/>
              <w:right w:val="single" w:sz="8" w:space="0" w:color="A6A6A6"/>
            </w:tcBorders>
            <w:noWrap/>
            <w:vAlign w:val="center"/>
            <w:hideMark/>
          </w:tcPr>
          <w:p w14:paraId="3DA1905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483</w:t>
            </w:r>
          </w:p>
        </w:tc>
        <w:tc>
          <w:tcPr>
            <w:tcW w:w="1120" w:type="dxa"/>
            <w:tcBorders>
              <w:top w:val="nil"/>
              <w:left w:val="nil"/>
              <w:bottom w:val="single" w:sz="8" w:space="0" w:color="A6A6A6"/>
              <w:right w:val="single" w:sz="8" w:space="0" w:color="A6A6A6"/>
            </w:tcBorders>
            <w:noWrap/>
            <w:vAlign w:val="center"/>
            <w:hideMark/>
          </w:tcPr>
          <w:p w14:paraId="7A2B6D23"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413</w:t>
            </w:r>
          </w:p>
        </w:tc>
      </w:tr>
      <w:tr w:rsidR="00826A3D" w:rsidRPr="000C6009" w14:paraId="7E6EDA1E"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2939B31"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Villamiroglio</w:t>
            </w:r>
          </w:p>
        </w:tc>
        <w:tc>
          <w:tcPr>
            <w:tcW w:w="1004" w:type="dxa"/>
            <w:tcBorders>
              <w:top w:val="nil"/>
              <w:left w:val="nil"/>
              <w:bottom w:val="single" w:sz="8" w:space="0" w:color="A6A6A6"/>
              <w:right w:val="single" w:sz="8" w:space="0" w:color="A6A6A6"/>
            </w:tcBorders>
            <w:noWrap/>
            <w:vAlign w:val="center"/>
            <w:hideMark/>
          </w:tcPr>
          <w:p w14:paraId="23B5890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301</w:t>
            </w:r>
          </w:p>
        </w:tc>
        <w:tc>
          <w:tcPr>
            <w:tcW w:w="960" w:type="dxa"/>
            <w:tcBorders>
              <w:top w:val="nil"/>
              <w:left w:val="nil"/>
              <w:bottom w:val="single" w:sz="8" w:space="0" w:color="A6A6A6"/>
              <w:right w:val="single" w:sz="8" w:space="0" w:color="A6A6A6"/>
            </w:tcBorders>
            <w:noWrap/>
            <w:vAlign w:val="center"/>
            <w:hideMark/>
          </w:tcPr>
          <w:p w14:paraId="0656D6D8"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289</w:t>
            </w:r>
          </w:p>
        </w:tc>
        <w:tc>
          <w:tcPr>
            <w:tcW w:w="1120" w:type="dxa"/>
            <w:tcBorders>
              <w:top w:val="nil"/>
              <w:left w:val="nil"/>
              <w:bottom w:val="single" w:sz="8" w:space="0" w:color="A6A6A6"/>
              <w:right w:val="single" w:sz="8" w:space="0" w:color="A6A6A6"/>
            </w:tcBorders>
            <w:noWrap/>
            <w:vAlign w:val="center"/>
            <w:hideMark/>
          </w:tcPr>
          <w:p w14:paraId="4C7CD544"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294</w:t>
            </w:r>
          </w:p>
        </w:tc>
        <w:tc>
          <w:tcPr>
            <w:tcW w:w="1120" w:type="dxa"/>
            <w:tcBorders>
              <w:top w:val="nil"/>
              <w:left w:val="nil"/>
              <w:bottom w:val="single" w:sz="8" w:space="0" w:color="A6A6A6"/>
              <w:right w:val="single" w:sz="8" w:space="0" w:color="A6A6A6"/>
            </w:tcBorders>
            <w:noWrap/>
            <w:vAlign w:val="center"/>
            <w:hideMark/>
          </w:tcPr>
          <w:p w14:paraId="6C0E5F67"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270</w:t>
            </w:r>
          </w:p>
        </w:tc>
      </w:tr>
      <w:tr w:rsidR="00826A3D" w:rsidRPr="000C6009" w14:paraId="3CD09EEA" w14:textId="77777777" w:rsidTr="00BD261D">
        <w:trPr>
          <w:trHeight w:val="315"/>
          <w:jc w:val="center"/>
        </w:trPr>
        <w:tc>
          <w:tcPr>
            <w:tcW w:w="2092" w:type="dxa"/>
            <w:tcBorders>
              <w:top w:val="nil"/>
              <w:left w:val="single" w:sz="8" w:space="0" w:color="A6A6A6"/>
              <w:bottom w:val="single" w:sz="8" w:space="0" w:color="A6A6A6"/>
              <w:right w:val="single" w:sz="8" w:space="0" w:color="A6A6A6"/>
            </w:tcBorders>
            <w:noWrap/>
            <w:vAlign w:val="center"/>
            <w:hideMark/>
          </w:tcPr>
          <w:p w14:paraId="7DB299B8" w14:textId="77777777" w:rsidR="00826A3D" w:rsidRPr="000C6009" w:rsidRDefault="00826A3D" w:rsidP="00BD261D">
            <w:pPr>
              <w:spacing w:after="0" w:line="240" w:lineRule="auto"/>
              <w:jc w:val="left"/>
              <w:rPr>
                <w:rFonts w:eastAsia="Times New Roman" w:cstheme="minorHAnsi"/>
                <w:color w:val="000000"/>
                <w:sz w:val="20"/>
                <w:szCs w:val="20"/>
              </w:rPr>
            </w:pPr>
            <w:r w:rsidRPr="000C6009">
              <w:rPr>
                <w:rFonts w:eastAsia="Times New Roman" w:cstheme="minorHAnsi"/>
                <w:color w:val="000000"/>
                <w:sz w:val="20"/>
                <w:szCs w:val="20"/>
              </w:rPr>
              <w:t>Visone</w:t>
            </w:r>
          </w:p>
        </w:tc>
        <w:tc>
          <w:tcPr>
            <w:tcW w:w="1004" w:type="dxa"/>
            <w:tcBorders>
              <w:top w:val="nil"/>
              <w:left w:val="nil"/>
              <w:bottom w:val="single" w:sz="8" w:space="0" w:color="A6A6A6"/>
              <w:right w:val="single" w:sz="8" w:space="0" w:color="A6A6A6"/>
            </w:tcBorders>
            <w:noWrap/>
            <w:vAlign w:val="center"/>
            <w:hideMark/>
          </w:tcPr>
          <w:p w14:paraId="47C02C8B"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163</w:t>
            </w:r>
          </w:p>
        </w:tc>
        <w:tc>
          <w:tcPr>
            <w:tcW w:w="960" w:type="dxa"/>
            <w:tcBorders>
              <w:top w:val="nil"/>
              <w:left w:val="nil"/>
              <w:bottom w:val="single" w:sz="8" w:space="0" w:color="A6A6A6"/>
              <w:right w:val="single" w:sz="8" w:space="0" w:color="A6A6A6"/>
            </w:tcBorders>
            <w:noWrap/>
            <w:vAlign w:val="center"/>
            <w:hideMark/>
          </w:tcPr>
          <w:p w14:paraId="32799E59"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323</w:t>
            </w:r>
          </w:p>
        </w:tc>
        <w:tc>
          <w:tcPr>
            <w:tcW w:w="1120" w:type="dxa"/>
            <w:tcBorders>
              <w:top w:val="nil"/>
              <w:left w:val="nil"/>
              <w:right w:val="single" w:sz="8" w:space="0" w:color="A6A6A6"/>
            </w:tcBorders>
            <w:noWrap/>
            <w:vAlign w:val="center"/>
            <w:hideMark/>
          </w:tcPr>
          <w:p w14:paraId="7EBC8B9A"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1.128</w:t>
            </w:r>
          </w:p>
        </w:tc>
        <w:tc>
          <w:tcPr>
            <w:tcW w:w="1120" w:type="dxa"/>
            <w:tcBorders>
              <w:top w:val="nil"/>
              <w:left w:val="nil"/>
              <w:bottom w:val="single" w:sz="8" w:space="0" w:color="A6A6A6"/>
              <w:right w:val="single" w:sz="8" w:space="0" w:color="A6A6A6"/>
            </w:tcBorders>
            <w:noWrap/>
            <w:vAlign w:val="center"/>
            <w:hideMark/>
          </w:tcPr>
          <w:p w14:paraId="224499E5" w14:textId="77777777" w:rsidR="00826A3D" w:rsidRPr="000C6009" w:rsidRDefault="00826A3D" w:rsidP="00BD261D">
            <w:pPr>
              <w:spacing w:after="0" w:line="240" w:lineRule="auto"/>
              <w:jc w:val="center"/>
              <w:rPr>
                <w:rFonts w:eastAsia="Times New Roman" w:cstheme="minorHAnsi"/>
                <w:color w:val="000000"/>
              </w:rPr>
            </w:pPr>
            <w:r w:rsidRPr="000C6009">
              <w:rPr>
                <w:rFonts w:eastAsia="Times New Roman" w:cstheme="minorHAnsi"/>
                <w:color w:val="000000"/>
              </w:rPr>
              <w:t>1.005</w:t>
            </w:r>
          </w:p>
        </w:tc>
      </w:tr>
      <w:tr w:rsidR="00826A3D" w:rsidRPr="000C6009" w14:paraId="17507423" w14:textId="77777777" w:rsidTr="00BD261D">
        <w:trPr>
          <w:trHeight w:val="315"/>
          <w:jc w:val="center"/>
        </w:trPr>
        <w:tc>
          <w:tcPr>
            <w:tcW w:w="4056" w:type="dxa"/>
            <w:gridSpan w:val="3"/>
            <w:tcBorders>
              <w:top w:val="single" w:sz="8" w:space="0" w:color="A6A6A6"/>
              <w:left w:val="single" w:sz="8" w:space="0" w:color="A6A6A6"/>
              <w:bottom w:val="single" w:sz="8" w:space="0" w:color="A6A6A6"/>
              <w:right w:val="single" w:sz="8" w:space="0" w:color="A6A6A6"/>
            </w:tcBorders>
            <w:shd w:val="clear" w:color="000000" w:fill="A5C34C"/>
            <w:noWrap/>
            <w:vAlign w:val="center"/>
          </w:tcPr>
          <w:p w14:paraId="2A6D3DBE" w14:textId="77777777" w:rsidR="00826A3D" w:rsidRPr="000C6009" w:rsidRDefault="00826A3D" w:rsidP="00BD261D">
            <w:pPr>
              <w:spacing w:after="0" w:line="240" w:lineRule="auto"/>
              <w:jc w:val="left"/>
              <w:rPr>
                <w:rFonts w:eastAsia="Times New Roman" w:cstheme="minorHAnsi"/>
                <w:b/>
                <w:bCs/>
                <w:color w:val="000000"/>
                <w:sz w:val="20"/>
                <w:szCs w:val="20"/>
              </w:rPr>
            </w:pPr>
            <w:r w:rsidRPr="000C6009">
              <w:rPr>
                <w:rFonts w:eastAsia="Times New Roman" w:cstheme="minorHAnsi"/>
                <w:b/>
                <w:bCs/>
                <w:color w:val="000000"/>
                <w:sz w:val="20"/>
                <w:szCs w:val="20"/>
              </w:rPr>
              <w:t>Totale popolazione in aree a domanda debole</w:t>
            </w:r>
          </w:p>
        </w:tc>
        <w:tc>
          <w:tcPr>
            <w:tcW w:w="1120" w:type="dxa"/>
            <w:tcBorders>
              <w:top w:val="nil"/>
              <w:left w:val="single" w:sz="8" w:space="0" w:color="A6A6A6"/>
              <w:bottom w:val="single" w:sz="8" w:space="0" w:color="A6A6A6"/>
              <w:right w:val="single" w:sz="8" w:space="0" w:color="A6A6A6"/>
            </w:tcBorders>
            <w:shd w:val="clear" w:color="000000" w:fill="A5C34C"/>
            <w:vAlign w:val="center"/>
          </w:tcPr>
          <w:p w14:paraId="3BE6677C"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43.541</w:t>
            </w:r>
          </w:p>
        </w:tc>
        <w:tc>
          <w:tcPr>
            <w:tcW w:w="1120" w:type="dxa"/>
            <w:tcBorders>
              <w:top w:val="nil"/>
              <w:left w:val="nil"/>
              <w:bottom w:val="single" w:sz="8" w:space="0" w:color="A6A6A6"/>
              <w:right w:val="single" w:sz="8" w:space="0" w:color="A6A6A6"/>
            </w:tcBorders>
            <w:shd w:val="clear" w:color="000000" w:fill="A5C34C"/>
            <w:vAlign w:val="center"/>
          </w:tcPr>
          <w:p w14:paraId="111CC223"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38.405</w:t>
            </w:r>
          </w:p>
        </w:tc>
      </w:tr>
    </w:tbl>
    <w:p w14:paraId="048417C5" w14:textId="0E6A6A49" w:rsidR="00826A3D" w:rsidRPr="000C6009" w:rsidRDefault="00826A3D" w:rsidP="00826A3D">
      <w:pPr>
        <w:pStyle w:val="Didascalia"/>
        <w:jc w:val="center"/>
        <w:rPr>
          <w:rFonts w:cstheme="minorHAnsi"/>
          <w:i w:val="0"/>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670903">
        <w:rPr>
          <w:rFonts w:cstheme="minorHAnsi"/>
          <w:noProof/>
          <w:color w:val="003366"/>
        </w:rPr>
        <w:t>9</w:t>
      </w:r>
      <w:r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Classificazione dei comuni in area a domanda debole</w:t>
      </w:r>
      <w:r w:rsidRPr="000C6009">
        <w:rPr>
          <w:rFonts w:cstheme="minorHAnsi"/>
          <w:i w:val="0"/>
          <w:color w:val="003366"/>
        </w:rPr>
        <w:t xml:space="preserve"> </w:t>
      </w:r>
    </w:p>
    <w:p w14:paraId="5A9084C1" w14:textId="77777777" w:rsidR="00826A3D" w:rsidRPr="000C6009" w:rsidRDefault="00826A3D" w:rsidP="00826A3D">
      <w:pPr>
        <w:spacing w:before="120" w:after="0" w:line="240" w:lineRule="auto"/>
        <w:rPr>
          <w:rFonts w:cstheme="minorHAnsi"/>
        </w:rPr>
      </w:pPr>
      <w:r w:rsidRPr="000C6009">
        <w:rPr>
          <w:rFonts w:cstheme="minorHAnsi"/>
        </w:rPr>
        <w:lastRenderedPageBreak/>
        <w:t>I comuni definibili “a domanda debole” hanno una popolazione complessiva di 43.500 abitanti</w:t>
      </w:r>
      <w:r w:rsidRPr="000C6009">
        <w:rPr>
          <w:rStyle w:val="Rimandonotaapidipagina"/>
          <w:rFonts w:cstheme="minorHAnsi"/>
        </w:rPr>
        <w:footnoteReference w:id="10"/>
      </w:r>
      <w:r w:rsidRPr="000C6009">
        <w:rPr>
          <w:rFonts w:cstheme="minorHAnsi"/>
        </w:rPr>
        <w:t>, che costituisce il 7,1% della popolazione del Bacino ed è ripartita sul 19,3% dei comuni.</w:t>
      </w:r>
    </w:p>
    <w:p w14:paraId="7541D60C" w14:textId="77777777" w:rsidR="00826A3D" w:rsidRPr="000C6009" w:rsidRDefault="00826A3D" w:rsidP="00826A3D">
      <w:pPr>
        <w:spacing w:before="120" w:after="0" w:line="240" w:lineRule="auto"/>
        <w:rPr>
          <w:rFonts w:cstheme="minorHAnsi"/>
        </w:rPr>
      </w:pPr>
      <w:r w:rsidRPr="000C6009">
        <w:rPr>
          <w:rFonts w:cstheme="minorHAnsi"/>
        </w:rPr>
        <w:t xml:space="preserve">Per i servizi erogati in queste aree non sono ancora disponibili rilevazioni dei passeggeri trasportati, ma saranno previste nella stipula dei prossimi Contratti di Servizio come obbligo in capo all’operatore economico affidatario che dovrà impegnarsi anche in questi contesti a fornire i dati dei passeggeri trasportati, del load factor unitamente ai dati sui ricavi ed al coverage ratio.  </w:t>
      </w:r>
    </w:p>
    <w:p w14:paraId="79BD86D0" w14:textId="77777777" w:rsidR="00826A3D" w:rsidRPr="000C6009" w:rsidRDefault="00826A3D" w:rsidP="00826A3D">
      <w:pPr>
        <w:spacing w:before="120" w:after="0" w:line="240" w:lineRule="auto"/>
        <w:rPr>
          <w:rFonts w:cstheme="minorHAnsi"/>
        </w:rPr>
      </w:pPr>
      <w:r w:rsidRPr="000C6009">
        <w:rPr>
          <w:rFonts w:cstheme="minorHAnsi"/>
        </w:rPr>
        <w:t>Allo stato attuale, con le informazioni in nostro possesso, è possibile per tali aree assegnare rispetto alla popolazione 11-84 anni una quota di popolazione mobile (78,7%) e di mobilità (2,42 spostamenti/giorno/persona) in linea con quanto rilevato dall’indagine IMQ, e quindi stimare in una giornata feriale tipo una domanda mobile potenziale costituita da circa 30.225 individui con una mobilità 92.940 spostamenti, indicatore questo che può essere espanso a livello annuale considerando un numero di giorni feriali pari a 250 ottenendo così una stima di circa 23,3 milioni di spostamenti generati dai comuni in area a domanda debole.</w:t>
      </w:r>
    </w:p>
    <w:p w14:paraId="76E9CE86" w14:textId="77777777" w:rsidR="00826A3D" w:rsidRPr="000C6009" w:rsidRDefault="00826A3D" w:rsidP="00826A3D">
      <w:pPr>
        <w:spacing w:before="120" w:after="0" w:line="240" w:lineRule="auto"/>
        <w:rPr>
          <w:rFonts w:cstheme="minorHAnsi"/>
        </w:rPr>
      </w:pPr>
      <w:r w:rsidRPr="000C6009">
        <w:rPr>
          <w:rFonts w:cstheme="minorHAnsi"/>
        </w:rPr>
        <w:t>Di questi, se si mantiene la ripartizione modale individuata con l’ultima indagine sulla mobilità, si può ricavare una domanda potenziale per il trasporto pubblico di circa 1,3 milioni di passeggeri/anno.</w:t>
      </w:r>
    </w:p>
    <w:p w14:paraId="02A4D95A" w14:textId="6C01425C" w:rsidR="00826A3D" w:rsidRPr="000C6009" w:rsidRDefault="00826A3D" w:rsidP="00826A3D">
      <w:pPr>
        <w:spacing w:before="120" w:after="0" w:line="240" w:lineRule="auto"/>
        <w:rPr>
          <w:rFonts w:cstheme="minorHAnsi"/>
        </w:rPr>
      </w:pPr>
      <w:r w:rsidRPr="000C6009">
        <w:rPr>
          <w:rFonts w:cstheme="minorHAnsi"/>
        </w:rPr>
        <w:t xml:space="preserve">Tale dato può considerarsi lievemente sottostimato per la ragioni già espresse nel paragrafo </w:t>
      </w:r>
      <w:r w:rsidRPr="000C6009">
        <w:rPr>
          <w:rFonts w:cstheme="minorHAnsi"/>
        </w:rPr>
        <w:fldChar w:fldCharType="begin"/>
      </w:r>
      <w:r w:rsidRPr="000C6009">
        <w:rPr>
          <w:rFonts w:cstheme="minorHAnsi"/>
        </w:rPr>
        <w:instrText xml:space="preserve"> REF _Ref191387915 \r \h  \* MERGEFORMAT </w:instrText>
      </w:r>
      <w:r w:rsidRPr="000C6009">
        <w:rPr>
          <w:rFonts w:cstheme="minorHAnsi"/>
        </w:rPr>
      </w:r>
      <w:r w:rsidRPr="000C6009">
        <w:rPr>
          <w:rFonts w:cstheme="minorHAnsi"/>
        </w:rPr>
        <w:fldChar w:fldCharType="separate"/>
      </w:r>
      <w:r w:rsidR="00670903">
        <w:rPr>
          <w:rFonts w:cstheme="minorHAnsi"/>
        </w:rPr>
        <w:t>3.1</w:t>
      </w:r>
      <w:r w:rsidRPr="000C6009">
        <w:rPr>
          <w:rFonts w:cstheme="minorHAnsi"/>
        </w:rPr>
        <w:fldChar w:fldCharType="end"/>
      </w:r>
      <w:r w:rsidRPr="000C6009">
        <w:rPr>
          <w:rFonts w:cstheme="minorHAnsi"/>
        </w:rPr>
        <w:t xml:space="preserve"> relative al momento storico in cui è stata condotta l’indagine.</w:t>
      </w:r>
    </w:p>
    <w:p w14:paraId="0933101D" w14:textId="77777777" w:rsidR="00826A3D" w:rsidRPr="000C6009" w:rsidRDefault="00826A3D" w:rsidP="00826A3D">
      <w:pPr>
        <w:spacing w:before="120" w:after="0" w:line="240" w:lineRule="auto"/>
        <w:rPr>
          <w:rFonts w:cstheme="minorHAnsi"/>
        </w:rPr>
      </w:pPr>
      <w:r w:rsidRPr="000C6009">
        <w:rPr>
          <w:rFonts w:cstheme="minorHAnsi"/>
        </w:rPr>
        <w:t xml:space="preserve">I dati a nostra disposizione allo stato attuale non hanno un grado di dettaglio e accuratezza che permetta di fare valutazioni puntuali delle componenti temporale e socio-economica della domanda debole. </w:t>
      </w:r>
    </w:p>
    <w:p w14:paraId="06FDE7C8" w14:textId="77777777" w:rsidR="00826A3D" w:rsidRPr="000C6009" w:rsidRDefault="00826A3D" w:rsidP="00826A3D">
      <w:pPr>
        <w:spacing w:before="120" w:after="0" w:line="240" w:lineRule="auto"/>
        <w:rPr>
          <w:rFonts w:cstheme="minorHAnsi"/>
        </w:rPr>
      </w:pPr>
      <w:r w:rsidRPr="000C6009">
        <w:rPr>
          <w:rFonts w:cstheme="minorHAnsi"/>
        </w:rPr>
        <w:t>Possiamo comunque definire in tema di domanda debole temporale una convergenza verso le fasce orarie serali e nei giorni festivi, per quest’ultima tipologia possono fare eccezione alcune località a valenza turistica che proprio nei giorni festivi e in alcuni periodi dell’anno possono avere un incremento di mobilità. Come si può ben comprendere sono situazioni molto puntuali e specifiche per tale ragione nelle offerte si chiederà agli operatori economici di proporre soluzioni specifiche lasciando anche la possibilità di prevedere eventuali proposte tariffarie per garantirne la sostenibilità. Le proposte potranno riguardare sia servizi convenzionali diversamente organizzati e gestiti, sia servizi non convenzionali come i servizi a conferma e/o a chiamata.</w:t>
      </w:r>
    </w:p>
    <w:p w14:paraId="55B19373" w14:textId="77777777" w:rsidR="00826A3D" w:rsidRPr="000C6009" w:rsidRDefault="00826A3D" w:rsidP="00826A3D">
      <w:pPr>
        <w:pStyle w:val="Titolo2"/>
        <w:ind w:left="567"/>
        <w:rPr>
          <w:rFonts w:asciiTheme="minorHAnsi" w:hAnsiTheme="minorHAnsi" w:cstheme="minorHAnsi"/>
        </w:rPr>
      </w:pPr>
      <w:bookmarkStart w:id="131" w:name="_Toc197695666"/>
      <w:bookmarkStart w:id="132" w:name="_Ref204090096"/>
      <w:bookmarkStart w:id="133" w:name="_Toc204616482"/>
      <w:bookmarkStart w:id="134" w:name="_Toc205213713"/>
      <w:r w:rsidRPr="000C6009">
        <w:rPr>
          <w:rFonts w:asciiTheme="minorHAnsi" w:hAnsiTheme="minorHAnsi" w:cstheme="minorHAnsi"/>
        </w:rPr>
        <w:t>Analisi dell’autocontenimento della domanda</w:t>
      </w:r>
      <w:bookmarkEnd w:id="122"/>
      <w:bookmarkEnd w:id="123"/>
      <w:bookmarkEnd w:id="124"/>
      <w:bookmarkEnd w:id="125"/>
      <w:bookmarkEnd w:id="131"/>
      <w:bookmarkEnd w:id="132"/>
      <w:bookmarkEnd w:id="133"/>
      <w:bookmarkEnd w:id="134"/>
      <w:r w:rsidRPr="000C6009">
        <w:rPr>
          <w:rFonts w:asciiTheme="minorHAnsi" w:hAnsiTheme="minorHAnsi" w:cstheme="minorHAnsi"/>
        </w:rPr>
        <w:t xml:space="preserve"> </w:t>
      </w:r>
    </w:p>
    <w:p w14:paraId="18728F61" w14:textId="77777777" w:rsidR="00826A3D" w:rsidRPr="000C6009" w:rsidRDefault="00826A3D" w:rsidP="00826A3D">
      <w:pPr>
        <w:spacing w:before="120" w:after="0" w:line="240" w:lineRule="auto"/>
        <w:rPr>
          <w:rFonts w:cstheme="minorHAnsi"/>
        </w:rPr>
      </w:pPr>
      <w:r w:rsidRPr="000C6009">
        <w:rPr>
          <w:rFonts w:cstheme="minorHAnsi"/>
        </w:rPr>
        <w:t>L'autocontenimento della domanda di mobilità è un concetto che si riferisce alla capacità di un'area geografica di soddisfare internamente le esigenze di spostamento dei suoi residenti, riducendo la necessità di viaggi verso altre aree.</w:t>
      </w:r>
    </w:p>
    <w:p w14:paraId="7DF33EB2" w14:textId="77777777" w:rsidR="00826A3D" w:rsidRPr="000C6009" w:rsidRDefault="00826A3D" w:rsidP="00826A3D">
      <w:pPr>
        <w:spacing w:before="120" w:after="0" w:line="240" w:lineRule="auto"/>
        <w:rPr>
          <w:rFonts w:cstheme="minorHAnsi"/>
        </w:rPr>
      </w:pPr>
      <w:r w:rsidRPr="000C6009">
        <w:rPr>
          <w:rFonts w:cstheme="minorHAnsi"/>
        </w:rPr>
        <w:t>Per descrivere questa valutazione, verrà utilizzato l’indicatore specifico definito “Tasso di autocontenimento della domanda” che misura la percentuale di spostamenti che avvengono all'interno della stessa zona rispetto al totale degli spostamenti.</w:t>
      </w:r>
    </w:p>
    <w:p w14:paraId="77B93749" w14:textId="77777777" w:rsidR="00826A3D" w:rsidRPr="000C6009" w:rsidRDefault="00826A3D" w:rsidP="00826A3D">
      <w:pPr>
        <w:spacing w:before="120" w:after="0" w:line="240" w:lineRule="auto"/>
        <w:rPr>
          <w:rFonts w:cstheme="minorHAnsi"/>
        </w:rPr>
      </w:pPr>
      <w:r w:rsidRPr="000C6009">
        <w:rPr>
          <w:rFonts w:cstheme="minorHAnsi"/>
        </w:rPr>
        <w:t>L'analisi dell'autocontenimento della domanda in Regione Piemonte riferita ai quattro bacini di mobilità, e basata sui dati IMQ, già trattata nella "Relazione sugli affidamenti di TPL - Anno 2022"</w:t>
      </w:r>
      <w:r w:rsidRPr="000C6009">
        <w:rPr>
          <w:rFonts w:cstheme="minorHAnsi"/>
          <w:vertAlign w:val="superscript"/>
        </w:rPr>
        <w:footnoteReference w:id="11"/>
      </w:r>
      <w:r w:rsidRPr="000C6009">
        <w:rPr>
          <w:rFonts w:cstheme="minorHAnsi"/>
        </w:rPr>
        <w:t>, viene qui aggiornata con i dati consolidati dell’indagine IMQ2022.</w:t>
      </w:r>
    </w:p>
    <w:p w14:paraId="178AD8D8" w14:textId="77777777" w:rsidR="00826A3D" w:rsidRPr="000C6009" w:rsidRDefault="00826A3D" w:rsidP="00826A3D">
      <w:pPr>
        <w:spacing w:before="120" w:after="0" w:line="240" w:lineRule="auto"/>
        <w:rPr>
          <w:rFonts w:cstheme="minorHAnsi"/>
        </w:rPr>
      </w:pPr>
      <w:r w:rsidRPr="000C6009">
        <w:rPr>
          <w:rFonts w:cstheme="minorHAnsi"/>
        </w:rPr>
        <w:lastRenderedPageBreak/>
        <w:t>Per il Bacino Sud Est, la mobilità motorizzata (pubblico + privato) in origine è pari a 459.287 spostamenti/giorno esclusi ritorni a casa e il tasso di autocontenimento si attesta all’86,8% mentre la mobilità con mezzo pubblico è di 38.347 spostamenti giorno in origine esclusi ritorni a casa e l'autocontenimento è al 62,8%.</w:t>
      </w:r>
    </w:p>
    <w:p w14:paraId="50A8D98D" w14:textId="77777777" w:rsidR="00826A3D" w:rsidRPr="000C6009" w:rsidRDefault="00826A3D" w:rsidP="00826A3D">
      <w:pPr>
        <w:spacing w:before="120" w:after="0" w:line="240" w:lineRule="auto"/>
        <w:rPr>
          <w:rFonts w:cstheme="minorHAnsi"/>
        </w:rPr>
      </w:pPr>
    </w:p>
    <w:tbl>
      <w:tblPr>
        <w:tblW w:w="5000" w:type="pct"/>
        <w:tblCellMar>
          <w:left w:w="70" w:type="dxa"/>
          <w:right w:w="70" w:type="dxa"/>
        </w:tblCellMar>
        <w:tblLook w:val="04A0" w:firstRow="1" w:lastRow="0" w:firstColumn="1" w:lastColumn="0" w:noHBand="0" w:noVBand="1"/>
      </w:tblPr>
      <w:tblGrid>
        <w:gridCol w:w="1883"/>
        <w:gridCol w:w="879"/>
        <w:gridCol w:w="940"/>
        <w:gridCol w:w="942"/>
        <w:gridCol w:w="944"/>
        <w:gridCol w:w="944"/>
        <w:gridCol w:w="942"/>
        <w:gridCol w:w="1586"/>
      </w:tblGrid>
      <w:tr w:rsidR="00826A3D" w:rsidRPr="000C6009" w14:paraId="3C3A221D" w14:textId="77777777" w:rsidTr="00BD261D">
        <w:trPr>
          <w:trHeight w:val="315"/>
        </w:trPr>
        <w:tc>
          <w:tcPr>
            <w:tcW w:w="1040" w:type="pct"/>
            <w:tcBorders>
              <w:top w:val="nil"/>
              <w:left w:val="nil"/>
              <w:bottom w:val="nil"/>
              <w:right w:val="nil"/>
            </w:tcBorders>
            <w:vAlign w:val="center"/>
          </w:tcPr>
          <w:p w14:paraId="78AED501" w14:textId="77777777" w:rsidR="00826A3D" w:rsidRPr="000C6009" w:rsidRDefault="00826A3D" w:rsidP="00BD261D">
            <w:pPr>
              <w:spacing w:after="0" w:line="240" w:lineRule="auto"/>
              <w:rPr>
                <w:rFonts w:eastAsia="Times New Roman" w:cstheme="minorHAnsi"/>
                <w:color w:val="000000"/>
                <w:sz w:val="20"/>
                <w:szCs w:val="20"/>
              </w:rPr>
            </w:pPr>
          </w:p>
        </w:tc>
        <w:tc>
          <w:tcPr>
            <w:tcW w:w="485" w:type="pct"/>
            <w:tcBorders>
              <w:top w:val="nil"/>
              <w:left w:val="nil"/>
              <w:bottom w:val="single" w:sz="8" w:space="0" w:color="A6A6A6"/>
              <w:right w:val="single" w:sz="8" w:space="0" w:color="A6A6A6"/>
            </w:tcBorders>
            <w:vAlign w:val="center"/>
          </w:tcPr>
          <w:p w14:paraId="662E7EF2" w14:textId="77777777" w:rsidR="00826A3D" w:rsidRPr="000C6009" w:rsidRDefault="00826A3D" w:rsidP="00BD261D">
            <w:pPr>
              <w:spacing w:after="0" w:line="240" w:lineRule="auto"/>
              <w:rPr>
                <w:rFonts w:eastAsia="Times New Roman" w:cstheme="minorHAnsi"/>
                <w:color w:val="000000"/>
                <w:sz w:val="20"/>
                <w:szCs w:val="20"/>
              </w:rPr>
            </w:pPr>
          </w:p>
        </w:tc>
        <w:tc>
          <w:tcPr>
            <w:tcW w:w="1560"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20C90639"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Autocontenimento</w:t>
            </w:r>
          </w:p>
        </w:tc>
        <w:tc>
          <w:tcPr>
            <w:tcW w:w="1915"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5B00794B"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uscente</w:t>
            </w:r>
          </w:p>
        </w:tc>
      </w:tr>
      <w:tr w:rsidR="00826A3D" w:rsidRPr="000C6009" w14:paraId="37821F44" w14:textId="77777777" w:rsidTr="00BD261D">
        <w:trPr>
          <w:trHeight w:val="1035"/>
        </w:trPr>
        <w:tc>
          <w:tcPr>
            <w:tcW w:w="1040" w:type="pct"/>
            <w:tcBorders>
              <w:top w:val="nil"/>
              <w:left w:val="nil"/>
              <w:bottom w:val="single" w:sz="8" w:space="0" w:color="A6A6A6"/>
              <w:right w:val="single" w:sz="8" w:space="0" w:color="A6A6A6"/>
            </w:tcBorders>
            <w:vAlign w:val="center"/>
            <w:hideMark/>
          </w:tcPr>
          <w:p w14:paraId="1D3B93A5" w14:textId="77777777" w:rsidR="00826A3D" w:rsidRPr="000C6009" w:rsidRDefault="00826A3D" w:rsidP="00BD261D">
            <w:pPr>
              <w:spacing w:after="0" w:line="240" w:lineRule="auto"/>
              <w:rPr>
                <w:rFonts w:eastAsia="Times New Roman" w:cstheme="minorHAnsi"/>
                <w:b/>
                <w:bCs/>
                <w:color w:val="000000"/>
                <w:sz w:val="20"/>
                <w:szCs w:val="20"/>
              </w:rPr>
            </w:pPr>
            <w:r w:rsidRPr="000C6009">
              <w:rPr>
                <w:rFonts w:eastAsia="Times New Roman" w:cstheme="minorHAnsi"/>
                <w:b/>
                <w:bCs/>
                <w:color w:val="000000"/>
                <w:sz w:val="20"/>
                <w:szCs w:val="20"/>
              </w:rPr>
              <w:t xml:space="preserve">IMQ2022 </w:t>
            </w:r>
          </w:p>
        </w:tc>
        <w:tc>
          <w:tcPr>
            <w:tcW w:w="485" w:type="pct"/>
            <w:tcBorders>
              <w:top w:val="nil"/>
              <w:left w:val="nil"/>
              <w:bottom w:val="single" w:sz="8" w:space="0" w:color="A6A6A6"/>
              <w:right w:val="single" w:sz="8" w:space="0" w:color="A6A6A6"/>
            </w:tcBorders>
            <w:shd w:val="clear" w:color="auto" w:fill="A5C34C" w:themeFill="accent6" w:themeFillShade="BF"/>
            <w:vAlign w:val="center"/>
            <w:hideMark/>
          </w:tcPr>
          <w:p w14:paraId="119BE401"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xml:space="preserve">N° zone </w:t>
            </w:r>
          </w:p>
        </w:tc>
        <w:tc>
          <w:tcPr>
            <w:tcW w:w="519" w:type="pct"/>
            <w:tcBorders>
              <w:top w:val="nil"/>
              <w:left w:val="nil"/>
              <w:bottom w:val="single" w:sz="8" w:space="0" w:color="A6A6A6"/>
              <w:right w:val="single" w:sz="8" w:space="0" w:color="A6A6A6"/>
            </w:tcBorders>
            <w:shd w:val="clear" w:color="auto" w:fill="A5C34C" w:themeFill="accent6" w:themeFillShade="BF"/>
            <w:vAlign w:val="center"/>
            <w:hideMark/>
          </w:tcPr>
          <w:p w14:paraId="2486C3A5"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Interno stessa zona</w:t>
            </w:r>
          </w:p>
        </w:tc>
        <w:tc>
          <w:tcPr>
            <w:tcW w:w="520" w:type="pct"/>
            <w:tcBorders>
              <w:top w:val="nil"/>
              <w:left w:val="nil"/>
              <w:bottom w:val="single" w:sz="8" w:space="0" w:color="A6A6A6"/>
              <w:right w:val="single" w:sz="8" w:space="0" w:color="A6A6A6"/>
            </w:tcBorders>
            <w:shd w:val="clear" w:color="auto" w:fill="A5C34C" w:themeFill="accent6" w:themeFillShade="BF"/>
            <w:vAlign w:val="center"/>
            <w:hideMark/>
          </w:tcPr>
          <w:p w14:paraId="610C5D24"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zone del Bacino</w:t>
            </w:r>
          </w:p>
        </w:tc>
        <w:tc>
          <w:tcPr>
            <w:tcW w:w="520" w:type="pct"/>
            <w:tcBorders>
              <w:top w:val="nil"/>
              <w:left w:val="nil"/>
              <w:bottom w:val="single" w:sz="8" w:space="0" w:color="A6A6A6"/>
              <w:right w:val="single" w:sz="8" w:space="0" w:color="A6A6A6"/>
            </w:tcBorders>
            <w:shd w:val="clear" w:color="auto" w:fill="A5C34C" w:themeFill="accent6" w:themeFillShade="BF"/>
            <w:vAlign w:val="center"/>
            <w:hideMark/>
          </w:tcPr>
          <w:p w14:paraId="325E23DE"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c>
          <w:tcPr>
            <w:tcW w:w="520" w:type="pct"/>
            <w:tcBorders>
              <w:top w:val="nil"/>
              <w:left w:val="nil"/>
              <w:bottom w:val="single" w:sz="8" w:space="0" w:color="A6A6A6"/>
              <w:right w:val="single" w:sz="8" w:space="0" w:color="A6A6A6"/>
            </w:tcBorders>
            <w:shd w:val="clear" w:color="auto" w:fill="A5C34C" w:themeFill="accent6" w:themeFillShade="BF"/>
            <w:vAlign w:val="center"/>
            <w:hideMark/>
          </w:tcPr>
          <w:p w14:paraId="6092C3CD"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altra zona Piemonte</w:t>
            </w:r>
          </w:p>
        </w:tc>
        <w:tc>
          <w:tcPr>
            <w:tcW w:w="520" w:type="pct"/>
            <w:tcBorders>
              <w:top w:val="nil"/>
              <w:left w:val="nil"/>
              <w:bottom w:val="single" w:sz="8" w:space="0" w:color="A6A6A6"/>
              <w:right w:val="single" w:sz="8" w:space="0" w:color="A6A6A6"/>
            </w:tcBorders>
            <w:shd w:val="clear" w:color="auto" w:fill="A5C34C" w:themeFill="accent6" w:themeFillShade="BF"/>
            <w:vAlign w:val="center"/>
            <w:hideMark/>
          </w:tcPr>
          <w:p w14:paraId="796E8C9A"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regioni</w:t>
            </w:r>
          </w:p>
        </w:tc>
        <w:tc>
          <w:tcPr>
            <w:tcW w:w="874" w:type="pct"/>
            <w:tcBorders>
              <w:top w:val="nil"/>
              <w:left w:val="nil"/>
              <w:bottom w:val="single" w:sz="8" w:space="0" w:color="A6A6A6"/>
              <w:right w:val="single" w:sz="8" w:space="0" w:color="A6A6A6"/>
            </w:tcBorders>
            <w:shd w:val="clear" w:color="auto" w:fill="A5C34C" w:themeFill="accent6" w:themeFillShade="BF"/>
            <w:vAlign w:val="center"/>
            <w:hideMark/>
          </w:tcPr>
          <w:p w14:paraId="2114D6D3"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r>
      <w:tr w:rsidR="00826A3D" w:rsidRPr="000C6009" w14:paraId="776EFC30" w14:textId="77777777" w:rsidTr="00BD261D">
        <w:trPr>
          <w:trHeight w:val="315"/>
        </w:trPr>
        <w:tc>
          <w:tcPr>
            <w:tcW w:w="1040" w:type="pct"/>
            <w:tcBorders>
              <w:top w:val="nil"/>
              <w:left w:val="single" w:sz="8" w:space="0" w:color="A6A6A6"/>
              <w:bottom w:val="single" w:sz="8" w:space="0" w:color="A6A6A6"/>
              <w:right w:val="single" w:sz="8" w:space="0" w:color="A6A6A6"/>
            </w:tcBorders>
            <w:vAlign w:val="center"/>
            <w:hideMark/>
          </w:tcPr>
          <w:p w14:paraId="15F6398A"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potenziale (motorizzata)</w:t>
            </w:r>
            <w:r w:rsidRPr="000C6009">
              <w:rPr>
                <w:rStyle w:val="Rimandonotaapidipagina"/>
                <w:rFonts w:cstheme="minorHAnsi"/>
              </w:rPr>
              <w:t xml:space="preserve"> </w:t>
            </w:r>
            <w:r w:rsidRPr="000C6009">
              <w:rPr>
                <w:rStyle w:val="Rimandonotaapidipagina"/>
                <w:rFonts w:cstheme="minorHAnsi"/>
              </w:rPr>
              <w:footnoteReference w:id="12"/>
            </w:r>
          </w:p>
        </w:tc>
        <w:tc>
          <w:tcPr>
            <w:tcW w:w="485" w:type="pct"/>
            <w:tcBorders>
              <w:top w:val="nil"/>
              <w:left w:val="nil"/>
              <w:bottom w:val="single" w:sz="8" w:space="0" w:color="A6A6A6"/>
              <w:right w:val="single" w:sz="8" w:space="0" w:color="A6A6A6"/>
            </w:tcBorders>
            <w:vAlign w:val="center"/>
            <w:hideMark/>
          </w:tcPr>
          <w:p w14:paraId="220A21B3"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33</w:t>
            </w:r>
          </w:p>
        </w:tc>
        <w:tc>
          <w:tcPr>
            <w:tcW w:w="519" w:type="pct"/>
            <w:tcBorders>
              <w:top w:val="nil"/>
              <w:left w:val="nil"/>
              <w:bottom w:val="single" w:sz="8" w:space="0" w:color="A6A6A6"/>
              <w:right w:val="single" w:sz="8" w:space="0" w:color="A6A6A6"/>
            </w:tcBorders>
            <w:vAlign w:val="center"/>
            <w:hideMark/>
          </w:tcPr>
          <w:p w14:paraId="79BB9D33"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274.710 </w:t>
            </w:r>
          </w:p>
        </w:tc>
        <w:tc>
          <w:tcPr>
            <w:tcW w:w="520" w:type="pct"/>
            <w:tcBorders>
              <w:top w:val="nil"/>
              <w:left w:val="nil"/>
              <w:bottom w:val="single" w:sz="8" w:space="0" w:color="A6A6A6"/>
              <w:right w:val="single" w:sz="8" w:space="0" w:color="A6A6A6"/>
            </w:tcBorders>
            <w:vAlign w:val="center"/>
            <w:hideMark/>
          </w:tcPr>
          <w:p w14:paraId="2D8AB12E"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123.806 </w:t>
            </w:r>
          </w:p>
        </w:tc>
        <w:tc>
          <w:tcPr>
            <w:tcW w:w="520" w:type="pct"/>
            <w:tcBorders>
              <w:top w:val="nil"/>
              <w:left w:val="nil"/>
              <w:bottom w:val="single" w:sz="8" w:space="0" w:color="A6A6A6"/>
              <w:right w:val="single" w:sz="8" w:space="0" w:color="A6A6A6"/>
            </w:tcBorders>
            <w:vAlign w:val="center"/>
            <w:hideMark/>
          </w:tcPr>
          <w:p w14:paraId="3CBBEABB"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398.515 </w:t>
            </w:r>
          </w:p>
        </w:tc>
        <w:tc>
          <w:tcPr>
            <w:tcW w:w="520" w:type="pct"/>
            <w:tcBorders>
              <w:top w:val="nil"/>
              <w:left w:val="nil"/>
              <w:bottom w:val="single" w:sz="8" w:space="0" w:color="A6A6A6"/>
              <w:right w:val="single" w:sz="8" w:space="0" w:color="A6A6A6"/>
            </w:tcBorders>
            <w:vAlign w:val="center"/>
            <w:hideMark/>
          </w:tcPr>
          <w:p w14:paraId="1028EA8B"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54.039 </w:t>
            </w:r>
          </w:p>
        </w:tc>
        <w:tc>
          <w:tcPr>
            <w:tcW w:w="520" w:type="pct"/>
            <w:tcBorders>
              <w:top w:val="nil"/>
              <w:left w:val="nil"/>
              <w:bottom w:val="single" w:sz="8" w:space="0" w:color="A6A6A6"/>
              <w:right w:val="single" w:sz="8" w:space="0" w:color="A6A6A6"/>
            </w:tcBorders>
            <w:vAlign w:val="center"/>
            <w:hideMark/>
          </w:tcPr>
          <w:p w14:paraId="0CBA8B7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6.732 </w:t>
            </w:r>
          </w:p>
        </w:tc>
        <w:tc>
          <w:tcPr>
            <w:tcW w:w="874" w:type="pct"/>
            <w:tcBorders>
              <w:top w:val="nil"/>
              <w:left w:val="nil"/>
              <w:bottom w:val="single" w:sz="8" w:space="0" w:color="A6A6A6"/>
              <w:right w:val="single" w:sz="8" w:space="0" w:color="A6A6A6"/>
            </w:tcBorders>
            <w:vAlign w:val="center"/>
            <w:hideMark/>
          </w:tcPr>
          <w:p w14:paraId="6B85648A"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60.772 </w:t>
            </w:r>
          </w:p>
        </w:tc>
      </w:tr>
      <w:tr w:rsidR="00826A3D" w:rsidRPr="000C6009" w14:paraId="4B015C8F" w14:textId="77777777" w:rsidTr="00BD261D">
        <w:trPr>
          <w:trHeight w:val="315"/>
        </w:trPr>
        <w:tc>
          <w:tcPr>
            <w:tcW w:w="1040" w:type="pct"/>
            <w:tcBorders>
              <w:top w:val="nil"/>
              <w:left w:val="single" w:sz="8" w:space="0" w:color="A6A6A6"/>
              <w:bottom w:val="single" w:sz="8" w:space="0" w:color="A6A6A6"/>
              <w:right w:val="single" w:sz="8" w:space="0" w:color="A6A6A6"/>
            </w:tcBorders>
            <w:vAlign w:val="center"/>
            <w:hideMark/>
          </w:tcPr>
          <w:p w14:paraId="77CDB997"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85" w:type="pct"/>
            <w:tcBorders>
              <w:top w:val="nil"/>
              <w:left w:val="nil"/>
              <w:bottom w:val="single" w:sz="8" w:space="0" w:color="A6A6A6"/>
              <w:right w:val="single" w:sz="8" w:space="0" w:color="A6A6A6"/>
            </w:tcBorders>
            <w:vAlign w:val="center"/>
            <w:hideMark/>
          </w:tcPr>
          <w:p w14:paraId="2A55D54F"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519" w:type="pct"/>
            <w:tcBorders>
              <w:top w:val="nil"/>
              <w:left w:val="nil"/>
              <w:bottom w:val="single" w:sz="8" w:space="0" w:color="A6A6A6"/>
              <w:right w:val="single" w:sz="8" w:space="0" w:color="A6A6A6"/>
            </w:tcBorders>
            <w:vAlign w:val="center"/>
            <w:hideMark/>
          </w:tcPr>
          <w:p w14:paraId="39E5107D"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59,8%</w:t>
            </w:r>
          </w:p>
        </w:tc>
        <w:tc>
          <w:tcPr>
            <w:tcW w:w="520" w:type="pct"/>
            <w:tcBorders>
              <w:top w:val="nil"/>
              <w:left w:val="nil"/>
              <w:bottom w:val="single" w:sz="8" w:space="0" w:color="A6A6A6"/>
              <w:right w:val="single" w:sz="8" w:space="0" w:color="A6A6A6"/>
            </w:tcBorders>
            <w:vAlign w:val="center"/>
            <w:hideMark/>
          </w:tcPr>
          <w:p w14:paraId="23B66E9E"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27,0%</w:t>
            </w:r>
          </w:p>
        </w:tc>
        <w:tc>
          <w:tcPr>
            <w:tcW w:w="520" w:type="pct"/>
            <w:tcBorders>
              <w:top w:val="nil"/>
              <w:left w:val="nil"/>
              <w:bottom w:val="single" w:sz="8" w:space="0" w:color="A6A6A6"/>
              <w:right w:val="single" w:sz="8" w:space="0" w:color="A6A6A6"/>
            </w:tcBorders>
            <w:vAlign w:val="center"/>
            <w:hideMark/>
          </w:tcPr>
          <w:p w14:paraId="28BE69C2"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86,8%</w:t>
            </w:r>
          </w:p>
        </w:tc>
        <w:tc>
          <w:tcPr>
            <w:tcW w:w="520" w:type="pct"/>
            <w:tcBorders>
              <w:top w:val="nil"/>
              <w:left w:val="nil"/>
              <w:bottom w:val="single" w:sz="8" w:space="0" w:color="A6A6A6"/>
              <w:right w:val="single" w:sz="8" w:space="0" w:color="A6A6A6"/>
            </w:tcBorders>
            <w:vAlign w:val="center"/>
            <w:hideMark/>
          </w:tcPr>
          <w:p w14:paraId="2BEC0075"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11,8%</w:t>
            </w:r>
          </w:p>
        </w:tc>
        <w:tc>
          <w:tcPr>
            <w:tcW w:w="520" w:type="pct"/>
            <w:tcBorders>
              <w:top w:val="nil"/>
              <w:left w:val="nil"/>
              <w:bottom w:val="single" w:sz="8" w:space="0" w:color="A6A6A6"/>
              <w:right w:val="single" w:sz="8" w:space="0" w:color="A6A6A6"/>
            </w:tcBorders>
            <w:vAlign w:val="center"/>
            <w:hideMark/>
          </w:tcPr>
          <w:p w14:paraId="17DA5F33"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1,5%</w:t>
            </w:r>
          </w:p>
        </w:tc>
        <w:tc>
          <w:tcPr>
            <w:tcW w:w="874" w:type="pct"/>
            <w:tcBorders>
              <w:top w:val="nil"/>
              <w:left w:val="nil"/>
              <w:bottom w:val="single" w:sz="8" w:space="0" w:color="A6A6A6"/>
              <w:right w:val="single" w:sz="8" w:space="0" w:color="A6A6A6"/>
            </w:tcBorders>
            <w:vAlign w:val="center"/>
            <w:hideMark/>
          </w:tcPr>
          <w:p w14:paraId="2F82E113"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13,2%</w:t>
            </w:r>
          </w:p>
        </w:tc>
      </w:tr>
      <w:tr w:rsidR="00826A3D" w:rsidRPr="000C6009" w14:paraId="3CA0DB26" w14:textId="77777777" w:rsidTr="00BD261D">
        <w:trPr>
          <w:trHeight w:val="315"/>
        </w:trPr>
        <w:tc>
          <w:tcPr>
            <w:tcW w:w="1040" w:type="pct"/>
            <w:tcBorders>
              <w:top w:val="nil"/>
              <w:left w:val="single" w:sz="8" w:space="0" w:color="A6A6A6"/>
              <w:bottom w:val="single" w:sz="8" w:space="0" w:color="A6A6A6"/>
              <w:right w:val="single" w:sz="8" w:space="0" w:color="A6A6A6"/>
            </w:tcBorders>
            <w:vAlign w:val="center"/>
            <w:hideMark/>
          </w:tcPr>
          <w:p w14:paraId="0E48BECE"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effettiva TPL (pubblica)</w:t>
            </w:r>
            <w:r w:rsidRPr="000C6009">
              <w:rPr>
                <w:rStyle w:val="Rimandonotaapidipagina"/>
                <w:rFonts w:cstheme="minorHAnsi"/>
                <w:sz w:val="20"/>
                <w:szCs w:val="20"/>
              </w:rPr>
              <w:t xml:space="preserve"> </w:t>
            </w:r>
            <w:r w:rsidRPr="000C6009">
              <w:rPr>
                <w:rStyle w:val="Rimandonotaapidipagina"/>
                <w:rFonts w:cstheme="minorHAnsi"/>
                <w:sz w:val="20"/>
                <w:szCs w:val="20"/>
              </w:rPr>
              <w:footnoteReference w:id="13"/>
            </w:r>
          </w:p>
        </w:tc>
        <w:tc>
          <w:tcPr>
            <w:tcW w:w="485" w:type="pct"/>
            <w:tcBorders>
              <w:top w:val="nil"/>
              <w:left w:val="nil"/>
              <w:bottom w:val="single" w:sz="8" w:space="0" w:color="A6A6A6"/>
              <w:right w:val="single" w:sz="8" w:space="0" w:color="A6A6A6"/>
            </w:tcBorders>
            <w:vAlign w:val="center"/>
            <w:hideMark/>
          </w:tcPr>
          <w:p w14:paraId="17CCAB0C"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33</w:t>
            </w:r>
          </w:p>
        </w:tc>
        <w:tc>
          <w:tcPr>
            <w:tcW w:w="519" w:type="pct"/>
            <w:tcBorders>
              <w:top w:val="nil"/>
              <w:left w:val="nil"/>
              <w:bottom w:val="single" w:sz="8" w:space="0" w:color="A6A6A6"/>
              <w:right w:val="single" w:sz="8" w:space="0" w:color="A6A6A6"/>
            </w:tcBorders>
            <w:vAlign w:val="center"/>
            <w:hideMark/>
          </w:tcPr>
          <w:p w14:paraId="21CAA668"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16.506 </w:t>
            </w:r>
          </w:p>
        </w:tc>
        <w:tc>
          <w:tcPr>
            <w:tcW w:w="520" w:type="pct"/>
            <w:tcBorders>
              <w:top w:val="nil"/>
              <w:left w:val="nil"/>
              <w:bottom w:val="single" w:sz="8" w:space="0" w:color="A6A6A6"/>
              <w:right w:val="single" w:sz="8" w:space="0" w:color="A6A6A6"/>
            </w:tcBorders>
            <w:vAlign w:val="center"/>
            <w:hideMark/>
          </w:tcPr>
          <w:p w14:paraId="765E9C5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7.579 </w:t>
            </w:r>
          </w:p>
        </w:tc>
        <w:tc>
          <w:tcPr>
            <w:tcW w:w="520" w:type="pct"/>
            <w:tcBorders>
              <w:top w:val="nil"/>
              <w:left w:val="nil"/>
              <w:bottom w:val="single" w:sz="8" w:space="0" w:color="A6A6A6"/>
              <w:right w:val="single" w:sz="8" w:space="0" w:color="A6A6A6"/>
            </w:tcBorders>
            <w:vAlign w:val="center"/>
            <w:hideMark/>
          </w:tcPr>
          <w:p w14:paraId="26A107DB"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24.085 </w:t>
            </w:r>
          </w:p>
        </w:tc>
        <w:tc>
          <w:tcPr>
            <w:tcW w:w="520" w:type="pct"/>
            <w:tcBorders>
              <w:top w:val="nil"/>
              <w:left w:val="nil"/>
              <w:bottom w:val="single" w:sz="8" w:space="0" w:color="A6A6A6"/>
              <w:right w:val="single" w:sz="8" w:space="0" w:color="A6A6A6"/>
            </w:tcBorders>
            <w:vAlign w:val="center"/>
            <w:hideMark/>
          </w:tcPr>
          <w:p w14:paraId="0AB72A6A"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11.606 </w:t>
            </w:r>
          </w:p>
        </w:tc>
        <w:tc>
          <w:tcPr>
            <w:tcW w:w="520" w:type="pct"/>
            <w:tcBorders>
              <w:top w:val="nil"/>
              <w:left w:val="nil"/>
              <w:bottom w:val="single" w:sz="8" w:space="0" w:color="A6A6A6"/>
              <w:right w:val="single" w:sz="8" w:space="0" w:color="A6A6A6"/>
            </w:tcBorders>
            <w:vAlign w:val="center"/>
            <w:hideMark/>
          </w:tcPr>
          <w:p w14:paraId="2FE2CD6C"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2.656 </w:t>
            </w:r>
          </w:p>
        </w:tc>
        <w:tc>
          <w:tcPr>
            <w:tcW w:w="874" w:type="pct"/>
            <w:tcBorders>
              <w:top w:val="nil"/>
              <w:left w:val="nil"/>
              <w:bottom w:val="single" w:sz="8" w:space="0" w:color="A6A6A6"/>
              <w:right w:val="single" w:sz="8" w:space="0" w:color="A6A6A6"/>
            </w:tcBorders>
            <w:vAlign w:val="center"/>
            <w:hideMark/>
          </w:tcPr>
          <w:p w14:paraId="2AEF6275"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    14.262 </w:t>
            </w:r>
          </w:p>
        </w:tc>
      </w:tr>
      <w:tr w:rsidR="00826A3D" w:rsidRPr="000C6009" w14:paraId="559D3150" w14:textId="77777777" w:rsidTr="00BD261D">
        <w:trPr>
          <w:trHeight w:val="315"/>
        </w:trPr>
        <w:tc>
          <w:tcPr>
            <w:tcW w:w="1040" w:type="pct"/>
            <w:tcBorders>
              <w:top w:val="nil"/>
              <w:left w:val="single" w:sz="8" w:space="0" w:color="A6A6A6"/>
              <w:bottom w:val="single" w:sz="8" w:space="0" w:color="A6A6A6"/>
              <w:right w:val="single" w:sz="8" w:space="0" w:color="A6A6A6"/>
            </w:tcBorders>
            <w:vAlign w:val="center"/>
            <w:hideMark/>
          </w:tcPr>
          <w:p w14:paraId="020426F0"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85" w:type="pct"/>
            <w:tcBorders>
              <w:top w:val="nil"/>
              <w:left w:val="nil"/>
              <w:bottom w:val="single" w:sz="8" w:space="0" w:color="A6A6A6"/>
              <w:right w:val="single" w:sz="8" w:space="0" w:color="A6A6A6"/>
            </w:tcBorders>
            <w:vAlign w:val="center"/>
            <w:hideMark/>
          </w:tcPr>
          <w:p w14:paraId="74566867"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519" w:type="pct"/>
            <w:tcBorders>
              <w:top w:val="nil"/>
              <w:left w:val="nil"/>
              <w:bottom w:val="single" w:sz="8" w:space="0" w:color="A6A6A6"/>
              <w:right w:val="single" w:sz="8" w:space="0" w:color="A6A6A6"/>
            </w:tcBorders>
            <w:vAlign w:val="center"/>
            <w:hideMark/>
          </w:tcPr>
          <w:p w14:paraId="31F01F7F"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43,0%</w:t>
            </w:r>
          </w:p>
        </w:tc>
        <w:tc>
          <w:tcPr>
            <w:tcW w:w="520" w:type="pct"/>
            <w:tcBorders>
              <w:top w:val="nil"/>
              <w:left w:val="nil"/>
              <w:bottom w:val="single" w:sz="8" w:space="0" w:color="A6A6A6"/>
              <w:right w:val="single" w:sz="8" w:space="0" w:color="A6A6A6"/>
            </w:tcBorders>
            <w:vAlign w:val="center"/>
            <w:hideMark/>
          </w:tcPr>
          <w:p w14:paraId="63F52114"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19,8%</w:t>
            </w:r>
          </w:p>
        </w:tc>
        <w:tc>
          <w:tcPr>
            <w:tcW w:w="520" w:type="pct"/>
            <w:tcBorders>
              <w:top w:val="nil"/>
              <w:left w:val="nil"/>
              <w:bottom w:val="single" w:sz="8" w:space="0" w:color="A6A6A6"/>
              <w:right w:val="single" w:sz="8" w:space="0" w:color="A6A6A6"/>
            </w:tcBorders>
            <w:vAlign w:val="center"/>
            <w:hideMark/>
          </w:tcPr>
          <w:p w14:paraId="4E02E337"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62,8%</w:t>
            </w:r>
          </w:p>
        </w:tc>
        <w:tc>
          <w:tcPr>
            <w:tcW w:w="520" w:type="pct"/>
            <w:tcBorders>
              <w:top w:val="nil"/>
              <w:left w:val="nil"/>
              <w:bottom w:val="single" w:sz="8" w:space="0" w:color="A6A6A6"/>
              <w:right w:val="single" w:sz="8" w:space="0" w:color="A6A6A6"/>
            </w:tcBorders>
            <w:vAlign w:val="center"/>
            <w:hideMark/>
          </w:tcPr>
          <w:p w14:paraId="5FD3A4D9"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30,3%</w:t>
            </w:r>
          </w:p>
        </w:tc>
        <w:tc>
          <w:tcPr>
            <w:tcW w:w="520" w:type="pct"/>
            <w:tcBorders>
              <w:top w:val="nil"/>
              <w:left w:val="nil"/>
              <w:bottom w:val="single" w:sz="8" w:space="0" w:color="A6A6A6"/>
              <w:right w:val="single" w:sz="8" w:space="0" w:color="A6A6A6"/>
            </w:tcBorders>
            <w:vAlign w:val="center"/>
            <w:hideMark/>
          </w:tcPr>
          <w:p w14:paraId="5567F9F0"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6,9%</w:t>
            </w:r>
          </w:p>
        </w:tc>
        <w:tc>
          <w:tcPr>
            <w:tcW w:w="874" w:type="pct"/>
            <w:tcBorders>
              <w:top w:val="nil"/>
              <w:left w:val="nil"/>
              <w:bottom w:val="single" w:sz="8" w:space="0" w:color="A6A6A6"/>
              <w:right w:val="single" w:sz="8" w:space="0" w:color="A6A6A6"/>
            </w:tcBorders>
            <w:vAlign w:val="center"/>
            <w:hideMark/>
          </w:tcPr>
          <w:p w14:paraId="10EC559D"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37,2%</w:t>
            </w:r>
          </w:p>
        </w:tc>
      </w:tr>
    </w:tbl>
    <w:p w14:paraId="0A79BCA2" w14:textId="5D75E8DE" w:rsidR="00826A3D" w:rsidRPr="000C6009" w:rsidRDefault="00826A3D" w:rsidP="00826A3D">
      <w:pPr>
        <w:pStyle w:val="Didascalia"/>
        <w:jc w:val="center"/>
        <w:rPr>
          <w:rFonts w:cstheme="minorHAnsi"/>
          <w:i w:val="0"/>
          <w:iCs w:val="0"/>
          <w:color w:val="003366"/>
        </w:rPr>
      </w:pPr>
      <w:r w:rsidRPr="000C6009">
        <w:rPr>
          <w:rFonts w:cstheme="minorHAnsi"/>
          <w:i w:val="0"/>
          <w:iCs w:val="0"/>
          <w:color w:val="003366"/>
        </w:rPr>
        <w:t xml:space="preserve">Tabella </w:t>
      </w:r>
      <w:r w:rsidRPr="000C6009">
        <w:rPr>
          <w:rFonts w:cstheme="minorHAnsi"/>
          <w:i w:val="0"/>
          <w:iCs w:val="0"/>
          <w:color w:val="003366"/>
        </w:rPr>
        <w:fldChar w:fldCharType="begin"/>
      </w:r>
      <w:r w:rsidRPr="000C6009">
        <w:rPr>
          <w:rFonts w:cstheme="minorHAnsi"/>
          <w:i w:val="0"/>
          <w:iCs w:val="0"/>
          <w:color w:val="003366"/>
        </w:rPr>
        <w:instrText xml:space="preserve"> SEQ Tabella \* ARABIC </w:instrText>
      </w:r>
      <w:r w:rsidRPr="000C6009">
        <w:rPr>
          <w:rFonts w:cstheme="minorHAnsi"/>
          <w:i w:val="0"/>
          <w:iCs w:val="0"/>
          <w:color w:val="003366"/>
        </w:rPr>
        <w:fldChar w:fldCharType="separate"/>
      </w:r>
      <w:r w:rsidR="00670903">
        <w:rPr>
          <w:rFonts w:cstheme="minorHAnsi"/>
          <w:i w:val="0"/>
          <w:iCs w:val="0"/>
          <w:noProof/>
          <w:color w:val="003366"/>
        </w:rPr>
        <w:t>10</w:t>
      </w:r>
      <w:r w:rsidRPr="000C6009">
        <w:rPr>
          <w:rFonts w:cstheme="minorHAnsi"/>
          <w:i w:val="0"/>
          <w:iCs w:val="0"/>
          <w:noProof/>
          <w:color w:val="003366"/>
        </w:rPr>
        <w:fldChar w:fldCharType="end"/>
      </w:r>
      <w:r w:rsidRPr="000C6009">
        <w:rPr>
          <w:rFonts w:cstheme="minorHAnsi"/>
          <w:i w:val="0"/>
          <w:iCs w:val="0"/>
          <w:color w:val="003366"/>
        </w:rPr>
        <w:t xml:space="preserve"> – Indagine IMQ2022 - Autocontenimento dell’intero Bacino Sud Est</w:t>
      </w:r>
    </w:p>
    <w:p w14:paraId="7B463BE9" w14:textId="77777777" w:rsidR="00826A3D" w:rsidRPr="000C6009" w:rsidRDefault="00826A3D" w:rsidP="00826A3D">
      <w:pPr>
        <w:spacing w:before="120" w:after="0" w:line="240" w:lineRule="auto"/>
        <w:rPr>
          <w:rFonts w:cstheme="minorHAnsi"/>
        </w:rPr>
      </w:pPr>
    </w:p>
    <w:p w14:paraId="5075482A" w14:textId="77777777" w:rsidR="00826A3D" w:rsidRPr="000C6009" w:rsidRDefault="00826A3D" w:rsidP="00826A3D">
      <w:pPr>
        <w:spacing w:before="120" w:after="0" w:line="240" w:lineRule="auto"/>
        <w:rPr>
          <w:rFonts w:cstheme="minorHAnsi"/>
        </w:rPr>
      </w:pPr>
      <w:r w:rsidRPr="000C6009">
        <w:rPr>
          <w:rFonts w:cstheme="minorHAnsi"/>
        </w:rPr>
        <w:t xml:space="preserve">Si intende ora procedere a un'analisi dettagliata della distribuzione della domanda di mobilità all'interno del Bacino Sud Est, con l'obiettivo di individuare eventuali sotto aree di autocontenimento. </w:t>
      </w:r>
    </w:p>
    <w:p w14:paraId="3E5E4A1A" w14:textId="77777777" w:rsidR="00826A3D" w:rsidRPr="000C6009" w:rsidRDefault="00826A3D" w:rsidP="00826A3D">
      <w:pPr>
        <w:spacing w:before="120" w:after="0" w:line="240" w:lineRule="auto"/>
        <w:rPr>
          <w:rFonts w:cstheme="minorHAnsi"/>
        </w:rPr>
      </w:pPr>
      <w:r w:rsidRPr="000C6009">
        <w:rPr>
          <w:rFonts w:cstheme="minorHAnsi"/>
        </w:rPr>
        <w:t>Questa analisi prevede la suddivisione del bacino in zone più piccole e la valutazione della capacità di ciascuna zona di soddisfare internamente le esigenze di spostamento dei suoi residenti.</w:t>
      </w:r>
    </w:p>
    <w:p w14:paraId="424D8EED" w14:textId="77777777" w:rsidR="00826A3D" w:rsidRPr="000C6009" w:rsidRDefault="00826A3D" w:rsidP="00826A3D">
      <w:pPr>
        <w:spacing w:before="120" w:after="0" w:line="240" w:lineRule="auto"/>
        <w:rPr>
          <w:rFonts w:cstheme="minorHAnsi"/>
        </w:rPr>
      </w:pPr>
      <w:r w:rsidRPr="000C6009">
        <w:rPr>
          <w:rFonts w:cstheme="minorHAnsi"/>
        </w:rPr>
        <w:t>Vista la dinamicità delle zone in relazione alla domanda effettiva di trasporto pubblico locale (TPL), è necessario procedere alla definizione delle dinamiche di mobilità nel Bacino Sud Est. La dinamicità si riferisce alla variabilità e ai cambiamenti nella domanda di TPL tra le diverse zone, influenzata da fattori come la densità di popolazione, le attività economiche e le infrastrutture disponibili.</w:t>
      </w:r>
    </w:p>
    <w:p w14:paraId="3470FEE1" w14:textId="77777777" w:rsidR="00826A3D" w:rsidRPr="000C6009" w:rsidRDefault="00826A3D" w:rsidP="00826A3D">
      <w:pPr>
        <w:spacing w:before="120" w:after="0" w:line="240" w:lineRule="auto"/>
        <w:rPr>
          <w:rFonts w:cstheme="minorHAnsi"/>
        </w:rPr>
      </w:pPr>
      <w:r w:rsidRPr="000C6009">
        <w:rPr>
          <w:rFonts w:cstheme="minorHAnsi"/>
        </w:rPr>
        <w:t>Per analizzare queste dinamiche si è ritenuto opportuno prendere in considerazione i due ambiti provinciali presenti nel Bacino: la Provincia di Alessandria e la Provincia di Asti. È stata effettuata una mappatura delle linee di trasporto pubblico, identificando l'appartenenza delle linee alle due aree provinciali. Inoltre, le zone campionarie dell'indagine IMQ 2022 sono state assegnate alle due aree, permettendo una valutazione dettagliata della domanda di mobilità.</w:t>
      </w:r>
    </w:p>
    <w:p w14:paraId="6DEEBCFA" w14:textId="77777777" w:rsidR="00826A3D" w:rsidRPr="000C6009" w:rsidRDefault="00826A3D" w:rsidP="00826A3D">
      <w:pPr>
        <w:spacing w:before="120" w:after="0" w:line="240" w:lineRule="auto"/>
        <w:rPr>
          <w:rFonts w:cstheme="minorHAnsi"/>
        </w:rPr>
      </w:pPr>
      <w:r w:rsidRPr="000C6009">
        <w:rPr>
          <w:rFonts w:cstheme="minorHAnsi"/>
        </w:rPr>
        <w:t>Questa suddivisione e mappatura consente di comprendere meglio come la domanda di TPL si distribuisce tra due province, facilitando l'identificazione di eventuali sotto aree di autocontenimento e supportando la pianificazione e l'ottimizzazione del trasporto pubblico nel Bacino Sud-Est.</w:t>
      </w:r>
    </w:p>
    <w:p w14:paraId="7AD4A858" w14:textId="77777777" w:rsidR="00826A3D" w:rsidRPr="000C6009" w:rsidRDefault="00826A3D" w:rsidP="00826A3D">
      <w:pPr>
        <w:spacing w:before="120" w:after="0" w:line="240" w:lineRule="auto"/>
        <w:rPr>
          <w:rFonts w:cstheme="minorHAnsi"/>
        </w:rPr>
      </w:pPr>
      <w:r w:rsidRPr="000C6009">
        <w:rPr>
          <w:rFonts w:cstheme="minorHAnsi"/>
        </w:rPr>
        <w:t xml:space="preserve">Per le 33 zone campionarie presenti nel Bacino Sud Est, si è osservato un prevalente contenimento dei percorsi delle linee all’interno dei confini delle predette zone provinciali. </w:t>
      </w:r>
    </w:p>
    <w:p w14:paraId="4B4B3CF7" w14:textId="77777777" w:rsidR="00826A3D" w:rsidRDefault="00826A3D" w:rsidP="00826A3D">
      <w:pPr>
        <w:spacing w:before="120" w:after="0" w:line="240" w:lineRule="auto"/>
        <w:rPr>
          <w:rFonts w:cstheme="minorHAnsi"/>
        </w:rPr>
      </w:pPr>
    </w:p>
    <w:p w14:paraId="4F402030" w14:textId="77777777" w:rsidR="005973F8" w:rsidRPr="000C6009" w:rsidRDefault="005973F8" w:rsidP="00826A3D">
      <w:pPr>
        <w:spacing w:before="120" w:after="0" w:line="240" w:lineRule="auto"/>
        <w:rPr>
          <w:rFonts w:cstheme="minorHAnsi"/>
        </w:rPr>
      </w:pPr>
    </w:p>
    <w:tbl>
      <w:tblPr>
        <w:tblW w:w="5000" w:type="pct"/>
        <w:tblLayout w:type="fixed"/>
        <w:tblCellMar>
          <w:left w:w="70" w:type="dxa"/>
          <w:right w:w="70" w:type="dxa"/>
        </w:tblCellMar>
        <w:tblLook w:val="04A0" w:firstRow="1" w:lastRow="0" w:firstColumn="1" w:lastColumn="0" w:noHBand="0" w:noVBand="1"/>
      </w:tblPr>
      <w:tblGrid>
        <w:gridCol w:w="2132"/>
        <w:gridCol w:w="796"/>
        <w:gridCol w:w="1041"/>
        <w:gridCol w:w="1134"/>
        <w:gridCol w:w="920"/>
        <w:gridCol w:w="1346"/>
        <w:gridCol w:w="993"/>
        <w:gridCol w:w="698"/>
      </w:tblGrid>
      <w:tr w:rsidR="00826A3D" w:rsidRPr="000C6009" w14:paraId="4958D71F" w14:textId="77777777" w:rsidTr="00BD261D">
        <w:trPr>
          <w:trHeight w:val="315"/>
        </w:trPr>
        <w:tc>
          <w:tcPr>
            <w:tcW w:w="1176" w:type="pct"/>
            <w:tcBorders>
              <w:top w:val="nil"/>
              <w:left w:val="nil"/>
              <w:bottom w:val="nil"/>
              <w:right w:val="nil"/>
            </w:tcBorders>
            <w:vAlign w:val="center"/>
            <w:hideMark/>
          </w:tcPr>
          <w:p w14:paraId="206EB975" w14:textId="77777777" w:rsidR="00826A3D" w:rsidRPr="000C6009" w:rsidRDefault="00826A3D" w:rsidP="00BD261D">
            <w:pPr>
              <w:spacing w:after="0" w:line="240" w:lineRule="auto"/>
              <w:rPr>
                <w:rFonts w:eastAsia="Times New Roman" w:cstheme="minorHAnsi"/>
                <w:color w:val="000000"/>
                <w:sz w:val="20"/>
                <w:szCs w:val="20"/>
              </w:rPr>
            </w:pPr>
          </w:p>
        </w:tc>
        <w:tc>
          <w:tcPr>
            <w:tcW w:w="439" w:type="pct"/>
            <w:tcBorders>
              <w:top w:val="nil"/>
              <w:left w:val="nil"/>
              <w:bottom w:val="single" w:sz="8" w:space="0" w:color="A6A6A6"/>
              <w:right w:val="single" w:sz="8" w:space="0" w:color="A6A6A6"/>
            </w:tcBorders>
            <w:vAlign w:val="center"/>
            <w:hideMark/>
          </w:tcPr>
          <w:p w14:paraId="52CD7C4B" w14:textId="77777777" w:rsidR="00826A3D" w:rsidRPr="000C6009" w:rsidRDefault="00826A3D" w:rsidP="00BD261D">
            <w:pPr>
              <w:spacing w:after="0" w:line="240" w:lineRule="auto"/>
              <w:rPr>
                <w:rFonts w:eastAsia="Times New Roman" w:cstheme="minorHAnsi"/>
                <w:color w:val="000000"/>
                <w:sz w:val="20"/>
                <w:szCs w:val="20"/>
              </w:rPr>
            </w:pPr>
            <w:r w:rsidRPr="000C6009">
              <w:rPr>
                <w:rFonts w:eastAsia="Times New Roman" w:cstheme="minorHAnsi"/>
                <w:color w:val="000000"/>
                <w:sz w:val="20"/>
                <w:szCs w:val="20"/>
              </w:rPr>
              <w:t> </w:t>
            </w:r>
          </w:p>
        </w:tc>
        <w:tc>
          <w:tcPr>
            <w:tcW w:w="1708"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30262B54"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Autocontenimento</w:t>
            </w:r>
          </w:p>
        </w:tc>
        <w:tc>
          <w:tcPr>
            <w:tcW w:w="1676"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43590670"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uscente</w:t>
            </w:r>
          </w:p>
        </w:tc>
      </w:tr>
      <w:tr w:rsidR="00826A3D" w:rsidRPr="000C6009" w14:paraId="5B11A1EE" w14:textId="77777777" w:rsidTr="00BD261D">
        <w:trPr>
          <w:trHeight w:val="1035"/>
        </w:trPr>
        <w:tc>
          <w:tcPr>
            <w:tcW w:w="1176" w:type="pct"/>
            <w:tcBorders>
              <w:top w:val="nil"/>
              <w:left w:val="nil"/>
              <w:bottom w:val="single" w:sz="8" w:space="0" w:color="A6A6A6"/>
              <w:right w:val="single" w:sz="8" w:space="0" w:color="A6A6A6"/>
            </w:tcBorders>
            <w:vAlign w:val="center"/>
            <w:hideMark/>
          </w:tcPr>
          <w:p w14:paraId="70419155" w14:textId="77777777" w:rsidR="00826A3D" w:rsidRPr="000C6009" w:rsidRDefault="00826A3D" w:rsidP="00BD261D">
            <w:pPr>
              <w:spacing w:after="0" w:line="240" w:lineRule="auto"/>
              <w:rPr>
                <w:rFonts w:eastAsia="Times New Roman" w:cstheme="minorHAnsi"/>
                <w:b/>
                <w:bCs/>
                <w:color w:val="000000"/>
                <w:sz w:val="20"/>
                <w:szCs w:val="20"/>
              </w:rPr>
            </w:pPr>
            <w:r w:rsidRPr="000C6009">
              <w:rPr>
                <w:rFonts w:eastAsia="Times New Roman" w:cstheme="minorHAnsi"/>
                <w:b/>
                <w:bCs/>
                <w:color w:val="000000"/>
                <w:sz w:val="20"/>
                <w:szCs w:val="20"/>
              </w:rPr>
              <w:t xml:space="preserve">IMQ2022 </w:t>
            </w:r>
          </w:p>
        </w:tc>
        <w:tc>
          <w:tcPr>
            <w:tcW w:w="439" w:type="pct"/>
            <w:tcBorders>
              <w:top w:val="nil"/>
              <w:left w:val="nil"/>
              <w:bottom w:val="single" w:sz="8" w:space="0" w:color="A6A6A6"/>
              <w:right w:val="single" w:sz="8" w:space="0" w:color="A6A6A6"/>
            </w:tcBorders>
            <w:shd w:val="clear" w:color="auto" w:fill="A5C34C" w:themeFill="accent6" w:themeFillShade="BF"/>
            <w:vAlign w:val="center"/>
            <w:hideMark/>
          </w:tcPr>
          <w:p w14:paraId="1E715840"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xml:space="preserve">N° zone </w:t>
            </w:r>
          </w:p>
        </w:tc>
        <w:tc>
          <w:tcPr>
            <w:tcW w:w="574" w:type="pct"/>
            <w:tcBorders>
              <w:top w:val="nil"/>
              <w:left w:val="nil"/>
              <w:bottom w:val="single" w:sz="8" w:space="0" w:color="A6A6A6"/>
              <w:right w:val="single" w:sz="8" w:space="0" w:color="A6A6A6"/>
            </w:tcBorders>
            <w:shd w:val="clear" w:color="auto" w:fill="A5C34C" w:themeFill="accent6" w:themeFillShade="BF"/>
            <w:vAlign w:val="center"/>
            <w:hideMark/>
          </w:tcPr>
          <w:p w14:paraId="7D535827"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Interno stessa zona</w:t>
            </w:r>
          </w:p>
        </w:tc>
        <w:tc>
          <w:tcPr>
            <w:tcW w:w="626" w:type="pct"/>
            <w:tcBorders>
              <w:top w:val="nil"/>
              <w:left w:val="nil"/>
              <w:bottom w:val="single" w:sz="8" w:space="0" w:color="A6A6A6"/>
              <w:right w:val="single" w:sz="8" w:space="0" w:color="A6A6A6"/>
            </w:tcBorders>
            <w:shd w:val="clear" w:color="auto" w:fill="A5C34C" w:themeFill="accent6" w:themeFillShade="BF"/>
            <w:vAlign w:val="center"/>
            <w:hideMark/>
          </w:tcPr>
          <w:p w14:paraId="0169C642"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zone del Bacino</w:t>
            </w:r>
          </w:p>
        </w:tc>
        <w:tc>
          <w:tcPr>
            <w:tcW w:w="508" w:type="pct"/>
            <w:tcBorders>
              <w:top w:val="nil"/>
              <w:left w:val="nil"/>
              <w:bottom w:val="single" w:sz="8" w:space="0" w:color="A6A6A6"/>
              <w:right w:val="single" w:sz="8" w:space="0" w:color="A6A6A6"/>
            </w:tcBorders>
            <w:shd w:val="clear" w:color="auto" w:fill="A5C34C" w:themeFill="accent6" w:themeFillShade="BF"/>
            <w:vAlign w:val="center"/>
            <w:hideMark/>
          </w:tcPr>
          <w:p w14:paraId="51E78FA4"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c>
          <w:tcPr>
            <w:tcW w:w="743" w:type="pct"/>
            <w:tcBorders>
              <w:top w:val="nil"/>
              <w:left w:val="nil"/>
              <w:bottom w:val="single" w:sz="8" w:space="0" w:color="A6A6A6"/>
              <w:right w:val="single" w:sz="8" w:space="0" w:color="A6A6A6"/>
            </w:tcBorders>
            <w:shd w:val="clear" w:color="auto" w:fill="A5C34C" w:themeFill="accent6" w:themeFillShade="BF"/>
            <w:vAlign w:val="center"/>
            <w:hideMark/>
          </w:tcPr>
          <w:p w14:paraId="3B7E733A"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altra zona Piemonte</w:t>
            </w:r>
          </w:p>
        </w:tc>
        <w:tc>
          <w:tcPr>
            <w:tcW w:w="548" w:type="pct"/>
            <w:tcBorders>
              <w:top w:val="nil"/>
              <w:left w:val="nil"/>
              <w:bottom w:val="single" w:sz="8" w:space="0" w:color="A6A6A6"/>
              <w:right w:val="single" w:sz="8" w:space="0" w:color="A6A6A6"/>
            </w:tcBorders>
            <w:shd w:val="clear" w:color="auto" w:fill="A5C34C" w:themeFill="accent6" w:themeFillShade="BF"/>
            <w:vAlign w:val="center"/>
            <w:hideMark/>
          </w:tcPr>
          <w:p w14:paraId="7D17458B"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regioni</w:t>
            </w:r>
          </w:p>
        </w:tc>
        <w:tc>
          <w:tcPr>
            <w:tcW w:w="385" w:type="pct"/>
            <w:tcBorders>
              <w:top w:val="nil"/>
              <w:left w:val="nil"/>
              <w:bottom w:val="single" w:sz="8" w:space="0" w:color="A6A6A6"/>
              <w:right w:val="single" w:sz="8" w:space="0" w:color="A6A6A6"/>
            </w:tcBorders>
            <w:shd w:val="clear" w:color="auto" w:fill="A5C34C" w:themeFill="accent6" w:themeFillShade="BF"/>
            <w:vAlign w:val="center"/>
            <w:hideMark/>
          </w:tcPr>
          <w:p w14:paraId="00D3DEA9"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r>
      <w:tr w:rsidR="00826A3D" w:rsidRPr="000C6009" w14:paraId="330B63E8" w14:textId="77777777" w:rsidTr="00BD261D">
        <w:trPr>
          <w:trHeight w:val="315"/>
        </w:trPr>
        <w:tc>
          <w:tcPr>
            <w:tcW w:w="1176" w:type="pct"/>
            <w:tcBorders>
              <w:top w:val="nil"/>
              <w:left w:val="single" w:sz="8" w:space="0" w:color="A6A6A6"/>
              <w:bottom w:val="single" w:sz="8" w:space="0" w:color="A6A6A6"/>
              <w:right w:val="single" w:sz="8" w:space="0" w:color="A6A6A6"/>
            </w:tcBorders>
            <w:vAlign w:val="center"/>
            <w:hideMark/>
          </w:tcPr>
          <w:p w14:paraId="4E7E0B91"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potenziale (motorizzata)</w:t>
            </w:r>
          </w:p>
        </w:tc>
        <w:tc>
          <w:tcPr>
            <w:tcW w:w="439" w:type="pct"/>
            <w:tcBorders>
              <w:top w:val="nil"/>
              <w:left w:val="nil"/>
              <w:bottom w:val="single" w:sz="8" w:space="0" w:color="A6A6A6"/>
              <w:right w:val="single" w:sz="8" w:space="0" w:color="A6A6A6"/>
            </w:tcBorders>
            <w:vAlign w:val="center"/>
            <w:hideMark/>
          </w:tcPr>
          <w:p w14:paraId="548E9264"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20</w:t>
            </w:r>
          </w:p>
        </w:tc>
        <w:tc>
          <w:tcPr>
            <w:tcW w:w="574" w:type="pct"/>
            <w:tcBorders>
              <w:top w:val="nil"/>
              <w:left w:val="nil"/>
              <w:bottom w:val="single" w:sz="8" w:space="0" w:color="A6A6A6"/>
              <w:right w:val="single" w:sz="8" w:space="0" w:color="A6A6A6"/>
            </w:tcBorders>
            <w:vAlign w:val="center"/>
            <w:hideMark/>
          </w:tcPr>
          <w:p w14:paraId="7C92E290"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171.909 </w:t>
            </w:r>
          </w:p>
        </w:tc>
        <w:tc>
          <w:tcPr>
            <w:tcW w:w="626" w:type="pct"/>
            <w:tcBorders>
              <w:top w:val="nil"/>
              <w:left w:val="nil"/>
              <w:bottom w:val="single" w:sz="8" w:space="0" w:color="A6A6A6"/>
              <w:right w:val="single" w:sz="8" w:space="0" w:color="A6A6A6"/>
            </w:tcBorders>
            <w:vAlign w:val="center"/>
            <w:hideMark/>
          </w:tcPr>
          <w:p w14:paraId="2A0A9F28"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78.303 </w:t>
            </w:r>
          </w:p>
        </w:tc>
        <w:tc>
          <w:tcPr>
            <w:tcW w:w="508" w:type="pct"/>
            <w:tcBorders>
              <w:top w:val="nil"/>
              <w:left w:val="nil"/>
              <w:bottom w:val="single" w:sz="8" w:space="0" w:color="A6A6A6"/>
              <w:right w:val="single" w:sz="8" w:space="0" w:color="A6A6A6"/>
            </w:tcBorders>
            <w:vAlign w:val="center"/>
            <w:hideMark/>
          </w:tcPr>
          <w:p w14:paraId="74888A4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250.212 </w:t>
            </w:r>
          </w:p>
        </w:tc>
        <w:tc>
          <w:tcPr>
            <w:tcW w:w="743" w:type="pct"/>
            <w:tcBorders>
              <w:top w:val="nil"/>
              <w:left w:val="nil"/>
              <w:bottom w:val="single" w:sz="8" w:space="0" w:color="A6A6A6"/>
              <w:right w:val="single" w:sz="8" w:space="0" w:color="A6A6A6"/>
            </w:tcBorders>
            <w:vAlign w:val="center"/>
            <w:hideMark/>
          </w:tcPr>
          <w:p w14:paraId="352DFAAC"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35.681 </w:t>
            </w:r>
          </w:p>
        </w:tc>
        <w:tc>
          <w:tcPr>
            <w:tcW w:w="548" w:type="pct"/>
            <w:tcBorders>
              <w:top w:val="nil"/>
              <w:left w:val="nil"/>
              <w:bottom w:val="single" w:sz="8" w:space="0" w:color="A6A6A6"/>
              <w:right w:val="single" w:sz="8" w:space="0" w:color="A6A6A6"/>
            </w:tcBorders>
            <w:vAlign w:val="center"/>
            <w:hideMark/>
          </w:tcPr>
          <w:p w14:paraId="3FF65E8B"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4.083 </w:t>
            </w:r>
          </w:p>
        </w:tc>
        <w:tc>
          <w:tcPr>
            <w:tcW w:w="385" w:type="pct"/>
            <w:tcBorders>
              <w:top w:val="nil"/>
              <w:left w:val="nil"/>
              <w:bottom w:val="single" w:sz="8" w:space="0" w:color="A6A6A6"/>
              <w:right w:val="single" w:sz="8" w:space="0" w:color="A6A6A6"/>
            </w:tcBorders>
            <w:vAlign w:val="center"/>
            <w:hideMark/>
          </w:tcPr>
          <w:p w14:paraId="6995CDF7"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39.764 </w:t>
            </w:r>
          </w:p>
        </w:tc>
      </w:tr>
      <w:tr w:rsidR="00826A3D" w:rsidRPr="000C6009" w14:paraId="6CA87696" w14:textId="77777777" w:rsidTr="00BD261D">
        <w:trPr>
          <w:trHeight w:val="315"/>
        </w:trPr>
        <w:tc>
          <w:tcPr>
            <w:tcW w:w="1176" w:type="pct"/>
            <w:tcBorders>
              <w:top w:val="nil"/>
              <w:left w:val="single" w:sz="8" w:space="0" w:color="A6A6A6"/>
              <w:bottom w:val="single" w:sz="8" w:space="0" w:color="A6A6A6"/>
              <w:right w:val="single" w:sz="8" w:space="0" w:color="A6A6A6"/>
            </w:tcBorders>
            <w:vAlign w:val="center"/>
            <w:hideMark/>
          </w:tcPr>
          <w:p w14:paraId="570499B1"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39" w:type="pct"/>
            <w:tcBorders>
              <w:top w:val="nil"/>
              <w:left w:val="nil"/>
              <w:bottom w:val="single" w:sz="8" w:space="0" w:color="A6A6A6"/>
              <w:right w:val="single" w:sz="8" w:space="0" w:color="A6A6A6"/>
            </w:tcBorders>
            <w:vAlign w:val="center"/>
            <w:hideMark/>
          </w:tcPr>
          <w:p w14:paraId="6688F00B"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574" w:type="pct"/>
            <w:tcBorders>
              <w:top w:val="nil"/>
              <w:left w:val="nil"/>
              <w:bottom w:val="single" w:sz="8" w:space="0" w:color="A6A6A6"/>
              <w:right w:val="single" w:sz="8" w:space="0" w:color="A6A6A6"/>
            </w:tcBorders>
            <w:vAlign w:val="center"/>
            <w:hideMark/>
          </w:tcPr>
          <w:p w14:paraId="2E6DC08C"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59,3%</w:t>
            </w:r>
          </w:p>
        </w:tc>
        <w:tc>
          <w:tcPr>
            <w:tcW w:w="626" w:type="pct"/>
            <w:tcBorders>
              <w:top w:val="nil"/>
              <w:left w:val="nil"/>
              <w:bottom w:val="single" w:sz="8" w:space="0" w:color="A6A6A6"/>
              <w:right w:val="single" w:sz="8" w:space="0" w:color="A6A6A6"/>
            </w:tcBorders>
            <w:vAlign w:val="center"/>
            <w:hideMark/>
          </w:tcPr>
          <w:p w14:paraId="43807993"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27,0%</w:t>
            </w:r>
          </w:p>
        </w:tc>
        <w:tc>
          <w:tcPr>
            <w:tcW w:w="508" w:type="pct"/>
            <w:tcBorders>
              <w:top w:val="nil"/>
              <w:left w:val="nil"/>
              <w:bottom w:val="single" w:sz="8" w:space="0" w:color="A6A6A6"/>
              <w:right w:val="single" w:sz="8" w:space="0" w:color="A6A6A6"/>
            </w:tcBorders>
            <w:vAlign w:val="center"/>
            <w:hideMark/>
          </w:tcPr>
          <w:p w14:paraId="32C4D784"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86,3%</w:t>
            </w:r>
          </w:p>
        </w:tc>
        <w:tc>
          <w:tcPr>
            <w:tcW w:w="743" w:type="pct"/>
            <w:tcBorders>
              <w:top w:val="nil"/>
              <w:left w:val="nil"/>
              <w:bottom w:val="single" w:sz="8" w:space="0" w:color="A6A6A6"/>
              <w:right w:val="single" w:sz="8" w:space="0" w:color="A6A6A6"/>
            </w:tcBorders>
            <w:vAlign w:val="center"/>
            <w:hideMark/>
          </w:tcPr>
          <w:p w14:paraId="448CB7FF"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12,3%</w:t>
            </w:r>
          </w:p>
        </w:tc>
        <w:tc>
          <w:tcPr>
            <w:tcW w:w="548" w:type="pct"/>
            <w:tcBorders>
              <w:top w:val="nil"/>
              <w:left w:val="nil"/>
              <w:bottom w:val="single" w:sz="8" w:space="0" w:color="A6A6A6"/>
              <w:right w:val="single" w:sz="8" w:space="0" w:color="A6A6A6"/>
            </w:tcBorders>
            <w:vAlign w:val="center"/>
            <w:hideMark/>
          </w:tcPr>
          <w:p w14:paraId="657B91B1"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1,4%</w:t>
            </w:r>
          </w:p>
        </w:tc>
        <w:tc>
          <w:tcPr>
            <w:tcW w:w="385" w:type="pct"/>
            <w:tcBorders>
              <w:top w:val="nil"/>
              <w:left w:val="nil"/>
              <w:bottom w:val="single" w:sz="8" w:space="0" w:color="A6A6A6"/>
              <w:right w:val="single" w:sz="8" w:space="0" w:color="A6A6A6"/>
            </w:tcBorders>
            <w:vAlign w:val="center"/>
            <w:hideMark/>
          </w:tcPr>
          <w:p w14:paraId="50912E42"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13,7%</w:t>
            </w:r>
          </w:p>
        </w:tc>
      </w:tr>
      <w:tr w:rsidR="00826A3D" w:rsidRPr="000C6009" w14:paraId="205DC45A" w14:textId="77777777" w:rsidTr="00BD261D">
        <w:trPr>
          <w:trHeight w:val="315"/>
        </w:trPr>
        <w:tc>
          <w:tcPr>
            <w:tcW w:w="1176" w:type="pct"/>
            <w:tcBorders>
              <w:top w:val="nil"/>
              <w:left w:val="single" w:sz="8" w:space="0" w:color="A6A6A6"/>
              <w:bottom w:val="single" w:sz="8" w:space="0" w:color="A6A6A6"/>
              <w:right w:val="single" w:sz="8" w:space="0" w:color="A6A6A6"/>
            </w:tcBorders>
            <w:vAlign w:val="center"/>
            <w:hideMark/>
          </w:tcPr>
          <w:p w14:paraId="15DA45D1"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effettiva TPL (pubblica)</w:t>
            </w:r>
          </w:p>
        </w:tc>
        <w:tc>
          <w:tcPr>
            <w:tcW w:w="439" w:type="pct"/>
            <w:tcBorders>
              <w:top w:val="nil"/>
              <w:left w:val="nil"/>
              <w:bottom w:val="single" w:sz="8" w:space="0" w:color="A6A6A6"/>
              <w:right w:val="single" w:sz="8" w:space="0" w:color="A6A6A6"/>
            </w:tcBorders>
            <w:vAlign w:val="center"/>
            <w:hideMark/>
          </w:tcPr>
          <w:p w14:paraId="71B51700"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20</w:t>
            </w:r>
          </w:p>
        </w:tc>
        <w:tc>
          <w:tcPr>
            <w:tcW w:w="574" w:type="pct"/>
            <w:tcBorders>
              <w:top w:val="nil"/>
              <w:left w:val="nil"/>
              <w:bottom w:val="single" w:sz="8" w:space="0" w:color="A6A6A6"/>
              <w:right w:val="single" w:sz="8" w:space="0" w:color="A6A6A6"/>
            </w:tcBorders>
            <w:vAlign w:val="center"/>
            <w:hideMark/>
          </w:tcPr>
          <w:p w14:paraId="4B403E0E"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 9.752 </w:t>
            </w:r>
          </w:p>
        </w:tc>
        <w:tc>
          <w:tcPr>
            <w:tcW w:w="626" w:type="pct"/>
            <w:tcBorders>
              <w:top w:val="nil"/>
              <w:left w:val="nil"/>
              <w:bottom w:val="single" w:sz="8" w:space="0" w:color="A6A6A6"/>
              <w:right w:val="single" w:sz="8" w:space="0" w:color="A6A6A6"/>
            </w:tcBorders>
            <w:vAlign w:val="center"/>
            <w:hideMark/>
          </w:tcPr>
          <w:p w14:paraId="7A997E04"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4.998 </w:t>
            </w:r>
          </w:p>
        </w:tc>
        <w:tc>
          <w:tcPr>
            <w:tcW w:w="508" w:type="pct"/>
            <w:tcBorders>
              <w:top w:val="nil"/>
              <w:left w:val="nil"/>
              <w:bottom w:val="single" w:sz="8" w:space="0" w:color="A6A6A6"/>
              <w:right w:val="single" w:sz="8" w:space="0" w:color="A6A6A6"/>
            </w:tcBorders>
            <w:vAlign w:val="center"/>
            <w:hideMark/>
          </w:tcPr>
          <w:p w14:paraId="6D8464F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14.750 </w:t>
            </w:r>
          </w:p>
        </w:tc>
        <w:tc>
          <w:tcPr>
            <w:tcW w:w="743" w:type="pct"/>
            <w:tcBorders>
              <w:top w:val="nil"/>
              <w:left w:val="nil"/>
              <w:bottom w:val="single" w:sz="8" w:space="0" w:color="A6A6A6"/>
              <w:right w:val="single" w:sz="8" w:space="0" w:color="A6A6A6"/>
            </w:tcBorders>
            <w:vAlign w:val="center"/>
            <w:hideMark/>
          </w:tcPr>
          <w:p w14:paraId="0B2298AD"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7.054 </w:t>
            </w:r>
          </w:p>
        </w:tc>
        <w:tc>
          <w:tcPr>
            <w:tcW w:w="548" w:type="pct"/>
            <w:tcBorders>
              <w:top w:val="nil"/>
              <w:left w:val="nil"/>
              <w:bottom w:val="single" w:sz="8" w:space="0" w:color="A6A6A6"/>
              <w:right w:val="single" w:sz="8" w:space="0" w:color="A6A6A6"/>
            </w:tcBorders>
            <w:vAlign w:val="center"/>
            <w:hideMark/>
          </w:tcPr>
          <w:p w14:paraId="4947CDD5"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1.768 </w:t>
            </w:r>
          </w:p>
        </w:tc>
        <w:tc>
          <w:tcPr>
            <w:tcW w:w="385" w:type="pct"/>
            <w:tcBorders>
              <w:top w:val="nil"/>
              <w:left w:val="nil"/>
              <w:bottom w:val="single" w:sz="8" w:space="0" w:color="A6A6A6"/>
              <w:right w:val="single" w:sz="8" w:space="0" w:color="A6A6A6"/>
            </w:tcBorders>
            <w:vAlign w:val="center"/>
            <w:hideMark/>
          </w:tcPr>
          <w:p w14:paraId="62B04BEE"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8.822 </w:t>
            </w:r>
          </w:p>
        </w:tc>
      </w:tr>
      <w:tr w:rsidR="00826A3D" w:rsidRPr="000C6009" w14:paraId="19242965" w14:textId="77777777" w:rsidTr="00BD261D">
        <w:trPr>
          <w:trHeight w:val="315"/>
        </w:trPr>
        <w:tc>
          <w:tcPr>
            <w:tcW w:w="1176" w:type="pct"/>
            <w:tcBorders>
              <w:top w:val="nil"/>
              <w:left w:val="single" w:sz="8" w:space="0" w:color="A6A6A6"/>
              <w:bottom w:val="single" w:sz="8" w:space="0" w:color="A6A6A6"/>
              <w:right w:val="single" w:sz="8" w:space="0" w:color="A6A6A6"/>
            </w:tcBorders>
            <w:vAlign w:val="center"/>
            <w:hideMark/>
          </w:tcPr>
          <w:p w14:paraId="484270D5"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39" w:type="pct"/>
            <w:tcBorders>
              <w:top w:val="nil"/>
              <w:left w:val="nil"/>
              <w:bottom w:val="single" w:sz="8" w:space="0" w:color="A6A6A6"/>
              <w:right w:val="single" w:sz="8" w:space="0" w:color="A6A6A6"/>
            </w:tcBorders>
            <w:vAlign w:val="center"/>
            <w:hideMark/>
          </w:tcPr>
          <w:p w14:paraId="37EF87CD"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574" w:type="pct"/>
            <w:tcBorders>
              <w:top w:val="nil"/>
              <w:left w:val="nil"/>
              <w:bottom w:val="single" w:sz="8" w:space="0" w:color="A6A6A6"/>
              <w:right w:val="single" w:sz="8" w:space="0" w:color="A6A6A6"/>
            </w:tcBorders>
            <w:vAlign w:val="center"/>
            <w:hideMark/>
          </w:tcPr>
          <w:p w14:paraId="7B3996F1"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41,4%</w:t>
            </w:r>
          </w:p>
        </w:tc>
        <w:tc>
          <w:tcPr>
            <w:tcW w:w="626" w:type="pct"/>
            <w:tcBorders>
              <w:top w:val="nil"/>
              <w:left w:val="nil"/>
              <w:bottom w:val="single" w:sz="8" w:space="0" w:color="A6A6A6"/>
              <w:right w:val="single" w:sz="8" w:space="0" w:color="A6A6A6"/>
            </w:tcBorders>
            <w:vAlign w:val="center"/>
            <w:hideMark/>
          </w:tcPr>
          <w:p w14:paraId="6B6082BA"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21,2%</w:t>
            </w:r>
          </w:p>
        </w:tc>
        <w:tc>
          <w:tcPr>
            <w:tcW w:w="508" w:type="pct"/>
            <w:tcBorders>
              <w:top w:val="nil"/>
              <w:left w:val="nil"/>
              <w:bottom w:val="single" w:sz="8" w:space="0" w:color="A6A6A6"/>
              <w:right w:val="single" w:sz="8" w:space="0" w:color="A6A6A6"/>
            </w:tcBorders>
            <w:vAlign w:val="center"/>
            <w:hideMark/>
          </w:tcPr>
          <w:p w14:paraId="7083F80D"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62,6%</w:t>
            </w:r>
          </w:p>
        </w:tc>
        <w:tc>
          <w:tcPr>
            <w:tcW w:w="743" w:type="pct"/>
            <w:tcBorders>
              <w:top w:val="nil"/>
              <w:left w:val="nil"/>
              <w:bottom w:val="single" w:sz="8" w:space="0" w:color="A6A6A6"/>
              <w:right w:val="single" w:sz="8" w:space="0" w:color="A6A6A6"/>
            </w:tcBorders>
            <w:vAlign w:val="center"/>
            <w:hideMark/>
          </w:tcPr>
          <w:p w14:paraId="11D00CE0"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29,9%</w:t>
            </w:r>
          </w:p>
        </w:tc>
        <w:tc>
          <w:tcPr>
            <w:tcW w:w="548" w:type="pct"/>
            <w:tcBorders>
              <w:top w:val="nil"/>
              <w:left w:val="nil"/>
              <w:bottom w:val="single" w:sz="8" w:space="0" w:color="A6A6A6"/>
              <w:right w:val="single" w:sz="8" w:space="0" w:color="A6A6A6"/>
            </w:tcBorders>
            <w:vAlign w:val="center"/>
            <w:hideMark/>
          </w:tcPr>
          <w:p w14:paraId="758AB47B"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7,5%</w:t>
            </w:r>
          </w:p>
        </w:tc>
        <w:tc>
          <w:tcPr>
            <w:tcW w:w="385" w:type="pct"/>
            <w:tcBorders>
              <w:top w:val="nil"/>
              <w:left w:val="nil"/>
              <w:bottom w:val="single" w:sz="8" w:space="0" w:color="A6A6A6"/>
              <w:right w:val="single" w:sz="8" w:space="0" w:color="A6A6A6"/>
            </w:tcBorders>
            <w:vAlign w:val="center"/>
            <w:hideMark/>
          </w:tcPr>
          <w:p w14:paraId="653ABAFB"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37,4%</w:t>
            </w:r>
          </w:p>
        </w:tc>
      </w:tr>
    </w:tbl>
    <w:p w14:paraId="1B54C4FC" w14:textId="7647094F" w:rsidR="00826A3D" w:rsidRPr="000C6009" w:rsidRDefault="00826A3D" w:rsidP="00826A3D">
      <w:pPr>
        <w:pStyle w:val="Didascalia"/>
        <w:jc w:val="center"/>
        <w:rPr>
          <w:rFonts w:cstheme="minorHAnsi"/>
          <w:i w:val="0"/>
          <w:iCs w:val="0"/>
          <w:color w:val="003366"/>
        </w:rPr>
      </w:pPr>
      <w:r w:rsidRPr="000C6009">
        <w:rPr>
          <w:rFonts w:cstheme="minorHAnsi"/>
          <w:i w:val="0"/>
          <w:iCs w:val="0"/>
          <w:color w:val="003366"/>
        </w:rPr>
        <w:t xml:space="preserve">Tabella </w:t>
      </w:r>
      <w:r w:rsidRPr="000C6009">
        <w:rPr>
          <w:rFonts w:cstheme="minorHAnsi"/>
          <w:i w:val="0"/>
          <w:iCs w:val="0"/>
          <w:color w:val="003366"/>
        </w:rPr>
        <w:fldChar w:fldCharType="begin"/>
      </w:r>
      <w:r w:rsidRPr="000C6009">
        <w:rPr>
          <w:rFonts w:cstheme="minorHAnsi"/>
          <w:i w:val="0"/>
          <w:iCs w:val="0"/>
          <w:color w:val="003366"/>
        </w:rPr>
        <w:instrText xml:space="preserve"> SEQ Tabella \* ARABIC </w:instrText>
      </w:r>
      <w:r w:rsidRPr="000C6009">
        <w:rPr>
          <w:rFonts w:cstheme="minorHAnsi"/>
          <w:i w:val="0"/>
          <w:iCs w:val="0"/>
          <w:color w:val="003366"/>
        </w:rPr>
        <w:fldChar w:fldCharType="separate"/>
      </w:r>
      <w:r w:rsidR="00670903">
        <w:rPr>
          <w:rFonts w:cstheme="minorHAnsi"/>
          <w:i w:val="0"/>
          <w:iCs w:val="0"/>
          <w:noProof/>
          <w:color w:val="003366"/>
        </w:rPr>
        <w:t>11</w:t>
      </w:r>
      <w:r w:rsidRPr="000C6009">
        <w:rPr>
          <w:rFonts w:cstheme="minorHAnsi"/>
          <w:i w:val="0"/>
          <w:iCs w:val="0"/>
          <w:noProof/>
          <w:color w:val="003366"/>
        </w:rPr>
        <w:fldChar w:fldCharType="end"/>
      </w:r>
      <w:r w:rsidRPr="000C6009">
        <w:rPr>
          <w:rFonts w:cstheme="minorHAnsi"/>
          <w:i w:val="0"/>
          <w:iCs w:val="0"/>
          <w:color w:val="003366"/>
        </w:rPr>
        <w:t xml:space="preserve"> – Indagine IMQ2022 - Autocontenimento della Provincia di Alessandria</w:t>
      </w:r>
    </w:p>
    <w:p w14:paraId="1E15C15B" w14:textId="77777777" w:rsidR="00826A3D" w:rsidRPr="000C6009" w:rsidRDefault="00826A3D" w:rsidP="00826A3D">
      <w:pPr>
        <w:spacing w:before="120" w:after="0" w:line="240" w:lineRule="auto"/>
        <w:rPr>
          <w:rFonts w:cstheme="minorHAnsi"/>
        </w:rPr>
      </w:pPr>
      <w:r w:rsidRPr="000C6009">
        <w:rPr>
          <w:rFonts w:cstheme="minorHAnsi"/>
        </w:rPr>
        <w:t>Per la Provincia di Alessandria l’autocontenimento è dell’86,3% per la mobilità potenziale e del 62,6% per quella effettiva.</w:t>
      </w:r>
    </w:p>
    <w:p w14:paraId="43A77050" w14:textId="77777777" w:rsidR="00826A3D" w:rsidRPr="000C6009" w:rsidRDefault="00826A3D" w:rsidP="00826A3D">
      <w:pPr>
        <w:spacing w:before="120" w:after="0" w:line="240" w:lineRule="auto"/>
        <w:rPr>
          <w:rFonts w:cstheme="minorHAnsi"/>
        </w:rPr>
      </w:pPr>
    </w:p>
    <w:tbl>
      <w:tblPr>
        <w:tblW w:w="5000" w:type="pct"/>
        <w:tblLayout w:type="fixed"/>
        <w:tblCellMar>
          <w:left w:w="70" w:type="dxa"/>
          <w:right w:w="70" w:type="dxa"/>
        </w:tblCellMar>
        <w:tblLook w:val="04A0" w:firstRow="1" w:lastRow="0" w:firstColumn="1" w:lastColumn="0" w:noHBand="0" w:noVBand="1"/>
      </w:tblPr>
      <w:tblGrid>
        <w:gridCol w:w="2263"/>
        <w:gridCol w:w="848"/>
        <w:gridCol w:w="848"/>
        <w:gridCol w:w="1274"/>
        <w:gridCol w:w="852"/>
        <w:gridCol w:w="993"/>
        <w:gridCol w:w="991"/>
        <w:gridCol w:w="991"/>
      </w:tblGrid>
      <w:tr w:rsidR="00826A3D" w:rsidRPr="000C6009" w14:paraId="1F2E29BC" w14:textId="77777777" w:rsidTr="00BD261D">
        <w:trPr>
          <w:trHeight w:val="315"/>
        </w:trPr>
        <w:tc>
          <w:tcPr>
            <w:tcW w:w="1249" w:type="pct"/>
            <w:tcBorders>
              <w:top w:val="nil"/>
              <w:left w:val="nil"/>
              <w:bottom w:val="nil"/>
              <w:right w:val="nil"/>
            </w:tcBorders>
            <w:vAlign w:val="center"/>
            <w:hideMark/>
          </w:tcPr>
          <w:p w14:paraId="098C8602" w14:textId="77777777" w:rsidR="00826A3D" w:rsidRPr="000C6009" w:rsidRDefault="00826A3D" w:rsidP="00BD261D">
            <w:pPr>
              <w:spacing w:after="0" w:line="240" w:lineRule="auto"/>
              <w:rPr>
                <w:rFonts w:eastAsia="Times New Roman" w:cstheme="minorHAnsi"/>
                <w:color w:val="000000"/>
                <w:sz w:val="20"/>
                <w:szCs w:val="20"/>
              </w:rPr>
            </w:pPr>
          </w:p>
        </w:tc>
        <w:tc>
          <w:tcPr>
            <w:tcW w:w="468" w:type="pct"/>
            <w:tcBorders>
              <w:top w:val="nil"/>
              <w:left w:val="nil"/>
              <w:bottom w:val="single" w:sz="8" w:space="0" w:color="A6A6A6"/>
              <w:right w:val="single" w:sz="8" w:space="0" w:color="A6A6A6"/>
            </w:tcBorders>
            <w:shd w:val="clear" w:color="auto" w:fill="A5C34C" w:themeFill="accent6" w:themeFillShade="BF"/>
            <w:vAlign w:val="center"/>
            <w:hideMark/>
          </w:tcPr>
          <w:p w14:paraId="6EFD9F24" w14:textId="77777777" w:rsidR="00826A3D" w:rsidRPr="000C6009" w:rsidRDefault="00826A3D" w:rsidP="00BD261D">
            <w:pPr>
              <w:spacing w:after="0" w:line="240" w:lineRule="auto"/>
              <w:rPr>
                <w:rFonts w:eastAsia="Times New Roman" w:cstheme="minorHAnsi"/>
                <w:color w:val="000000"/>
                <w:sz w:val="20"/>
                <w:szCs w:val="20"/>
              </w:rPr>
            </w:pPr>
          </w:p>
        </w:tc>
        <w:tc>
          <w:tcPr>
            <w:tcW w:w="1641"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12CF0C8F"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Autocontenimento</w:t>
            </w:r>
          </w:p>
        </w:tc>
        <w:tc>
          <w:tcPr>
            <w:tcW w:w="1641" w:type="pct"/>
            <w:gridSpan w:val="3"/>
            <w:tcBorders>
              <w:top w:val="single" w:sz="8" w:space="0" w:color="A6A6A6"/>
              <w:left w:val="nil"/>
              <w:bottom w:val="single" w:sz="8" w:space="0" w:color="A6A6A6"/>
              <w:right w:val="single" w:sz="8" w:space="0" w:color="A6A6A6"/>
            </w:tcBorders>
            <w:shd w:val="clear" w:color="auto" w:fill="A5C34C" w:themeFill="accent6" w:themeFillShade="BF"/>
            <w:vAlign w:val="center"/>
            <w:hideMark/>
          </w:tcPr>
          <w:p w14:paraId="2C2193C1"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uscente</w:t>
            </w:r>
          </w:p>
        </w:tc>
      </w:tr>
      <w:tr w:rsidR="00826A3D" w:rsidRPr="000C6009" w14:paraId="2278A328" w14:textId="77777777" w:rsidTr="00BD261D">
        <w:trPr>
          <w:trHeight w:val="1035"/>
        </w:trPr>
        <w:tc>
          <w:tcPr>
            <w:tcW w:w="1249" w:type="pct"/>
            <w:tcBorders>
              <w:top w:val="nil"/>
              <w:left w:val="nil"/>
              <w:bottom w:val="single" w:sz="8" w:space="0" w:color="A6A6A6"/>
              <w:right w:val="single" w:sz="8" w:space="0" w:color="A6A6A6"/>
            </w:tcBorders>
            <w:vAlign w:val="center"/>
            <w:hideMark/>
          </w:tcPr>
          <w:p w14:paraId="4903C3E0" w14:textId="77777777" w:rsidR="00826A3D" w:rsidRPr="000C6009" w:rsidRDefault="00826A3D" w:rsidP="00BD261D">
            <w:pPr>
              <w:spacing w:after="0" w:line="240" w:lineRule="auto"/>
              <w:rPr>
                <w:rFonts w:eastAsia="Times New Roman" w:cstheme="minorHAnsi"/>
                <w:b/>
                <w:bCs/>
                <w:color w:val="000000"/>
                <w:sz w:val="20"/>
                <w:szCs w:val="20"/>
              </w:rPr>
            </w:pPr>
            <w:r w:rsidRPr="000C6009">
              <w:rPr>
                <w:rFonts w:eastAsia="Times New Roman" w:cstheme="minorHAnsi"/>
                <w:b/>
                <w:bCs/>
                <w:color w:val="000000"/>
                <w:sz w:val="20"/>
                <w:szCs w:val="20"/>
              </w:rPr>
              <w:t xml:space="preserve">IMQ2022 </w:t>
            </w:r>
          </w:p>
        </w:tc>
        <w:tc>
          <w:tcPr>
            <w:tcW w:w="468" w:type="pct"/>
            <w:tcBorders>
              <w:top w:val="nil"/>
              <w:left w:val="nil"/>
              <w:bottom w:val="single" w:sz="8" w:space="0" w:color="A6A6A6"/>
              <w:right w:val="single" w:sz="8" w:space="0" w:color="A6A6A6"/>
            </w:tcBorders>
            <w:shd w:val="clear" w:color="auto" w:fill="A5C34C" w:themeFill="accent6" w:themeFillShade="BF"/>
            <w:vAlign w:val="center"/>
            <w:hideMark/>
          </w:tcPr>
          <w:p w14:paraId="307E3328"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 xml:space="preserve">N° zone </w:t>
            </w:r>
          </w:p>
        </w:tc>
        <w:tc>
          <w:tcPr>
            <w:tcW w:w="468" w:type="pct"/>
            <w:tcBorders>
              <w:top w:val="nil"/>
              <w:left w:val="nil"/>
              <w:bottom w:val="single" w:sz="8" w:space="0" w:color="A6A6A6"/>
              <w:right w:val="single" w:sz="8" w:space="0" w:color="A6A6A6"/>
            </w:tcBorders>
            <w:shd w:val="clear" w:color="auto" w:fill="A5C34C" w:themeFill="accent6" w:themeFillShade="BF"/>
            <w:vAlign w:val="center"/>
            <w:hideMark/>
          </w:tcPr>
          <w:p w14:paraId="747D43A5"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Interno stessa zona</w:t>
            </w:r>
          </w:p>
        </w:tc>
        <w:tc>
          <w:tcPr>
            <w:tcW w:w="703" w:type="pct"/>
            <w:tcBorders>
              <w:top w:val="nil"/>
              <w:left w:val="nil"/>
              <w:bottom w:val="single" w:sz="8" w:space="0" w:color="A6A6A6"/>
              <w:right w:val="single" w:sz="8" w:space="0" w:color="A6A6A6"/>
            </w:tcBorders>
            <w:shd w:val="clear" w:color="auto" w:fill="A5C34C" w:themeFill="accent6" w:themeFillShade="BF"/>
            <w:vAlign w:val="center"/>
            <w:hideMark/>
          </w:tcPr>
          <w:p w14:paraId="0499010A"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zone del Bacino</w:t>
            </w:r>
          </w:p>
        </w:tc>
        <w:tc>
          <w:tcPr>
            <w:tcW w:w="470" w:type="pct"/>
            <w:tcBorders>
              <w:top w:val="nil"/>
              <w:left w:val="nil"/>
              <w:bottom w:val="single" w:sz="8" w:space="0" w:color="A6A6A6"/>
              <w:right w:val="single" w:sz="8" w:space="0" w:color="A6A6A6"/>
            </w:tcBorders>
            <w:shd w:val="clear" w:color="auto" w:fill="A5C34C" w:themeFill="accent6" w:themeFillShade="BF"/>
            <w:vAlign w:val="center"/>
            <w:hideMark/>
          </w:tcPr>
          <w:p w14:paraId="7CC985EA"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c>
          <w:tcPr>
            <w:tcW w:w="548" w:type="pct"/>
            <w:tcBorders>
              <w:top w:val="nil"/>
              <w:left w:val="nil"/>
              <w:bottom w:val="single" w:sz="8" w:space="0" w:color="A6A6A6"/>
              <w:right w:val="single" w:sz="8" w:space="0" w:color="A6A6A6"/>
            </w:tcBorders>
            <w:shd w:val="clear" w:color="auto" w:fill="A5C34C" w:themeFill="accent6" w:themeFillShade="BF"/>
            <w:vAlign w:val="center"/>
            <w:hideMark/>
          </w:tcPr>
          <w:p w14:paraId="5A23656E"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altra zona Piemonte</w:t>
            </w:r>
          </w:p>
        </w:tc>
        <w:tc>
          <w:tcPr>
            <w:tcW w:w="547" w:type="pct"/>
            <w:tcBorders>
              <w:top w:val="nil"/>
              <w:left w:val="nil"/>
              <w:bottom w:val="single" w:sz="8" w:space="0" w:color="A6A6A6"/>
              <w:right w:val="single" w:sz="8" w:space="0" w:color="A6A6A6"/>
            </w:tcBorders>
            <w:shd w:val="clear" w:color="auto" w:fill="A5C34C" w:themeFill="accent6" w:themeFillShade="BF"/>
            <w:vAlign w:val="center"/>
            <w:hideMark/>
          </w:tcPr>
          <w:p w14:paraId="1AF71DE1"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Vs altre regioni</w:t>
            </w:r>
          </w:p>
        </w:tc>
        <w:tc>
          <w:tcPr>
            <w:tcW w:w="547" w:type="pct"/>
            <w:tcBorders>
              <w:top w:val="nil"/>
              <w:left w:val="nil"/>
              <w:bottom w:val="single" w:sz="8" w:space="0" w:color="A6A6A6"/>
              <w:right w:val="single" w:sz="8" w:space="0" w:color="A6A6A6"/>
            </w:tcBorders>
            <w:shd w:val="clear" w:color="auto" w:fill="A5C34C" w:themeFill="accent6" w:themeFillShade="BF"/>
            <w:vAlign w:val="center"/>
            <w:hideMark/>
          </w:tcPr>
          <w:p w14:paraId="15421051" w14:textId="77777777" w:rsidR="00826A3D" w:rsidRPr="000C6009" w:rsidRDefault="00826A3D" w:rsidP="00BD261D">
            <w:pPr>
              <w:spacing w:after="0" w:line="240" w:lineRule="auto"/>
              <w:jc w:val="center"/>
              <w:rPr>
                <w:rFonts w:eastAsia="Times New Roman" w:cstheme="minorHAnsi"/>
                <w:b/>
                <w:bCs/>
                <w:color w:val="000000"/>
                <w:sz w:val="20"/>
                <w:szCs w:val="20"/>
              </w:rPr>
            </w:pPr>
            <w:r w:rsidRPr="000C6009">
              <w:rPr>
                <w:rFonts w:eastAsia="Times New Roman" w:cstheme="minorHAnsi"/>
                <w:b/>
                <w:bCs/>
                <w:color w:val="000000"/>
                <w:sz w:val="20"/>
                <w:szCs w:val="20"/>
              </w:rPr>
              <w:t>Totale</w:t>
            </w:r>
          </w:p>
        </w:tc>
      </w:tr>
      <w:tr w:rsidR="00826A3D" w:rsidRPr="000C6009" w14:paraId="04C531EC" w14:textId="77777777" w:rsidTr="00BD261D">
        <w:trPr>
          <w:trHeight w:val="315"/>
        </w:trPr>
        <w:tc>
          <w:tcPr>
            <w:tcW w:w="1249" w:type="pct"/>
            <w:tcBorders>
              <w:top w:val="nil"/>
              <w:left w:val="single" w:sz="8" w:space="0" w:color="A6A6A6"/>
              <w:bottom w:val="single" w:sz="8" w:space="0" w:color="A6A6A6"/>
              <w:right w:val="single" w:sz="8" w:space="0" w:color="A6A6A6"/>
            </w:tcBorders>
            <w:vAlign w:val="center"/>
            <w:hideMark/>
          </w:tcPr>
          <w:p w14:paraId="0918040F"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potenziale (motorizzata)</w:t>
            </w:r>
          </w:p>
        </w:tc>
        <w:tc>
          <w:tcPr>
            <w:tcW w:w="468" w:type="pct"/>
            <w:tcBorders>
              <w:top w:val="nil"/>
              <w:left w:val="nil"/>
              <w:bottom w:val="single" w:sz="8" w:space="0" w:color="A6A6A6"/>
              <w:right w:val="single" w:sz="8" w:space="0" w:color="A6A6A6"/>
            </w:tcBorders>
            <w:vAlign w:val="center"/>
            <w:hideMark/>
          </w:tcPr>
          <w:p w14:paraId="796074B5"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13</w:t>
            </w:r>
          </w:p>
        </w:tc>
        <w:tc>
          <w:tcPr>
            <w:tcW w:w="468" w:type="pct"/>
            <w:tcBorders>
              <w:top w:val="nil"/>
              <w:left w:val="nil"/>
              <w:bottom w:val="single" w:sz="8" w:space="0" w:color="A6A6A6"/>
              <w:right w:val="single" w:sz="8" w:space="0" w:color="A6A6A6"/>
            </w:tcBorders>
            <w:vAlign w:val="center"/>
            <w:hideMark/>
          </w:tcPr>
          <w:p w14:paraId="046A4BFA"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102.801 </w:t>
            </w:r>
          </w:p>
        </w:tc>
        <w:tc>
          <w:tcPr>
            <w:tcW w:w="703" w:type="pct"/>
            <w:tcBorders>
              <w:top w:val="nil"/>
              <w:left w:val="nil"/>
              <w:bottom w:val="single" w:sz="8" w:space="0" w:color="A6A6A6"/>
              <w:right w:val="single" w:sz="8" w:space="0" w:color="A6A6A6"/>
            </w:tcBorders>
            <w:vAlign w:val="center"/>
            <w:hideMark/>
          </w:tcPr>
          <w:p w14:paraId="7CF171FC"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31.927 </w:t>
            </w:r>
          </w:p>
        </w:tc>
        <w:tc>
          <w:tcPr>
            <w:tcW w:w="470" w:type="pct"/>
            <w:tcBorders>
              <w:top w:val="nil"/>
              <w:left w:val="nil"/>
              <w:bottom w:val="single" w:sz="8" w:space="0" w:color="A6A6A6"/>
              <w:right w:val="single" w:sz="8" w:space="0" w:color="A6A6A6"/>
            </w:tcBorders>
            <w:vAlign w:val="center"/>
            <w:hideMark/>
          </w:tcPr>
          <w:p w14:paraId="55AECB47"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134.728 </w:t>
            </w:r>
          </w:p>
        </w:tc>
        <w:tc>
          <w:tcPr>
            <w:tcW w:w="548" w:type="pct"/>
            <w:tcBorders>
              <w:top w:val="nil"/>
              <w:left w:val="nil"/>
              <w:bottom w:val="single" w:sz="8" w:space="0" w:color="A6A6A6"/>
              <w:right w:val="single" w:sz="8" w:space="0" w:color="A6A6A6"/>
            </w:tcBorders>
            <w:vAlign w:val="center"/>
            <w:hideMark/>
          </w:tcPr>
          <w:p w14:paraId="2DB95104"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31.934 </w:t>
            </w:r>
          </w:p>
        </w:tc>
        <w:tc>
          <w:tcPr>
            <w:tcW w:w="547" w:type="pct"/>
            <w:tcBorders>
              <w:top w:val="nil"/>
              <w:left w:val="nil"/>
              <w:bottom w:val="single" w:sz="8" w:space="0" w:color="A6A6A6"/>
              <w:right w:val="single" w:sz="8" w:space="0" w:color="A6A6A6"/>
            </w:tcBorders>
            <w:vAlign w:val="center"/>
            <w:hideMark/>
          </w:tcPr>
          <w:p w14:paraId="3965C15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2.650 </w:t>
            </w:r>
          </w:p>
        </w:tc>
        <w:tc>
          <w:tcPr>
            <w:tcW w:w="547" w:type="pct"/>
            <w:tcBorders>
              <w:top w:val="nil"/>
              <w:left w:val="nil"/>
              <w:bottom w:val="single" w:sz="8" w:space="0" w:color="A6A6A6"/>
              <w:right w:val="single" w:sz="8" w:space="0" w:color="A6A6A6"/>
            </w:tcBorders>
            <w:vAlign w:val="center"/>
            <w:hideMark/>
          </w:tcPr>
          <w:p w14:paraId="0FB74455"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34.584 </w:t>
            </w:r>
          </w:p>
        </w:tc>
      </w:tr>
      <w:tr w:rsidR="00826A3D" w:rsidRPr="000C6009" w14:paraId="3E722051" w14:textId="77777777" w:rsidTr="00BD261D">
        <w:trPr>
          <w:trHeight w:val="315"/>
        </w:trPr>
        <w:tc>
          <w:tcPr>
            <w:tcW w:w="1249" w:type="pct"/>
            <w:tcBorders>
              <w:top w:val="nil"/>
              <w:left w:val="single" w:sz="8" w:space="0" w:color="A6A6A6"/>
              <w:bottom w:val="single" w:sz="8" w:space="0" w:color="A6A6A6"/>
              <w:right w:val="single" w:sz="8" w:space="0" w:color="A6A6A6"/>
            </w:tcBorders>
            <w:vAlign w:val="center"/>
          </w:tcPr>
          <w:p w14:paraId="1C18D153"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68" w:type="pct"/>
            <w:tcBorders>
              <w:top w:val="nil"/>
              <w:left w:val="nil"/>
              <w:bottom w:val="single" w:sz="8" w:space="0" w:color="A6A6A6"/>
              <w:right w:val="single" w:sz="8" w:space="0" w:color="A6A6A6"/>
            </w:tcBorders>
            <w:vAlign w:val="center"/>
            <w:hideMark/>
          </w:tcPr>
          <w:p w14:paraId="7F232588"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468" w:type="pct"/>
            <w:tcBorders>
              <w:top w:val="nil"/>
              <w:left w:val="nil"/>
              <w:bottom w:val="single" w:sz="8" w:space="0" w:color="A6A6A6"/>
              <w:right w:val="single" w:sz="8" w:space="0" w:color="A6A6A6"/>
            </w:tcBorders>
            <w:vAlign w:val="center"/>
            <w:hideMark/>
          </w:tcPr>
          <w:p w14:paraId="0263BE15"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60,7%</w:t>
            </w:r>
          </w:p>
        </w:tc>
        <w:tc>
          <w:tcPr>
            <w:tcW w:w="703" w:type="pct"/>
            <w:tcBorders>
              <w:top w:val="nil"/>
              <w:left w:val="nil"/>
              <w:bottom w:val="single" w:sz="8" w:space="0" w:color="A6A6A6"/>
              <w:right w:val="single" w:sz="8" w:space="0" w:color="A6A6A6"/>
            </w:tcBorders>
            <w:vAlign w:val="center"/>
            <w:hideMark/>
          </w:tcPr>
          <w:p w14:paraId="477FDFDB"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18,9%</w:t>
            </w:r>
          </w:p>
        </w:tc>
        <w:tc>
          <w:tcPr>
            <w:tcW w:w="470" w:type="pct"/>
            <w:tcBorders>
              <w:top w:val="nil"/>
              <w:left w:val="nil"/>
              <w:bottom w:val="single" w:sz="8" w:space="0" w:color="A6A6A6"/>
              <w:right w:val="single" w:sz="8" w:space="0" w:color="A6A6A6"/>
            </w:tcBorders>
            <w:vAlign w:val="center"/>
            <w:hideMark/>
          </w:tcPr>
          <w:p w14:paraId="0FBB9F31"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79,6%</w:t>
            </w:r>
          </w:p>
        </w:tc>
        <w:tc>
          <w:tcPr>
            <w:tcW w:w="548" w:type="pct"/>
            <w:tcBorders>
              <w:top w:val="nil"/>
              <w:left w:val="nil"/>
              <w:bottom w:val="single" w:sz="8" w:space="0" w:color="A6A6A6"/>
              <w:right w:val="single" w:sz="8" w:space="0" w:color="A6A6A6"/>
            </w:tcBorders>
            <w:vAlign w:val="center"/>
            <w:hideMark/>
          </w:tcPr>
          <w:p w14:paraId="2BD6E1FC"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18,9%</w:t>
            </w:r>
          </w:p>
        </w:tc>
        <w:tc>
          <w:tcPr>
            <w:tcW w:w="547" w:type="pct"/>
            <w:tcBorders>
              <w:top w:val="nil"/>
              <w:left w:val="nil"/>
              <w:bottom w:val="single" w:sz="8" w:space="0" w:color="A6A6A6"/>
              <w:right w:val="single" w:sz="8" w:space="0" w:color="A6A6A6"/>
            </w:tcBorders>
            <w:vAlign w:val="center"/>
            <w:hideMark/>
          </w:tcPr>
          <w:p w14:paraId="6DA84973"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1,6%</w:t>
            </w:r>
          </w:p>
        </w:tc>
        <w:tc>
          <w:tcPr>
            <w:tcW w:w="547" w:type="pct"/>
            <w:tcBorders>
              <w:top w:val="nil"/>
              <w:left w:val="nil"/>
              <w:bottom w:val="single" w:sz="8" w:space="0" w:color="A6A6A6"/>
              <w:right w:val="single" w:sz="8" w:space="0" w:color="A6A6A6"/>
            </w:tcBorders>
            <w:vAlign w:val="center"/>
            <w:hideMark/>
          </w:tcPr>
          <w:p w14:paraId="6C16B6DD"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20,4%</w:t>
            </w:r>
          </w:p>
        </w:tc>
      </w:tr>
      <w:tr w:rsidR="00826A3D" w:rsidRPr="000C6009" w14:paraId="3977A8C1" w14:textId="77777777" w:rsidTr="00BD261D">
        <w:trPr>
          <w:trHeight w:val="315"/>
        </w:trPr>
        <w:tc>
          <w:tcPr>
            <w:tcW w:w="1249" w:type="pct"/>
            <w:tcBorders>
              <w:top w:val="nil"/>
              <w:left w:val="single" w:sz="8" w:space="0" w:color="A6A6A6"/>
              <w:bottom w:val="single" w:sz="8" w:space="0" w:color="A6A6A6"/>
              <w:right w:val="single" w:sz="8" w:space="0" w:color="A6A6A6"/>
            </w:tcBorders>
            <w:vAlign w:val="center"/>
            <w:hideMark/>
          </w:tcPr>
          <w:p w14:paraId="3B4E89C9"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Domanda effettiva TPL (pubblica)</w:t>
            </w:r>
          </w:p>
        </w:tc>
        <w:tc>
          <w:tcPr>
            <w:tcW w:w="468" w:type="pct"/>
            <w:tcBorders>
              <w:top w:val="nil"/>
              <w:left w:val="nil"/>
              <w:bottom w:val="single" w:sz="8" w:space="0" w:color="A6A6A6"/>
              <w:right w:val="single" w:sz="8" w:space="0" w:color="A6A6A6"/>
            </w:tcBorders>
            <w:vAlign w:val="center"/>
            <w:hideMark/>
          </w:tcPr>
          <w:p w14:paraId="4F08AD00"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13</w:t>
            </w:r>
          </w:p>
        </w:tc>
        <w:tc>
          <w:tcPr>
            <w:tcW w:w="468" w:type="pct"/>
            <w:tcBorders>
              <w:top w:val="nil"/>
              <w:left w:val="nil"/>
              <w:bottom w:val="single" w:sz="8" w:space="0" w:color="A6A6A6"/>
              <w:right w:val="single" w:sz="8" w:space="0" w:color="A6A6A6"/>
            </w:tcBorders>
            <w:vAlign w:val="center"/>
            <w:hideMark/>
          </w:tcPr>
          <w:p w14:paraId="1AE1AFB2"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 xml:space="preserve"> 6.754 </w:t>
            </w:r>
          </w:p>
        </w:tc>
        <w:tc>
          <w:tcPr>
            <w:tcW w:w="703" w:type="pct"/>
            <w:tcBorders>
              <w:top w:val="nil"/>
              <w:left w:val="nil"/>
              <w:bottom w:val="single" w:sz="8" w:space="0" w:color="A6A6A6"/>
              <w:right w:val="single" w:sz="8" w:space="0" w:color="A6A6A6"/>
            </w:tcBorders>
            <w:vAlign w:val="center"/>
            <w:hideMark/>
          </w:tcPr>
          <w:p w14:paraId="5F1DF935"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1.570 </w:t>
            </w:r>
          </w:p>
        </w:tc>
        <w:tc>
          <w:tcPr>
            <w:tcW w:w="470" w:type="pct"/>
            <w:tcBorders>
              <w:top w:val="nil"/>
              <w:left w:val="nil"/>
              <w:bottom w:val="single" w:sz="8" w:space="0" w:color="A6A6A6"/>
              <w:right w:val="single" w:sz="8" w:space="0" w:color="A6A6A6"/>
            </w:tcBorders>
            <w:vAlign w:val="center"/>
            <w:hideMark/>
          </w:tcPr>
          <w:p w14:paraId="1BEE5347"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8.324 </w:t>
            </w:r>
          </w:p>
        </w:tc>
        <w:tc>
          <w:tcPr>
            <w:tcW w:w="548" w:type="pct"/>
            <w:tcBorders>
              <w:top w:val="nil"/>
              <w:left w:val="nil"/>
              <w:bottom w:val="single" w:sz="8" w:space="0" w:color="A6A6A6"/>
              <w:right w:val="single" w:sz="8" w:space="0" w:color="A6A6A6"/>
            </w:tcBorders>
            <w:vAlign w:val="center"/>
            <w:hideMark/>
          </w:tcPr>
          <w:p w14:paraId="20FD8949"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5.563 </w:t>
            </w:r>
          </w:p>
        </w:tc>
        <w:tc>
          <w:tcPr>
            <w:tcW w:w="547" w:type="pct"/>
            <w:tcBorders>
              <w:top w:val="nil"/>
              <w:left w:val="nil"/>
              <w:bottom w:val="single" w:sz="8" w:space="0" w:color="A6A6A6"/>
              <w:right w:val="single" w:sz="8" w:space="0" w:color="A6A6A6"/>
            </w:tcBorders>
            <w:vAlign w:val="center"/>
            <w:hideMark/>
          </w:tcPr>
          <w:p w14:paraId="39887BBA"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888 </w:t>
            </w:r>
          </w:p>
        </w:tc>
        <w:tc>
          <w:tcPr>
            <w:tcW w:w="547" w:type="pct"/>
            <w:tcBorders>
              <w:top w:val="nil"/>
              <w:left w:val="nil"/>
              <w:bottom w:val="single" w:sz="8" w:space="0" w:color="A6A6A6"/>
              <w:right w:val="single" w:sz="8" w:space="0" w:color="A6A6A6"/>
            </w:tcBorders>
            <w:vAlign w:val="center"/>
            <w:hideMark/>
          </w:tcPr>
          <w:p w14:paraId="43FF6FFA"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xml:space="preserve">6.451 </w:t>
            </w:r>
          </w:p>
        </w:tc>
      </w:tr>
      <w:tr w:rsidR="00826A3D" w:rsidRPr="000C6009" w14:paraId="351AE686" w14:textId="77777777" w:rsidTr="00BD261D">
        <w:trPr>
          <w:trHeight w:val="315"/>
        </w:trPr>
        <w:tc>
          <w:tcPr>
            <w:tcW w:w="1249" w:type="pct"/>
            <w:tcBorders>
              <w:top w:val="nil"/>
              <w:left w:val="single" w:sz="8" w:space="0" w:color="A6A6A6"/>
              <w:bottom w:val="single" w:sz="8" w:space="0" w:color="A6A6A6"/>
              <w:right w:val="single" w:sz="8" w:space="0" w:color="A6A6A6"/>
            </w:tcBorders>
            <w:vAlign w:val="center"/>
            <w:hideMark/>
          </w:tcPr>
          <w:p w14:paraId="3E91D346" w14:textId="77777777" w:rsidR="00826A3D" w:rsidRPr="000C6009" w:rsidRDefault="00826A3D" w:rsidP="00BD261D">
            <w:pPr>
              <w:spacing w:after="0" w:line="240" w:lineRule="auto"/>
              <w:rPr>
                <w:rFonts w:eastAsia="Times New Roman" w:cstheme="minorHAnsi"/>
                <w:b/>
                <w:bCs/>
                <w:i/>
                <w:iCs/>
                <w:color w:val="000000"/>
                <w:sz w:val="20"/>
                <w:szCs w:val="20"/>
              </w:rPr>
            </w:pPr>
            <w:r w:rsidRPr="000C6009">
              <w:rPr>
                <w:rFonts w:eastAsia="Times New Roman" w:cstheme="minorHAnsi"/>
                <w:b/>
                <w:bCs/>
                <w:i/>
                <w:iCs/>
                <w:color w:val="000000"/>
                <w:sz w:val="20"/>
                <w:szCs w:val="20"/>
              </w:rPr>
              <w:t>%</w:t>
            </w:r>
          </w:p>
        </w:tc>
        <w:tc>
          <w:tcPr>
            <w:tcW w:w="468" w:type="pct"/>
            <w:tcBorders>
              <w:top w:val="nil"/>
              <w:left w:val="nil"/>
              <w:bottom w:val="single" w:sz="8" w:space="0" w:color="A6A6A6"/>
              <w:right w:val="single" w:sz="8" w:space="0" w:color="A6A6A6"/>
            </w:tcBorders>
            <w:vAlign w:val="center"/>
            <w:hideMark/>
          </w:tcPr>
          <w:p w14:paraId="7B62F221" w14:textId="77777777" w:rsidR="00826A3D" w:rsidRPr="000C6009" w:rsidRDefault="00826A3D" w:rsidP="00BD261D">
            <w:pPr>
              <w:spacing w:after="0" w:line="240" w:lineRule="auto"/>
              <w:jc w:val="center"/>
              <w:rPr>
                <w:rFonts w:eastAsia="Times New Roman" w:cstheme="minorHAnsi"/>
                <w:color w:val="000000"/>
                <w:sz w:val="20"/>
                <w:szCs w:val="20"/>
              </w:rPr>
            </w:pPr>
            <w:r w:rsidRPr="000C6009">
              <w:rPr>
                <w:rFonts w:eastAsia="Times New Roman" w:cstheme="minorHAnsi"/>
                <w:color w:val="000000"/>
                <w:sz w:val="20"/>
                <w:szCs w:val="20"/>
              </w:rPr>
              <w:t> </w:t>
            </w:r>
          </w:p>
        </w:tc>
        <w:tc>
          <w:tcPr>
            <w:tcW w:w="468" w:type="pct"/>
            <w:tcBorders>
              <w:top w:val="nil"/>
              <w:left w:val="nil"/>
              <w:bottom w:val="single" w:sz="8" w:space="0" w:color="A6A6A6"/>
              <w:right w:val="single" w:sz="8" w:space="0" w:color="A6A6A6"/>
            </w:tcBorders>
            <w:vAlign w:val="center"/>
            <w:hideMark/>
          </w:tcPr>
          <w:p w14:paraId="1DEFC3B1"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45,7%</w:t>
            </w:r>
          </w:p>
        </w:tc>
        <w:tc>
          <w:tcPr>
            <w:tcW w:w="703" w:type="pct"/>
            <w:tcBorders>
              <w:top w:val="nil"/>
              <w:left w:val="nil"/>
              <w:bottom w:val="single" w:sz="8" w:space="0" w:color="A6A6A6"/>
              <w:right w:val="single" w:sz="8" w:space="0" w:color="A6A6A6"/>
            </w:tcBorders>
            <w:vAlign w:val="center"/>
            <w:hideMark/>
          </w:tcPr>
          <w:p w14:paraId="12331FC4"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10,6%</w:t>
            </w:r>
          </w:p>
        </w:tc>
        <w:tc>
          <w:tcPr>
            <w:tcW w:w="470" w:type="pct"/>
            <w:tcBorders>
              <w:top w:val="nil"/>
              <w:left w:val="nil"/>
              <w:bottom w:val="single" w:sz="8" w:space="0" w:color="A6A6A6"/>
              <w:right w:val="single" w:sz="8" w:space="0" w:color="A6A6A6"/>
            </w:tcBorders>
            <w:vAlign w:val="center"/>
            <w:hideMark/>
          </w:tcPr>
          <w:p w14:paraId="4E565A19"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56,3%</w:t>
            </w:r>
          </w:p>
        </w:tc>
        <w:tc>
          <w:tcPr>
            <w:tcW w:w="548" w:type="pct"/>
            <w:tcBorders>
              <w:top w:val="nil"/>
              <w:left w:val="nil"/>
              <w:bottom w:val="single" w:sz="8" w:space="0" w:color="A6A6A6"/>
              <w:right w:val="single" w:sz="8" w:space="0" w:color="A6A6A6"/>
            </w:tcBorders>
            <w:vAlign w:val="center"/>
            <w:hideMark/>
          </w:tcPr>
          <w:p w14:paraId="61CB5E40"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37,6%</w:t>
            </w:r>
          </w:p>
        </w:tc>
        <w:tc>
          <w:tcPr>
            <w:tcW w:w="547" w:type="pct"/>
            <w:tcBorders>
              <w:top w:val="nil"/>
              <w:left w:val="nil"/>
              <w:bottom w:val="single" w:sz="8" w:space="0" w:color="A6A6A6"/>
              <w:right w:val="single" w:sz="8" w:space="0" w:color="A6A6A6"/>
            </w:tcBorders>
            <w:vAlign w:val="center"/>
            <w:hideMark/>
          </w:tcPr>
          <w:p w14:paraId="51EBB00A"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6,0%</w:t>
            </w:r>
          </w:p>
        </w:tc>
        <w:tc>
          <w:tcPr>
            <w:tcW w:w="547" w:type="pct"/>
            <w:tcBorders>
              <w:top w:val="nil"/>
              <w:left w:val="nil"/>
              <w:bottom w:val="single" w:sz="8" w:space="0" w:color="A6A6A6"/>
              <w:right w:val="single" w:sz="8" w:space="0" w:color="A6A6A6"/>
            </w:tcBorders>
            <w:vAlign w:val="center"/>
            <w:hideMark/>
          </w:tcPr>
          <w:p w14:paraId="59CD53F6" w14:textId="77777777" w:rsidR="00826A3D" w:rsidRPr="000C6009" w:rsidRDefault="00826A3D" w:rsidP="00BD261D">
            <w:pPr>
              <w:spacing w:after="0" w:line="240" w:lineRule="auto"/>
              <w:jc w:val="center"/>
              <w:rPr>
                <w:rFonts w:eastAsia="Times New Roman" w:cstheme="minorHAnsi"/>
                <w:color w:val="000000"/>
                <w:sz w:val="18"/>
                <w:szCs w:val="18"/>
              </w:rPr>
            </w:pPr>
            <w:r w:rsidRPr="000C6009">
              <w:rPr>
                <w:rFonts w:eastAsia="Times New Roman" w:cstheme="minorHAnsi"/>
                <w:color w:val="000000"/>
                <w:sz w:val="18"/>
                <w:szCs w:val="18"/>
              </w:rPr>
              <w:t>43,7%</w:t>
            </w:r>
          </w:p>
        </w:tc>
      </w:tr>
    </w:tbl>
    <w:p w14:paraId="640A7A92" w14:textId="0C66228E" w:rsidR="00826A3D" w:rsidRPr="000C6009" w:rsidRDefault="00826A3D" w:rsidP="00826A3D">
      <w:pPr>
        <w:pStyle w:val="Didascalia"/>
        <w:jc w:val="center"/>
        <w:rPr>
          <w:rFonts w:cstheme="minorHAnsi"/>
          <w:i w:val="0"/>
          <w:iCs w:val="0"/>
          <w:color w:val="003366"/>
        </w:rPr>
      </w:pPr>
      <w:r w:rsidRPr="000C6009">
        <w:rPr>
          <w:rFonts w:cstheme="minorHAnsi"/>
          <w:i w:val="0"/>
          <w:iCs w:val="0"/>
          <w:color w:val="003366"/>
        </w:rPr>
        <w:t xml:space="preserve">Tabella </w:t>
      </w:r>
      <w:r w:rsidRPr="000C6009">
        <w:rPr>
          <w:rFonts w:cstheme="minorHAnsi"/>
          <w:i w:val="0"/>
          <w:iCs w:val="0"/>
          <w:color w:val="003366"/>
        </w:rPr>
        <w:fldChar w:fldCharType="begin"/>
      </w:r>
      <w:r w:rsidRPr="000C6009">
        <w:rPr>
          <w:rFonts w:cstheme="minorHAnsi"/>
          <w:i w:val="0"/>
          <w:iCs w:val="0"/>
          <w:color w:val="003366"/>
        </w:rPr>
        <w:instrText xml:space="preserve"> SEQ Tabella \* ARABIC </w:instrText>
      </w:r>
      <w:r w:rsidRPr="000C6009">
        <w:rPr>
          <w:rFonts w:cstheme="minorHAnsi"/>
          <w:i w:val="0"/>
          <w:iCs w:val="0"/>
          <w:color w:val="003366"/>
        </w:rPr>
        <w:fldChar w:fldCharType="separate"/>
      </w:r>
      <w:r w:rsidR="00670903">
        <w:rPr>
          <w:rFonts w:cstheme="minorHAnsi"/>
          <w:i w:val="0"/>
          <w:iCs w:val="0"/>
          <w:noProof/>
          <w:color w:val="003366"/>
        </w:rPr>
        <w:t>12</w:t>
      </w:r>
      <w:r w:rsidRPr="000C6009">
        <w:rPr>
          <w:rFonts w:cstheme="minorHAnsi"/>
          <w:i w:val="0"/>
          <w:iCs w:val="0"/>
          <w:noProof/>
          <w:color w:val="003366"/>
        </w:rPr>
        <w:fldChar w:fldCharType="end"/>
      </w:r>
      <w:r w:rsidRPr="000C6009">
        <w:rPr>
          <w:rFonts w:cstheme="minorHAnsi"/>
          <w:i w:val="0"/>
          <w:iCs w:val="0"/>
          <w:color w:val="003366"/>
        </w:rPr>
        <w:t xml:space="preserve"> – Indagine IMQ2022 - Autocontenimento della Provincia di Asti</w:t>
      </w:r>
    </w:p>
    <w:p w14:paraId="010D0F5B" w14:textId="77777777" w:rsidR="00826A3D" w:rsidRPr="000C6009" w:rsidRDefault="00826A3D" w:rsidP="00826A3D">
      <w:pPr>
        <w:spacing w:before="120" w:after="0" w:line="240" w:lineRule="auto"/>
        <w:rPr>
          <w:rFonts w:cstheme="minorHAnsi"/>
        </w:rPr>
      </w:pPr>
      <w:r w:rsidRPr="000C6009">
        <w:rPr>
          <w:rFonts w:cstheme="minorHAnsi"/>
        </w:rPr>
        <w:t>Per la Provincia di Asti l’autocontenimento è del 79,6% per la mobilità potenziale e del 56,3% per quella effettiva.</w:t>
      </w:r>
    </w:p>
    <w:p w14:paraId="6D12C124" w14:textId="77777777" w:rsidR="00826A3D" w:rsidRPr="000C6009" w:rsidRDefault="00826A3D" w:rsidP="00826A3D">
      <w:pPr>
        <w:spacing w:before="120" w:after="0" w:line="240" w:lineRule="auto"/>
        <w:rPr>
          <w:rFonts w:cstheme="minorHAnsi"/>
        </w:rPr>
      </w:pPr>
      <w:r w:rsidRPr="000C6009">
        <w:rPr>
          <w:rFonts w:cstheme="minorHAnsi"/>
        </w:rPr>
        <w:t>In entrambi i casi l’autocontenimento è in linea con quello di Bacino, si tratta di valori elevati che possono giustificare la divisione del bacino in due zone, nell’ottica della gara per l’affidamento della concessione del TPL, per diverse ragioni:</w:t>
      </w:r>
    </w:p>
    <w:p w14:paraId="03886CEE" w14:textId="77777777" w:rsidR="00826A3D" w:rsidRPr="000C6009" w:rsidRDefault="00826A3D" w:rsidP="00826A3D">
      <w:pPr>
        <w:pStyle w:val="Paragrafoelenco"/>
        <w:numPr>
          <w:ilvl w:val="0"/>
          <w:numId w:val="29"/>
        </w:numPr>
        <w:spacing w:before="120" w:after="0" w:line="240" w:lineRule="auto"/>
        <w:ind w:left="714" w:hanging="357"/>
        <w:contextualSpacing w:val="0"/>
        <w:rPr>
          <w:rFonts w:cstheme="minorHAnsi"/>
        </w:rPr>
      </w:pPr>
      <w:r w:rsidRPr="000C6009">
        <w:rPr>
          <w:rFonts w:cstheme="minorHAnsi"/>
        </w:rPr>
        <w:t>Analisi dettagliata: La divisione consente di effettuare analisi più dettagliate e precise delle dinamiche di mobilità, facilitando l'identificazione di sotto aree di autocontenimento e migliorando la comprensione dei flussi di spostamento.</w:t>
      </w:r>
    </w:p>
    <w:p w14:paraId="23C7A63A" w14:textId="77777777" w:rsidR="00826A3D" w:rsidRPr="000C6009" w:rsidRDefault="00826A3D" w:rsidP="00826A3D">
      <w:pPr>
        <w:pStyle w:val="Paragrafoelenco"/>
        <w:numPr>
          <w:ilvl w:val="0"/>
          <w:numId w:val="29"/>
        </w:numPr>
        <w:spacing w:before="120" w:after="0" w:line="240" w:lineRule="auto"/>
        <w:ind w:left="714" w:hanging="357"/>
        <w:contextualSpacing w:val="0"/>
        <w:rPr>
          <w:rFonts w:cstheme="minorHAnsi"/>
        </w:rPr>
      </w:pPr>
      <w:r w:rsidRPr="000C6009">
        <w:rPr>
          <w:rFonts w:cstheme="minorHAnsi"/>
        </w:rPr>
        <w:t>Efficienza nella pianificazione: La suddivisione in due province permette una gestione più mirata del trasporto pubblico, ottimizzando l'offerta in base alle specifiche esigenze di mobilità di ciascuna zona.</w:t>
      </w:r>
    </w:p>
    <w:p w14:paraId="3D40C8A6" w14:textId="77777777" w:rsidR="00826A3D" w:rsidRPr="000C6009" w:rsidRDefault="00826A3D" w:rsidP="00826A3D">
      <w:pPr>
        <w:pStyle w:val="Paragrafoelenco"/>
        <w:numPr>
          <w:ilvl w:val="0"/>
          <w:numId w:val="29"/>
        </w:numPr>
        <w:spacing w:before="120" w:after="0" w:line="240" w:lineRule="auto"/>
        <w:ind w:left="714" w:hanging="357"/>
        <w:contextualSpacing w:val="0"/>
        <w:rPr>
          <w:rFonts w:cstheme="minorHAnsi"/>
        </w:rPr>
      </w:pPr>
      <w:r w:rsidRPr="000C6009">
        <w:rPr>
          <w:rFonts w:cstheme="minorHAnsi"/>
        </w:rPr>
        <w:t>Adattamento alle variazioni locali: Le differenze nei tassi di autocontenimento tra le due aree indicano che esistono variazioni locali significative nelle esigenze di mobilità. La suddivisione permette di adattare meglio le strategie di trasporto pubblico alle caratteristiche specifiche di ciascuna zona.</w:t>
      </w:r>
    </w:p>
    <w:p w14:paraId="795E7060" w14:textId="77777777" w:rsidR="00826A3D" w:rsidRPr="000C6009" w:rsidRDefault="00826A3D" w:rsidP="00826A3D">
      <w:pPr>
        <w:spacing w:before="120" w:after="0" w:line="240" w:lineRule="auto"/>
        <w:rPr>
          <w:rFonts w:cstheme="minorHAnsi"/>
        </w:rPr>
      </w:pPr>
      <w:r w:rsidRPr="000C6009">
        <w:rPr>
          <w:rFonts w:cstheme="minorHAnsi"/>
        </w:rPr>
        <w:t xml:space="preserve">La suddivisione del Bacino Sud Est in due aree durante la gara per l'affidamento del trasporto pubblico locale (TPL) rappresenta una strategia che può incentivare le imprese partecipanti a porre maggiore attenzione alle differenze tra i due ambiti locali. Questa suddivisione permette di evidenziare le </w:t>
      </w:r>
      <w:r w:rsidRPr="000C6009">
        <w:rPr>
          <w:rFonts w:cstheme="minorHAnsi"/>
        </w:rPr>
        <w:lastRenderedPageBreak/>
        <w:t>specificità e le esigenze di mobilità di ciascuna area, spingendo le imprese a sviluppare soluzioni più mirate e dettagliate.</w:t>
      </w:r>
    </w:p>
    <w:p w14:paraId="370A1E8B" w14:textId="77777777" w:rsidR="00826A3D" w:rsidRPr="000C6009" w:rsidRDefault="00826A3D" w:rsidP="00826A3D">
      <w:pPr>
        <w:spacing w:before="120" w:after="0" w:line="240" w:lineRule="auto"/>
        <w:rPr>
          <w:rFonts w:cstheme="minorHAnsi"/>
        </w:rPr>
      </w:pPr>
      <w:r w:rsidRPr="000C6009">
        <w:rPr>
          <w:rFonts w:cstheme="minorHAnsi"/>
        </w:rPr>
        <w:t>Le imprese del TPL, infatti, saranno motivate a:</w:t>
      </w:r>
    </w:p>
    <w:p w14:paraId="1A428427" w14:textId="77777777" w:rsidR="00826A3D" w:rsidRPr="000C6009" w:rsidRDefault="00826A3D" w:rsidP="00826A3D">
      <w:pPr>
        <w:pStyle w:val="Paragrafoelenco"/>
        <w:numPr>
          <w:ilvl w:val="0"/>
          <w:numId w:val="31"/>
        </w:numPr>
        <w:spacing w:before="120" w:after="0" w:line="240" w:lineRule="auto"/>
        <w:ind w:left="714" w:hanging="357"/>
        <w:contextualSpacing w:val="0"/>
        <w:rPr>
          <w:rFonts w:cstheme="minorHAnsi"/>
        </w:rPr>
      </w:pPr>
      <w:r w:rsidRPr="000C6009">
        <w:rPr>
          <w:rFonts w:cstheme="minorHAnsi"/>
        </w:rPr>
        <w:t>Analizzare le caratteristiche locali: La suddivisione in due aree richiede un'analisi approfondita delle dinamiche di mobilità, delle infrastrutture esistenti e delle esigenze degli utenti in ciascun ambito. Questo porterà le imprese a considerare attentamente le differenze tra le aree delle due province.</w:t>
      </w:r>
    </w:p>
    <w:p w14:paraId="04D494DA" w14:textId="77777777" w:rsidR="00826A3D" w:rsidRPr="000C6009" w:rsidRDefault="00826A3D" w:rsidP="00826A3D">
      <w:pPr>
        <w:pStyle w:val="Paragrafoelenco"/>
        <w:numPr>
          <w:ilvl w:val="0"/>
          <w:numId w:val="31"/>
        </w:numPr>
        <w:spacing w:before="120" w:after="0" w:line="240" w:lineRule="auto"/>
        <w:ind w:left="714" w:hanging="357"/>
        <w:contextualSpacing w:val="0"/>
        <w:rPr>
          <w:rFonts w:cstheme="minorHAnsi"/>
        </w:rPr>
      </w:pPr>
      <w:r w:rsidRPr="000C6009">
        <w:rPr>
          <w:rFonts w:cstheme="minorHAnsi"/>
        </w:rPr>
        <w:t>Personalizzare l'offerta: Con una comprensione più dettagliata delle specificità locali, le imprese potranno personalizzare l'offerta di servizi di trasporto pubblico, migliorando l'efficienza e la qualità del servizio per gli utenti.</w:t>
      </w:r>
    </w:p>
    <w:p w14:paraId="6A5F2A03" w14:textId="77777777" w:rsidR="00826A3D" w:rsidRPr="000C6009" w:rsidRDefault="00826A3D" w:rsidP="00826A3D">
      <w:pPr>
        <w:pStyle w:val="Paragrafoelenco"/>
        <w:numPr>
          <w:ilvl w:val="0"/>
          <w:numId w:val="31"/>
        </w:numPr>
        <w:spacing w:before="120" w:after="0" w:line="240" w:lineRule="auto"/>
        <w:ind w:left="714" w:hanging="357"/>
        <w:contextualSpacing w:val="0"/>
        <w:rPr>
          <w:rFonts w:cstheme="minorHAnsi"/>
        </w:rPr>
      </w:pPr>
      <w:r w:rsidRPr="000C6009">
        <w:rPr>
          <w:rFonts w:cstheme="minorHAnsi"/>
        </w:rPr>
        <w:t>Innovare nelle soluzioni: La necessità di adattarsi alle differenze locali stimolerà le imprese a sviluppare soluzioni innovative e a ottimizzare le risorse, garantendo una risposta più efficace alle esigenze di mobilità.</w:t>
      </w:r>
    </w:p>
    <w:p w14:paraId="5FDBA57B" w14:textId="77777777" w:rsidR="00826A3D" w:rsidRPr="000C6009" w:rsidRDefault="00826A3D" w:rsidP="00826A3D">
      <w:pPr>
        <w:spacing w:before="120" w:after="0" w:line="240" w:lineRule="auto"/>
        <w:rPr>
          <w:rFonts w:cstheme="minorHAnsi"/>
        </w:rPr>
      </w:pPr>
      <w:r w:rsidRPr="000C6009">
        <w:rPr>
          <w:rFonts w:cstheme="minorHAnsi"/>
        </w:rPr>
        <w:t>In sintesi, la suddivisione del Bacino Sud Est in due aree, oltre a rappresentare adeguatamente la realtà della mobilità dei cittadini del Bacino, favorirà un approccio più attento e dettagliato da parte delle imprese del TPL, contribuendo a migliorare la pianificazione e la gestione del trasporto pubblico locale.</w:t>
      </w:r>
    </w:p>
    <w:p w14:paraId="08684B36" w14:textId="77777777" w:rsidR="00826A3D" w:rsidRPr="000C6009" w:rsidRDefault="00826A3D" w:rsidP="00826A3D">
      <w:pPr>
        <w:pStyle w:val="Titolo2"/>
        <w:ind w:left="567"/>
        <w:rPr>
          <w:rFonts w:asciiTheme="minorHAnsi" w:hAnsiTheme="minorHAnsi" w:cstheme="minorHAnsi"/>
        </w:rPr>
      </w:pPr>
      <w:bookmarkStart w:id="135" w:name="_Toc193195292"/>
      <w:bookmarkStart w:id="136" w:name="_Toc1588871246"/>
      <w:bookmarkStart w:id="137" w:name="_Toc197695670"/>
      <w:bookmarkStart w:id="138" w:name="_Toc204616483"/>
      <w:bookmarkStart w:id="139" w:name="_Toc205213714"/>
      <w:r w:rsidRPr="000C6009">
        <w:rPr>
          <w:rFonts w:asciiTheme="minorHAnsi" w:hAnsiTheme="minorHAnsi" w:cstheme="minorHAnsi"/>
        </w:rPr>
        <w:t>Analisi di mobilità su dati provenienti da piattaforme Big Data di operatori telefonici</w:t>
      </w:r>
      <w:bookmarkEnd w:id="135"/>
      <w:bookmarkEnd w:id="136"/>
      <w:bookmarkEnd w:id="137"/>
      <w:bookmarkEnd w:id="138"/>
      <w:bookmarkEnd w:id="139"/>
    </w:p>
    <w:p w14:paraId="2419FCD5" w14:textId="77777777" w:rsidR="00826A3D" w:rsidRPr="000C6009" w:rsidRDefault="00826A3D" w:rsidP="00826A3D">
      <w:pPr>
        <w:spacing w:before="120" w:after="0" w:line="240" w:lineRule="auto"/>
        <w:rPr>
          <w:rFonts w:cstheme="minorHAnsi"/>
        </w:rPr>
      </w:pPr>
      <w:r w:rsidRPr="000C6009">
        <w:rPr>
          <w:rFonts w:cstheme="minorHAnsi"/>
        </w:rPr>
        <w:t>La Regione Piemonte, nell'ambito dell'acquisizione dell'accesso a una piattaforma di Big Data basata su dati provenienti dalle SIM telefoniche, ha attivato una serie di utenze di accesso, tra le quali una assegnata all'Agenzia, alla piattaforma Analytics di WindTre. Questa piattaforma consente l'utilizzo di vari cruscotti tematici relativi alla mobilità, offrendo strumenti avanzati per l'analisi dei dati.</w:t>
      </w:r>
    </w:p>
    <w:p w14:paraId="14054349" w14:textId="77777777" w:rsidR="00826A3D" w:rsidRPr="000C6009" w:rsidRDefault="00826A3D" w:rsidP="00826A3D">
      <w:pPr>
        <w:spacing w:before="120" w:after="0" w:line="240" w:lineRule="auto"/>
        <w:rPr>
          <w:rFonts w:cstheme="minorHAnsi"/>
        </w:rPr>
      </w:pPr>
      <w:r w:rsidRPr="000C6009">
        <w:rPr>
          <w:rFonts w:cstheme="minorHAnsi"/>
        </w:rPr>
        <w:t xml:space="preserve">L'interesse della Regione e dell'Agenzia nell'utilizzo di questa piattaforma risiede nella comprensione delle potenzialità dello strumento per il monitoraggio delle esigenze di mobilità. Attraverso l'accesso alla piattaforma, è possibile analizzare la consistenza e la variazione nel tempo delle </w:t>
      </w:r>
      <w:r w:rsidRPr="000C6009">
        <w:rPr>
          <w:rFonts w:cstheme="minorHAnsi"/>
          <w:i/>
          <w:iCs/>
        </w:rPr>
        <w:t>presenze</w:t>
      </w:r>
      <w:r w:rsidRPr="000C6009">
        <w:rPr>
          <w:rFonts w:cstheme="minorHAnsi"/>
        </w:rPr>
        <w:t xml:space="preserve"> delle SIM in specifiche zone territoriali, nonché i relativi spostamenti tra le zone assegnate.</w:t>
      </w:r>
    </w:p>
    <w:p w14:paraId="28F2FB12" w14:textId="77777777" w:rsidR="00826A3D" w:rsidRPr="000C6009" w:rsidRDefault="00826A3D" w:rsidP="00826A3D">
      <w:pPr>
        <w:spacing w:before="120" w:after="0" w:line="240" w:lineRule="auto"/>
        <w:rPr>
          <w:rFonts w:cstheme="minorHAnsi"/>
        </w:rPr>
      </w:pPr>
      <w:r w:rsidRPr="000C6009">
        <w:rPr>
          <w:rFonts w:cstheme="minorHAnsi"/>
        </w:rPr>
        <w:t>Il valore delle “</w:t>
      </w:r>
      <w:r w:rsidRPr="000C6009">
        <w:rPr>
          <w:rFonts w:cstheme="minorHAnsi"/>
          <w:b/>
          <w:bCs/>
          <w:i/>
        </w:rPr>
        <w:t>presenze</w:t>
      </w:r>
      <w:r w:rsidRPr="000C6009">
        <w:rPr>
          <w:rFonts w:cstheme="minorHAnsi"/>
          <w:i/>
        </w:rPr>
        <w:t>”</w:t>
      </w:r>
      <w:r w:rsidRPr="000C6009">
        <w:rPr>
          <w:rFonts w:cstheme="minorHAnsi"/>
        </w:rPr>
        <w:t xml:space="preserve"> è stimato a partire dal numero di SIM WindTre (tipologia Human</w:t>
      </w:r>
      <w:r w:rsidRPr="000C6009">
        <w:rPr>
          <w:rStyle w:val="Rimandonotaapidipagina"/>
          <w:rFonts w:cstheme="minorHAnsi"/>
        </w:rPr>
        <w:footnoteReference w:id="14"/>
      </w:r>
      <w:r w:rsidRPr="000C6009">
        <w:rPr>
          <w:rFonts w:cstheme="minorHAnsi"/>
        </w:rPr>
        <w:t>) attive in un determinato intervallo di tempo in una certa area geografica</w:t>
      </w:r>
      <w:r w:rsidRPr="000C6009">
        <w:rPr>
          <w:rStyle w:val="Rimandonotaapidipagina"/>
          <w:rFonts w:cstheme="minorHAnsi"/>
        </w:rPr>
        <w:footnoteReference w:id="15"/>
      </w:r>
      <w:r w:rsidRPr="000C6009">
        <w:rPr>
          <w:rFonts w:cstheme="minorHAnsi"/>
        </w:rPr>
        <w:t>. Questi dati di base sono espansi secondo algoritmi proprietari, non di dominio pubblico, che tengono conto della quota di mercato (market-share) e di altri parametri di riproporzionamento. L'obiettivo di questi algoritmi è di ricondurre il numero delle SIM alla popolazione di riferimento, fornendo una stima accurata e rappresentativa.</w:t>
      </w:r>
    </w:p>
    <w:p w14:paraId="0C96BA2F" w14:textId="77777777" w:rsidR="00826A3D" w:rsidRPr="000C6009" w:rsidRDefault="00826A3D" w:rsidP="00826A3D">
      <w:pPr>
        <w:spacing w:before="120" w:after="0" w:line="240" w:lineRule="auto"/>
        <w:rPr>
          <w:rFonts w:cstheme="minorHAnsi"/>
        </w:rPr>
      </w:pPr>
      <w:r w:rsidRPr="000C6009">
        <w:rPr>
          <w:rFonts w:cstheme="minorHAnsi"/>
        </w:rPr>
        <w:t xml:space="preserve">La piattaforma Analytics di WindTre offre quindi uno strumento per monitorare e analizzare i flussi di mobilità, permettendo di ottenere informazioni sulle dinamiche di spostamento della popolazione. Nei </w:t>
      </w:r>
      <w:r w:rsidRPr="000C6009">
        <w:rPr>
          <w:rFonts w:cstheme="minorHAnsi"/>
        </w:rPr>
        <w:lastRenderedPageBreak/>
        <w:t xml:space="preserve">cruscotti della piattaforma WindTre le informazioni disponibili sono riferite alle </w:t>
      </w:r>
      <w:r w:rsidRPr="000C6009">
        <w:rPr>
          <w:rFonts w:cstheme="minorHAnsi"/>
          <w:i/>
        </w:rPr>
        <w:t>presenze</w:t>
      </w:r>
      <w:r w:rsidRPr="000C6009">
        <w:rPr>
          <w:rFonts w:cstheme="minorHAnsi"/>
        </w:rPr>
        <w:t xml:space="preserve"> e alle origini e/o destinazioni degli spostamenti localizzate nella Regione Piemonte, in forma completa nei livelli di aggregazione spaziale di Regione, Provincia, Comune.</w:t>
      </w:r>
    </w:p>
    <w:p w14:paraId="0D714BFC" w14:textId="77777777" w:rsidR="00826A3D" w:rsidRPr="000C6009" w:rsidRDefault="00826A3D" w:rsidP="00826A3D">
      <w:pPr>
        <w:spacing w:before="120" w:after="0" w:line="240" w:lineRule="auto"/>
        <w:rPr>
          <w:rFonts w:cstheme="minorHAnsi"/>
        </w:rPr>
      </w:pPr>
      <w:r w:rsidRPr="000C6009">
        <w:rPr>
          <w:rFonts w:cstheme="minorHAnsi"/>
        </w:rPr>
        <w:t>Il dato elementare generato in questo tipo di piattaforme, a differenza delle indagini di mobilità, non è disaggregabile per “scopo” e per “modo”, al momento, anche se per quest’ultimo sono in corso sperimentazioni nel tentativo di inferire stime di tale suddivisione. D’altra parte, è presente una copertura delle origini-destinazioni maggiore rispetto alle indagini, dato il maggiore tasso di “campionamento” equivalente.</w:t>
      </w:r>
    </w:p>
    <w:p w14:paraId="4E7CAAC8" w14:textId="77777777" w:rsidR="00826A3D" w:rsidRPr="000C6009" w:rsidRDefault="00826A3D" w:rsidP="00826A3D">
      <w:pPr>
        <w:spacing w:before="120" w:after="0" w:line="240" w:lineRule="auto"/>
        <w:rPr>
          <w:rFonts w:cstheme="minorHAnsi"/>
        </w:rPr>
      </w:pPr>
      <w:r w:rsidRPr="000C6009">
        <w:rPr>
          <w:rFonts w:cstheme="minorHAnsi"/>
        </w:rPr>
        <w:t>L’insieme degli spostamenti individuato nelle presenti analisi è quindi da considerarsi effettuato con tutti gli scopi e i modi, e dunque può essere indicativo di una “domanda (o mobilità) potenziale”.</w:t>
      </w:r>
    </w:p>
    <w:p w14:paraId="1FB0A941" w14:textId="77777777" w:rsidR="00826A3D" w:rsidRPr="000C6009" w:rsidRDefault="00826A3D" w:rsidP="00826A3D">
      <w:pPr>
        <w:spacing w:before="120" w:after="0" w:line="240" w:lineRule="auto"/>
        <w:rPr>
          <w:rFonts w:cstheme="minorHAnsi"/>
        </w:rPr>
      </w:pPr>
      <w:r w:rsidRPr="000C6009">
        <w:rPr>
          <w:rFonts w:cstheme="minorHAnsi"/>
        </w:rPr>
        <w:t>La mobilità nella giornata è essenzialmente simmetrica: ad un viaggio per svolgere attività segue nella grande maggioranza dei casi (mediamente superiore al 90%, da dati IMQ) un viaggio in senso inverso effettuato in tempi successivi per tornare a casa. Poiché nei dati da telefonia mobile non è possibile distinguere lo scopo dello spostamento, compreso quindi il “ritorno a casa”, non è possibile indagare analogamente alle indagini la direzionalità e gravitazione della mobilità; si osserverà quindi, correttamente, una simmetria nei valori degli spostamenti riportati nelle tabelle origine / destinazione delle seguenti analisi.</w:t>
      </w:r>
    </w:p>
    <w:p w14:paraId="5759D9FC" w14:textId="77777777" w:rsidR="00826A3D" w:rsidRPr="000C6009" w:rsidRDefault="00826A3D" w:rsidP="00826A3D">
      <w:pPr>
        <w:spacing w:before="120" w:after="0" w:line="240" w:lineRule="auto"/>
        <w:rPr>
          <w:rFonts w:cstheme="minorHAnsi"/>
        </w:rPr>
      </w:pPr>
      <w:r w:rsidRPr="000C6009">
        <w:rPr>
          <w:rFonts w:cstheme="minorHAnsi"/>
        </w:rPr>
        <w:t>In sintesi, l'utilizzo dei Big Data da operatori di telefonia mobile per le indagini sulla mobilità offre una serie di vantaggi e svantaggi che devono essere considerati attentamente:</w:t>
      </w:r>
    </w:p>
    <w:p w14:paraId="2D0C7B4E" w14:textId="77777777" w:rsidR="00826A3D" w:rsidRPr="000C6009" w:rsidRDefault="00826A3D" w:rsidP="00826A3D">
      <w:pPr>
        <w:pStyle w:val="Paragrafoelenco"/>
        <w:numPr>
          <w:ilvl w:val="0"/>
          <w:numId w:val="30"/>
        </w:numPr>
        <w:spacing w:before="120" w:after="0" w:line="240" w:lineRule="auto"/>
        <w:ind w:left="714" w:hanging="357"/>
        <w:contextualSpacing w:val="0"/>
        <w:rPr>
          <w:rFonts w:cstheme="minorHAnsi"/>
        </w:rPr>
      </w:pPr>
      <w:r w:rsidRPr="000C6009">
        <w:rPr>
          <w:rFonts w:cstheme="minorHAnsi"/>
        </w:rPr>
        <w:t>Vantaggi: I dati provenienti dai sistemi di telefonia mobile sono aggiornati continuamente, permettendo un monitoraggio pressoché in tempo reale della mobilità. L’alto tasso di campionamento “equivalente” e la granularità dei dati, suddivisi in unità minime come le ACE (Aree di Censimento), consentono un'analisi dettagliata seppur stimata. Inoltre, l'accessibilità dei dati tramite piattaforme di analytics ne facilita l'uso.</w:t>
      </w:r>
    </w:p>
    <w:p w14:paraId="52E3223F" w14:textId="77777777" w:rsidR="00826A3D" w:rsidRPr="000C6009" w:rsidRDefault="00826A3D" w:rsidP="00826A3D">
      <w:pPr>
        <w:pStyle w:val="Paragrafoelenco"/>
        <w:numPr>
          <w:ilvl w:val="0"/>
          <w:numId w:val="30"/>
        </w:numPr>
        <w:spacing w:before="120" w:after="0" w:line="240" w:lineRule="auto"/>
        <w:ind w:left="714" w:hanging="357"/>
        <w:contextualSpacing w:val="0"/>
        <w:rPr>
          <w:rFonts w:cstheme="minorHAnsi"/>
        </w:rPr>
      </w:pPr>
      <w:r w:rsidRPr="000C6009">
        <w:rPr>
          <w:rFonts w:cstheme="minorHAnsi"/>
        </w:rPr>
        <w:t>Svantaggi: La precisione dei dati può variare in base alla densità delle celle e alla configurazione del territorio, con una copertura meno dettagliata in aree rurali rispetto a quelle urbane. Gli algoritmi proprietari utilizzati per espandere i dati delle SIM non sono di dominio pubblico, limitando la trasparenza, e comportano che i valori assoluti esposti siano il risultato di stime successive. Inoltre, i dati delle SIM potrebbero non rappresentare perfettamente tutta la popolazione, specialmente se la quota di mercato dell'operatore telefonico non è uniforme.</w:t>
      </w:r>
    </w:p>
    <w:p w14:paraId="6EA5AC97" w14:textId="77777777" w:rsidR="00826A3D" w:rsidRPr="000C6009" w:rsidRDefault="00826A3D" w:rsidP="00826A3D">
      <w:pPr>
        <w:pStyle w:val="Titolo3"/>
        <w:ind w:left="709"/>
        <w:rPr>
          <w:rFonts w:asciiTheme="minorHAnsi" w:hAnsiTheme="minorHAnsi" w:cstheme="minorHAnsi"/>
        </w:rPr>
      </w:pPr>
      <w:bookmarkStart w:id="140" w:name="_Toc197695671"/>
      <w:bookmarkStart w:id="141" w:name="_Toc204616484"/>
      <w:bookmarkStart w:id="142" w:name="_Toc205213715"/>
      <w:r w:rsidRPr="000C6009">
        <w:rPr>
          <w:rFonts w:asciiTheme="minorHAnsi" w:hAnsiTheme="minorHAnsi" w:cstheme="minorHAnsi"/>
        </w:rPr>
        <w:t>Analisi della domanda tramite i dati della piattaforma Windtre</w:t>
      </w:r>
      <w:bookmarkEnd w:id="140"/>
      <w:bookmarkEnd w:id="141"/>
      <w:bookmarkEnd w:id="142"/>
      <w:r w:rsidRPr="000C6009">
        <w:rPr>
          <w:rFonts w:asciiTheme="minorHAnsi" w:hAnsiTheme="minorHAnsi" w:cstheme="minorHAnsi"/>
        </w:rPr>
        <w:t xml:space="preserve"> </w:t>
      </w:r>
    </w:p>
    <w:p w14:paraId="64DB17A9" w14:textId="77777777" w:rsidR="00826A3D" w:rsidRPr="000C6009" w:rsidRDefault="00826A3D" w:rsidP="00826A3D">
      <w:pPr>
        <w:spacing w:before="120" w:after="0" w:line="240" w:lineRule="auto"/>
        <w:rPr>
          <w:rFonts w:cstheme="minorHAnsi"/>
        </w:rPr>
      </w:pPr>
      <w:r w:rsidRPr="000C6009">
        <w:rPr>
          <w:rFonts w:cstheme="minorHAnsi"/>
        </w:rPr>
        <w:t xml:space="preserve">Le analisi sono state effettuate a partire dai valori degli spostamenti in un giorno feriale medio, con origine e/o destinazione nel Bacino Sud Est composto dalle province di Alessandria e Asti, rilevati dalla piattaforma in una settimana campione di ottobre e in una di novembre 2024 (dieci giorni feriali complessivi). È opportuno specificare che </w:t>
      </w:r>
      <w:r w:rsidRPr="000C6009">
        <w:rPr>
          <w:rFonts w:cstheme="minorHAnsi"/>
          <w:u w:val="single"/>
        </w:rPr>
        <w:t>la piattaforma non fornisce gli spostamenti interni ai comuni</w:t>
      </w:r>
      <w:r w:rsidRPr="000C6009">
        <w:rPr>
          <w:rFonts w:cstheme="minorHAnsi"/>
        </w:rPr>
        <w:t xml:space="preserve">; dunque, sono presenti </w:t>
      </w:r>
      <w:r w:rsidRPr="000C6009">
        <w:rPr>
          <w:rFonts w:cstheme="minorHAnsi"/>
          <w:u w:val="single"/>
        </w:rPr>
        <w:t>solo gli spostamenti fra comuni</w:t>
      </w:r>
      <w:r w:rsidRPr="000C6009">
        <w:rPr>
          <w:rFonts w:cstheme="minorHAnsi"/>
        </w:rPr>
        <w:t>.</w:t>
      </w:r>
    </w:p>
    <w:p w14:paraId="4427A382" w14:textId="2F4B2F7E" w:rsidR="005973F8" w:rsidRDefault="00826A3D" w:rsidP="00826A3D">
      <w:pPr>
        <w:spacing w:before="120" w:after="0" w:line="240" w:lineRule="auto"/>
        <w:rPr>
          <w:rFonts w:cstheme="minorHAnsi"/>
        </w:rPr>
      </w:pPr>
      <w:r w:rsidRPr="000C6009">
        <w:rPr>
          <w:rFonts w:cstheme="minorHAnsi"/>
        </w:rPr>
        <w:t xml:space="preserve">Nella </w:t>
      </w:r>
      <w:r w:rsidRPr="000C6009">
        <w:rPr>
          <w:rFonts w:cstheme="minorHAnsi"/>
        </w:rPr>
        <w:fldChar w:fldCharType="begin"/>
      </w:r>
      <w:r w:rsidRPr="000C6009">
        <w:rPr>
          <w:rFonts w:cstheme="minorHAnsi"/>
        </w:rPr>
        <w:instrText xml:space="preserve"> REF _Ref193383343 \h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rPr>
        <w:t>13</w:t>
      </w:r>
      <w:r w:rsidRPr="000C6009">
        <w:rPr>
          <w:rFonts w:cstheme="minorHAnsi"/>
        </w:rPr>
        <w:fldChar w:fldCharType="end"/>
      </w:r>
      <w:r w:rsidRPr="000C6009">
        <w:rPr>
          <w:rFonts w:cstheme="minorHAnsi"/>
        </w:rPr>
        <w:t xml:space="preserve"> sono riportati gli spostamenti origine/destinazione relativi al Bacino Sud Est con le aree esterne aggregate per appartenenza o meno alla Regione Piemonte.</w:t>
      </w:r>
      <w:r w:rsidR="005973F8">
        <w:rPr>
          <w:rFonts w:cstheme="minorHAnsi"/>
        </w:rPr>
        <w:br w:type="page"/>
      </w:r>
    </w:p>
    <w:p w14:paraId="3FB88865" w14:textId="06E9A808" w:rsidR="00826A3D" w:rsidRPr="000C6009" w:rsidRDefault="00343533" w:rsidP="00826A3D">
      <w:pPr>
        <w:spacing w:before="120" w:after="0" w:line="240" w:lineRule="auto"/>
        <w:rPr>
          <w:rFonts w:cstheme="minorHAnsi"/>
        </w:rPr>
      </w:pPr>
      <w:r>
        <w:rPr>
          <w:rFonts w:cstheme="minorHAnsi"/>
          <w:noProof/>
        </w:rPr>
        <w:lastRenderedPageBreak/>
        <w:drawing>
          <wp:inline distT="0" distB="0" distL="0" distR="0" wp14:anchorId="5F748369" wp14:editId="55ED2D24">
            <wp:extent cx="5761355" cy="1000125"/>
            <wp:effectExtent l="0" t="0" r="0" b="9525"/>
            <wp:docPr id="3562825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1355" cy="1000125"/>
                    </a:xfrm>
                    <a:prstGeom prst="rect">
                      <a:avLst/>
                    </a:prstGeom>
                    <a:noFill/>
                  </pic:spPr>
                </pic:pic>
              </a:graphicData>
            </a:graphic>
          </wp:inline>
        </w:drawing>
      </w:r>
    </w:p>
    <w:p w14:paraId="5757CE94" w14:textId="0FDB9CD3" w:rsidR="00826A3D" w:rsidRPr="000C6009" w:rsidRDefault="00826A3D" w:rsidP="00826A3D">
      <w:pPr>
        <w:pStyle w:val="Didascalia"/>
        <w:jc w:val="center"/>
        <w:rPr>
          <w:rFonts w:cstheme="minorHAnsi"/>
        </w:rPr>
      </w:pPr>
      <w:bookmarkStart w:id="143" w:name="_Ref193383343"/>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13</w:t>
      </w:r>
      <w:r w:rsidRPr="000C6009">
        <w:rPr>
          <w:rFonts w:cstheme="minorHAnsi"/>
          <w:noProof/>
        </w:rPr>
        <w:fldChar w:fldCharType="end"/>
      </w:r>
      <w:bookmarkEnd w:id="143"/>
      <w:r w:rsidRPr="000C6009">
        <w:rPr>
          <w:rFonts w:cstheme="minorHAnsi"/>
          <w:i w:val="0"/>
          <w:iCs w:val="0"/>
        </w:rPr>
        <w:t xml:space="preserve">– </w:t>
      </w:r>
      <w:r w:rsidRPr="000C6009">
        <w:rPr>
          <w:rFonts w:cstheme="minorHAnsi"/>
        </w:rPr>
        <w:t>Mobilità complessiva del Bacino Sud Est – valori assoluti degli spostamenti</w:t>
      </w:r>
    </w:p>
    <w:p w14:paraId="5E9CE5FF" w14:textId="4A185925" w:rsidR="00826A3D" w:rsidRDefault="00826A3D" w:rsidP="00826A3D">
      <w:pPr>
        <w:spacing w:before="120" w:after="0" w:line="240" w:lineRule="auto"/>
        <w:rPr>
          <w:rFonts w:cstheme="minorHAnsi"/>
        </w:rPr>
      </w:pPr>
      <w:r w:rsidRPr="000C6009">
        <w:rPr>
          <w:rFonts w:cstheme="minorHAnsi"/>
        </w:rPr>
        <w:t xml:space="preserve">Nella </w:t>
      </w:r>
      <w:r w:rsidRPr="000C6009">
        <w:rPr>
          <w:rFonts w:cstheme="minorHAnsi"/>
        </w:rPr>
        <w:fldChar w:fldCharType="begin"/>
      </w:r>
      <w:r w:rsidRPr="000C6009">
        <w:rPr>
          <w:rFonts w:cstheme="minorHAnsi"/>
        </w:rPr>
        <w:instrText xml:space="preserve"> REF _Ref193383360 \h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rPr>
        <w:t>14</w:t>
      </w:r>
      <w:r w:rsidRPr="000C6009">
        <w:rPr>
          <w:rFonts w:cstheme="minorHAnsi"/>
        </w:rPr>
        <w:fldChar w:fldCharType="end"/>
      </w:r>
      <w:r w:rsidRPr="000C6009">
        <w:rPr>
          <w:rFonts w:cstheme="minorHAnsi"/>
        </w:rPr>
        <w:t xml:space="preserve"> sono presentate le quote percentuali dei gruppi di spostamenti, così da valutare anche l’autocontenimento della domanda nell’area di interesse. Per quanto esposto sulla natura dei dati provenienti da questa tipologia di piattaforme, questo tipo di indicatore potrebbe fornire una fotografia più rispondente rispetto ai semplici valori assoluti prima rappresentati.</w:t>
      </w:r>
    </w:p>
    <w:p w14:paraId="30B97419" w14:textId="77777777" w:rsidR="005973F8" w:rsidRPr="000C6009" w:rsidRDefault="005973F8" w:rsidP="00826A3D">
      <w:pPr>
        <w:spacing w:before="120" w:after="0" w:line="240" w:lineRule="auto"/>
        <w:rPr>
          <w:rFonts w:cstheme="minorHAnsi"/>
        </w:rPr>
      </w:pPr>
    </w:p>
    <w:p w14:paraId="4430467F" w14:textId="29AEC17D" w:rsidR="00826A3D" w:rsidRPr="000C6009" w:rsidRDefault="00F34C4E" w:rsidP="00826A3D">
      <w:pPr>
        <w:spacing w:before="120" w:after="0" w:line="240" w:lineRule="auto"/>
        <w:rPr>
          <w:rFonts w:cstheme="minorHAnsi"/>
        </w:rPr>
      </w:pPr>
      <w:r>
        <w:rPr>
          <w:rFonts w:cstheme="minorHAnsi"/>
          <w:noProof/>
        </w:rPr>
        <w:drawing>
          <wp:inline distT="0" distB="0" distL="0" distR="0" wp14:anchorId="4F6F4660" wp14:editId="559E018F">
            <wp:extent cx="5761355" cy="1000125"/>
            <wp:effectExtent l="0" t="0" r="0" b="9525"/>
            <wp:docPr id="904993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1355" cy="1000125"/>
                    </a:xfrm>
                    <a:prstGeom prst="rect">
                      <a:avLst/>
                    </a:prstGeom>
                    <a:noFill/>
                  </pic:spPr>
                </pic:pic>
              </a:graphicData>
            </a:graphic>
          </wp:inline>
        </w:drawing>
      </w:r>
    </w:p>
    <w:p w14:paraId="0B0D4E55" w14:textId="5FADCC8E" w:rsidR="00826A3D" w:rsidRPr="000C6009" w:rsidRDefault="00826A3D" w:rsidP="00826A3D">
      <w:pPr>
        <w:pStyle w:val="Didascalia"/>
        <w:jc w:val="center"/>
        <w:rPr>
          <w:rFonts w:cstheme="minorHAnsi"/>
        </w:rPr>
      </w:pPr>
      <w:bookmarkStart w:id="144" w:name="_Ref193383360"/>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14</w:t>
      </w:r>
      <w:r w:rsidRPr="000C6009">
        <w:rPr>
          <w:rFonts w:cstheme="minorHAnsi"/>
          <w:noProof/>
        </w:rPr>
        <w:fldChar w:fldCharType="end"/>
      </w:r>
      <w:bookmarkEnd w:id="144"/>
      <w:r w:rsidRPr="000C6009">
        <w:rPr>
          <w:rFonts w:cstheme="minorHAnsi"/>
          <w:i w:val="0"/>
          <w:iCs w:val="0"/>
        </w:rPr>
        <w:t xml:space="preserve">– </w:t>
      </w:r>
      <w:r w:rsidRPr="000C6009">
        <w:rPr>
          <w:rFonts w:cstheme="minorHAnsi"/>
        </w:rPr>
        <w:t>Mobilità complessiva del Bacino Sud Est – valori relativi, quote degli spostamenti</w:t>
      </w:r>
    </w:p>
    <w:p w14:paraId="1882BE57" w14:textId="77777777" w:rsidR="00826A3D" w:rsidRPr="000C6009" w:rsidRDefault="00826A3D" w:rsidP="00826A3D">
      <w:pPr>
        <w:spacing w:before="120" w:after="0" w:line="240" w:lineRule="auto"/>
        <w:rPr>
          <w:rFonts w:cstheme="minorHAnsi"/>
        </w:rPr>
      </w:pPr>
      <w:r w:rsidRPr="000C6009">
        <w:rPr>
          <w:rFonts w:cstheme="minorHAnsi"/>
        </w:rPr>
        <w:t>La maggioranza degli spostamenti si colloca all’interno del Bacino Sud Est; l’assenza degli spostamenti interni ai comuni comporta inevitabilmente un abbassamento della quota degli spostamenti interni all’area interessata; il valore di autocontenimento sarebbe quindi più elevato. Le quote degli spostamenti con il resto del Piemonte e all’esterno della regione sono pressoché equivalenti.</w:t>
      </w:r>
    </w:p>
    <w:p w14:paraId="6ACCD091" w14:textId="765E3A58" w:rsidR="00826A3D" w:rsidRDefault="00826A3D" w:rsidP="00826A3D">
      <w:pPr>
        <w:spacing w:before="120" w:after="0" w:line="240" w:lineRule="auto"/>
        <w:rPr>
          <w:rFonts w:cstheme="minorHAnsi"/>
        </w:rPr>
      </w:pPr>
      <w:r w:rsidRPr="000C6009">
        <w:rPr>
          <w:rFonts w:cstheme="minorHAnsi"/>
        </w:rPr>
        <w:t xml:space="preserve">Nella </w:t>
      </w:r>
      <w:r w:rsidRPr="000C6009">
        <w:rPr>
          <w:rFonts w:cstheme="minorHAnsi"/>
        </w:rPr>
        <w:fldChar w:fldCharType="begin"/>
      </w:r>
      <w:r w:rsidRPr="000C6009">
        <w:rPr>
          <w:rFonts w:cstheme="minorHAnsi"/>
        </w:rPr>
        <w:instrText xml:space="preserve"> REF _Ref193383377 \h </w:instrText>
      </w:r>
      <w:r w:rsidR="006F2CB5" w:rsidRPr="000C6009">
        <w:rPr>
          <w:rFonts w:cstheme="minorHAnsi"/>
        </w:rPr>
        <w:instrText xml:space="preserve">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noProof/>
        </w:rPr>
        <w:t>15</w:t>
      </w:r>
      <w:r w:rsidRPr="000C6009">
        <w:rPr>
          <w:rFonts w:cstheme="minorHAnsi"/>
        </w:rPr>
        <w:fldChar w:fldCharType="end"/>
      </w:r>
      <w:r w:rsidRPr="000C6009">
        <w:rPr>
          <w:rFonts w:cstheme="minorHAnsi"/>
        </w:rPr>
        <w:t xml:space="preserve"> e nella </w:t>
      </w:r>
      <w:r w:rsidRPr="000C6009">
        <w:rPr>
          <w:rFonts w:cstheme="minorHAnsi"/>
        </w:rPr>
        <w:fldChar w:fldCharType="begin"/>
      </w:r>
      <w:r w:rsidRPr="000C6009">
        <w:rPr>
          <w:rFonts w:cstheme="minorHAnsi"/>
        </w:rPr>
        <w:instrText xml:space="preserve"> REF _Ref193383387 \h </w:instrText>
      </w:r>
      <w:r w:rsidR="006F2CB5" w:rsidRPr="000C6009">
        <w:rPr>
          <w:rFonts w:cstheme="minorHAnsi"/>
        </w:rPr>
        <w:instrText xml:space="preserve">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noProof/>
        </w:rPr>
        <w:t>16</w:t>
      </w:r>
      <w:r w:rsidRPr="000C6009">
        <w:rPr>
          <w:rFonts w:cstheme="minorHAnsi"/>
        </w:rPr>
        <w:fldChar w:fldCharType="end"/>
      </w:r>
      <w:r w:rsidRPr="000C6009">
        <w:rPr>
          <w:rFonts w:cstheme="minorHAnsi"/>
        </w:rPr>
        <w:t xml:space="preserve"> sono esposti rispettivamente i valori assoluti e le quote percentuali degli spostamenti origine / destinazione dei comuni delle Province di Alessandria e Asti.</w:t>
      </w:r>
    </w:p>
    <w:p w14:paraId="0950F905" w14:textId="77777777" w:rsidR="005973F8" w:rsidRPr="000C6009" w:rsidRDefault="005973F8" w:rsidP="00826A3D">
      <w:pPr>
        <w:spacing w:before="120" w:after="0" w:line="240" w:lineRule="auto"/>
        <w:rPr>
          <w:rFonts w:cstheme="minorHAnsi"/>
        </w:rPr>
      </w:pPr>
    </w:p>
    <w:p w14:paraId="5BCDADD4" w14:textId="2B28F509" w:rsidR="00826A3D" w:rsidRPr="000C6009" w:rsidRDefault="00F34C4E" w:rsidP="00826A3D">
      <w:pPr>
        <w:spacing w:before="120" w:after="0" w:line="240" w:lineRule="auto"/>
        <w:rPr>
          <w:rFonts w:cstheme="minorHAnsi"/>
        </w:rPr>
      </w:pPr>
      <w:r w:rsidRPr="00F95156">
        <w:rPr>
          <w:noProof/>
        </w:rPr>
        <w:drawing>
          <wp:inline distT="0" distB="0" distL="0" distR="0" wp14:anchorId="3AB7A86A" wp14:editId="1BAF324A">
            <wp:extent cx="5759450" cy="1001395"/>
            <wp:effectExtent l="0" t="0" r="0" b="8255"/>
            <wp:docPr id="19700849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p>
    <w:p w14:paraId="7C92973F" w14:textId="1EFFB1AC" w:rsidR="00826A3D" w:rsidRDefault="00826A3D" w:rsidP="00826A3D">
      <w:pPr>
        <w:pStyle w:val="Didascalia"/>
        <w:jc w:val="center"/>
        <w:rPr>
          <w:rFonts w:cstheme="minorHAnsi"/>
        </w:rPr>
      </w:pPr>
      <w:bookmarkStart w:id="145" w:name="_Ref193383377"/>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15</w:t>
      </w:r>
      <w:r w:rsidRPr="000C6009">
        <w:rPr>
          <w:rFonts w:cstheme="minorHAnsi"/>
          <w:noProof/>
        </w:rPr>
        <w:fldChar w:fldCharType="end"/>
      </w:r>
      <w:bookmarkEnd w:id="145"/>
      <w:r w:rsidRPr="000C6009">
        <w:rPr>
          <w:rFonts w:cstheme="minorHAnsi"/>
        </w:rPr>
        <w:t>– Mobilità complessiva con focus sulle province – valori assoluti degli spostamenti</w:t>
      </w:r>
    </w:p>
    <w:p w14:paraId="4DF990F8" w14:textId="77777777" w:rsidR="005973F8" w:rsidRPr="005973F8" w:rsidRDefault="005973F8" w:rsidP="005973F8"/>
    <w:p w14:paraId="1EC1480C" w14:textId="26B18251" w:rsidR="00826A3D" w:rsidRPr="000C6009" w:rsidRDefault="00F34C4E" w:rsidP="00826A3D">
      <w:pPr>
        <w:spacing w:before="120" w:after="0" w:line="240" w:lineRule="auto"/>
        <w:rPr>
          <w:rFonts w:cstheme="minorHAnsi"/>
        </w:rPr>
      </w:pPr>
      <w:r w:rsidRPr="00F95156">
        <w:rPr>
          <w:noProof/>
        </w:rPr>
        <w:drawing>
          <wp:inline distT="0" distB="0" distL="0" distR="0" wp14:anchorId="02E11ED8" wp14:editId="79A8B7A0">
            <wp:extent cx="5759450" cy="1001395"/>
            <wp:effectExtent l="0" t="0" r="0" b="8255"/>
            <wp:docPr id="129471620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p>
    <w:p w14:paraId="77F5A715" w14:textId="33D0ACD3" w:rsidR="00826A3D" w:rsidRPr="000C6009" w:rsidRDefault="00826A3D" w:rsidP="00826A3D">
      <w:pPr>
        <w:pStyle w:val="Didascalia"/>
        <w:jc w:val="center"/>
        <w:rPr>
          <w:rFonts w:cstheme="minorHAnsi"/>
        </w:rPr>
      </w:pPr>
      <w:bookmarkStart w:id="146" w:name="_Ref193383387"/>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16</w:t>
      </w:r>
      <w:r w:rsidRPr="000C6009">
        <w:rPr>
          <w:rFonts w:cstheme="minorHAnsi"/>
          <w:noProof/>
        </w:rPr>
        <w:fldChar w:fldCharType="end"/>
      </w:r>
      <w:bookmarkEnd w:id="146"/>
      <w:r w:rsidRPr="000C6009">
        <w:rPr>
          <w:rFonts w:cstheme="minorHAnsi"/>
        </w:rPr>
        <w:t>– Mobilità complessiva con focus sulle province – valori relativi, quote degli spostamenti</w:t>
      </w:r>
    </w:p>
    <w:p w14:paraId="2617CFB6" w14:textId="77777777" w:rsidR="00826A3D" w:rsidRPr="000C6009" w:rsidRDefault="00826A3D" w:rsidP="00826A3D">
      <w:pPr>
        <w:spacing w:before="120" w:after="0" w:line="240" w:lineRule="auto"/>
        <w:rPr>
          <w:rFonts w:cstheme="minorHAnsi"/>
        </w:rPr>
      </w:pPr>
    </w:p>
    <w:p w14:paraId="7A882EFD" w14:textId="77777777" w:rsidR="00826A3D" w:rsidRPr="000C6009" w:rsidRDefault="00826A3D" w:rsidP="00826A3D">
      <w:pPr>
        <w:spacing w:before="120" w:after="0" w:line="240" w:lineRule="auto"/>
        <w:rPr>
          <w:rFonts w:cstheme="minorHAnsi"/>
        </w:rPr>
      </w:pPr>
      <w:r w:rsidRPr="000C6009">
        <w:rPr>
          <w:rFonts w:cstheme="minorHAnsi"/>
        </w:rPr>
        <w:t xml:space="preserve">La Provincia di Alessandria risulta avere una quota di spostamenti maggiore rispetto a quella di Asti, in proporzione analoga alla differenza di popolazione residente. La Provincia di Alessandria, confinante </w:t>
      </w:r>
      <w:r w:rsidRPr="000C6009">
        <w:rPr>
          <w:rFonts w:cstheme="minorHAnsi"/>
        </w:rPr>
        <w:lastRenderedPageBreak/>
        <w:t>con altre regioni, “dialoga” maggiormente, rispetto alla Provincia di Asti, con i territori esterni alla Regione; la Provincia di Asti invece, data la sua posizione all’interno della regione, dialoga per la quasi totalità degli spostamenti con le restanti province piemontesi.</w:t>
      </w:r>
    </w:p>
    <w:p w14:paraId="557F90C0" w14:textId="464F366B" w:rsidR="00826A3D" w:rsidRPr="000C6009" w:rsidRDefault="00826A3D" w:rsidP="00826A3D">
      <w:pPr>
        <w:spacing w:before="120" w:after="0" w:line="240" w:lineRule="auto"/>
        <w:rPr>
          <w:rFonts w:cstheme="minorHAnsi"/>
        </w:rPr>
      </w:pPr>
      <w:r w:rsidRPr="000C6009">
        <w:rPr>
          <w:rFonts w:cstheme="minorHAnsi"/>
        </w:rPr>
        <w:t xml:space="preserve">Per far emergere ancora più chiaramente queste osservazioni, nella </w:t>
      </w:r>
      <w:r w:rsidRPr="000C6009">
        <w:rPr>
          <w:rFonts w:cstheme="minorHAnsi"/>
        </w:rPr>
        <w:fldChar w:fldCharType="begin"/>
      </w:r>
      <w:r w:rsidRPr="000C6009">
        <w:rPr>
          <w:rFonts w:cstheme="minorHAnsi"/>
        </w:rPr>
        <w:instrText xml:space="preserve"> REF _Ref193383474 \h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rPr>
        <w:t>17</w:t>
      </w:r>
      <w:r w:rsidRPr="000C6009">
        <w:rPr>
          <w:rFonts w:cstheme="minorHAnsi"/>
        </w:rPr>
        <w:fldChar w:fldCharType="end"/>
      </w:r>
      <w:r w:rsidRPr="000C6009">
        <w:rPr>
          <w:rFonts w:cstheme="minorHAnsi"/>
        </w:rPr>
        <w:t xml:space="preserve"> e nella </w:t>
      </w:r>
      <w:r w:rsidRPr="000C6009">
        <w:rPr>
          <w:rFonts w:cstheme="minorHAnsi"/>
        </w:rPr>
        <w:fldChar w:fldCharType="begin"/>
      </w:r>
      <w:r w:rsidRPr="000C6009">
        <w:rPr>
          <w:rFonts w:cstheme="minorHAnsi"/>
        </w:rPr>
        <w:instrText xml:space="preserve"> REF _Ref203572362 \h  \* MERGEFORMAT </w:instrText>
      </w:r>
      <w:r w:rsidRPr="000C6009">
        <w:rPr>
          <w:rFonts w:cstheme="minorHAnsi"/>
        </w:rPr>
      </w:r>
      <w:r w:rsidRPr="000C6009">
        <w:rPr>
          <w:rFonts w:cstheme="minorHAnsi"/>
        </w:rPr>
        <w:fldChar w:fldCharType="separate"/>
      </w:r>
      <w:r w:rsidR="00670903" w:rsidRPr="000C6009">
        <w:rPr>
          <w:rFonts w:cstheme="minorHAnsi"/>
        </w:rPr>
        <w:t xml:space="preserve">Tabella </w:t>
      </w:r>
      <w:r w:rsidR="00670903">
        <w:rPr>
          <w:rFonts w:cstheme="minorHAnsi"/>
        </w:rPr>
        <w:t>18</w:t>
      </w:r>
      <w:r w:rsidRPr="000C6009">
        <w:rPr>
          <w:rFonts w:cstheme="minorHAnsi"/>
        </w:rPr>
        <w:fldChar w:fldCharType="end"/>
      </w:r>
      <w:r w:rsidRPr="000C6009">
        <w:rPr>
          <w:rFonts w:cstheme="minorHAnsi"/>
        </w:rPr>
        <w:t xml:space="preserve"> sono esposti in forma più sintetica i valori assoluti e le quote percentuali (tasso di autocontenimento) degli spostamenti specifici delle Province di Alessandria e Asti, a raffronto con il Bacino complessivo.</w:t>
      </w:r>
    </w:p>
    <w:p w14:paraId="19E104DF" w14:textId="77777777" w:rsidR="00826A3D" w:rsidRPr="000C6009" w:rsidRDefault="00826A3D" w:rsidP="00826A3D">
      <w:pPr>
        <w:spacing w:before="120" w:after="0" w:line="240" w:lineRule="auto"/>
        <w:rPr>
          <w:rFonts w:cstheme="minorHAnsi"/>
        </w:rPr>
      </w:pPr>
    </w:p>
    <w:p w14:paraId="6884A0CC" w14:textId="3263EB14" w:rsidR="00826A3D" w:rsidRPr="000C6009" w:rsidRDefault="00F34C4E" w:rsidP="00826A3D">
      <w:pPr>
        <w:spacing w:before="120" w:after="0" w:line="240" w:lineRule="auto"/>
        <w:rPr>
          <w:rFonts w:cstheme="minorHAnsi"/>
        </w:rPr>
      </w:pPr>
      <w:r w:rsidRPr="0099534A">
        <w:rPr>
          <w:noProof/>
        </w:rPr>
        <w:drawing>
          <wp:inline distT="0" distB="0" distL="0" distR="0" wp14:anchorId="3E3E1989" wp14:editId="6F666A3E">
            <wp:extent cx="5450400" cy="673200"/>
            <wp:effectExtent l="0" t="0" r="0" b="0"/>
            <wp:docPr id="9377654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43199E62" w14:textId="02A6EF8C" w:rsidR="00826A3D" w:rsidRDefault="00826A3D" w:rsidP="00826A3D">
      <w:pPr>
        <w:pStyle w:val="Didascalia"/>
        <w:jc w:val="center"/>
        <w:rPr>
          <w:rFonts w:cstheme="minorHAnsi"/>
        </w:rPr>
      </w:pPr>
      <w:bookmarkStart w:id="147" w:name="_Ref193383474"/>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17</w:t>
      </w:r>
      <w:r w:rsidRPr="000C6009">
        <w:rPr>
          <w:rFonts w:cstheme="minorHAnsi"/>
          <w:noProof/>
        </w:rPr>
        <w:fldChar w:fldCharType="end"/>
      </w:r>
      <w:bookmarkEnd w:id="147"/>
      <w:r w:rsidRPr="000C6009">
        <w:rPr>
          <w:rFonts w:cstheme="minorHAnsi"/>
        </w:rPr>
        <w:t>– Mobilità specifica delle province – valori assoluti degli spostamenti</w:t>
      </w:r>
    </w:p>
    <w:p w14:paraId="5154DD65" w14:textId="77777777" w:rsidR="005973F8" w:rsidRPr="005973F8" w:rsidRDefault="005973F8" w:rsidP="005973F8"/>
    <w:p w14:paraId="48DDDB23" w14:textId="122E73C0" w:rsidR="00826A3D" w:rsidRPr="000C6009" w:rsidRDefault="00F34C4E" w:rsidP="00826A3D">
      <w:pPr>
        <w:spacing w:after="0"/>
        <w:rPr>
          <w:rFonts w:cstheme="minorHAnsi"/>
        </w:rPr>
      </w:pPr>
      <w:bookmarkStart w:id="148" w:name="_Ref193383479"/>
      <w:r w:rsidRPr="0099534A">
        <w:rPr>
          <w:noProof/>
        </w:rPr>
        <w:drawing>
          <wp:inline distT="0" distB="0" distL="0" distR="0" wp14:anchorId="1B1B48EC" wp14:editId="00C933BF">
            <wp:extent cx="5450400" cy="673200"/>
            <wp:effectExtent l="0" t="0" r="0" b="0"/>
            <wp:docPr id="82768025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p>
    <w:p w14:paraId="022C96C6" w14:textId="6131A272" w:rsidR="00826A3D" w:rsidRPr="000C6009" w:rsidRDefault="00826A3D" w:rsidP="00826A3D">
      <w:pPr>
        <w:pStyle w:val="Didascalia"/>
        <w:jc w:val="center"/>
        <w:rPr>
          <w:rFonts w:cstheme="minorHAnsi"/>
        </w:rPr>
      </w:pPr>
      <w:bookmarkStart w:id="149" w:name="_Ref203572362"/>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18</w:t>
      </w:r>
      <w:r w:rsidRPr="000C6009">
        <w:rPr>
          <w:rFonts w:cstheme="minorHAnsi"/>
          <w:noProof/>
        </w:rPr>
        <w:fldChar w:fldCharType="end"/>
      </w:r>
      <w:bookmarkEnd w:id="148"/>
      <w:bookmarkEnd w:id="149"/>
      <w:r w:rsidRPr="000C6009">
        <w:rPr>
          <w:rFonts w:cstheme="minorHAnsi"/>
        </w:rPr>
        <w:t>– Mobilità specifica delle province – valori relativi, quote degli spostamenti</w:t>
      </w:r>
    </w:p>
    <w:p w14:paraId="4DED49DC" w14:textId="77777777" w:rsidR="00826A3D" w:rsidRPr="000C6009" w:rsidRDefault="00826A3D" w:rsidP="00826A3D">
      <w:pPr>
        <w:spacing w:before="120" w:after="0" w:line="240" w:lineRule="auto"/>
        <w:rPr>
          <w:rFonts w:cstheme="minorHAnsi"/>
        </w:rPr>
      </w:pPr>
      <w:r w:rsidRPr="000C6009">
        <w:rPr>
          <w:rFonts w:cstheme="minorHAnsi"/>
        </w:rPr>
        <w:t>Si può osservare come per la Provincia di Alessandria la quota di spostamenti interni rappresenti circa il 50% del totale, mentre per la Provincia di Asti la maggioranza degli spostamenti è composta dagli spostamenti interni e da quelli da/verso la stessa Provincia di Alessandria con cui costituisce il Bacino Sud Est. Tale quota crescerebbe con l’apporto degli spostamenti interni ai comuni, risultando quindi la maggioranza degli spostamenti originati e/o destinati in tali province.</w:t>
      </w:r>
    </w:p>
    <w:p w14:paraId="23375AF3" w14:textId="77777777" w:rsidR="00826A3D" w:rsidRPr="000C6009" w:rsidRDefault="00826A3D" w:rsidP="00826A3D">
      <w:pPr>
        <w:spacing w:before="120" w:after="0" w:line="240" w:lineRule="auto"/>
        <w:rPr>
          <w:rFonts w:cstheme="minorHAnsi"/>
        </w:rPr>
      </w:pPr>
      <w:r w:rsidRPr="000C6009">
        <w:rPr>
          <w:rFonts w:cstheme="minorHAnsi"/>
        </w:rPr>
        <w:t xml:space="preserve">In sintesi, le analisi degli spostamenti nel Bacino Sud Est, basate sui dati </w:t>
      </w:r>
      <w:bookmarkStart w:id="150" w:name="_Hlk202886656"/>
      <w:r w:rsidRPr="000C6009">
        <w:rPr>
          <w:rFonts w:cstheme="minorHAnsi"/>
        </w:rPr>
        <w:t>provenienti dai sistemi di telefonia mobile</w:t>
      </w:r>
      <w:bookmarkEnd w:id="150"/>
      <w:r w:rsidRPr="000C6009">
        <w:rPr>
          <w:rFonts w:cstheme="minorHAnsi"/>
        </w:rPr>
        <w:t>, evidenziano come la maggioranza degli spostamenti rilevati sia costituita dagli spostamenti interni al Bacino. Le due province che compongono il Bacino mostrano differenti proporzioni tra le tipologie di spostamenti individuate:</w:t>
      </w:r>
    </w:p>
    <w:p w14:paraId="1DA8E543" w14:textId="77777777" w:rsidR="00826A3D" w:rsidRPr="000C6009" w:rsidRDefault="00826A3D" w:rsidP="00826A3D">
      <w:pPr>
        <w:pStyle w:val="Paragrafoelenco"/>
        <w:numPr>
          <w:ilvl w:val="0"/>
          <w:numId w:val="40"/>
        </w:numPr>
        <w:spacing w:before="120" w:after="0" w:line="240" w:lineRule="auto"/>
        <w:ind w:left="714" w:hanging="357"/>
        <w:contextualSpacing w:val="0"/>
        <w:rPr>
          <w:rFonts w:cstheme="minorHAnsi"/>
        </w:rPr>
      </w:pPr>
      <w:r w:rsidRPr="000C6009">
        <w:rPr>
          <w:rFonts w:cstheme="minorHAnsi"/>
        </w:rPr>
        <w:t>per la Provincia di Alessandria prevalgono le quote degli spostamenti interni e con territori al di fuori della regione;</w:t>
      </w:r>
    </w:p>
    <w:p w14:paraId="736FEBAA" w14:textId="77777777" w:rsidR="00826A3D" w:rsidRPr="000C6009" w:rsidRDefault="00826A3D" w:rsidP="00826A3D">
      <w:pPr>
        <w:pStyle w:val="Paragrafoelenco"/>
        <w:numPr>
          <w:ilvl w:val="0"/>
          <w:numId w:val="40"/>
        </w:numPr>
        <w:spacing w:before="120" w:after="0" w:line="240" w:lineRule="auto"/>
        <w:ind w:left="714" w:hanging="357"/>
        <w:contextualSpacing w:val="0"/>
        <w:rPr>
          <w:rFonts w:cstheme="minorHAnsi"/>
        </w:rPr>
      </w:pPr>
      <w:r w:rsidRPr="000C6009">
        <w:rPr>
          <w:rFonts w:cstheme="minorHAnsi"/>
        </w:rPr>
        <w:t>per la Provincia di Asti prevalgono le quote degli spostamenti interni e con le restanti province del territorio piemontese.</w:t>
      </w:r>
    </w:p>
    <w:p w14:paraId="27B0DF08" w14:textId="77777777" w:rsidR="00826A3D" w:rsidRPr="000C6009" w:rsidRDefault="00826A3D" w:rsidP="00826A3D">
      <w:pPr>
        <w:spacing w:before="120" w:after="0" w:line="240" w:lineRule="auto"/>
        <w:rPr>
          <w:rFonts w:cstheme="minorHAnsi"/>
        </w:rPr>
      </w:pPr>
      <w:r w:rsidRPr="000C6009">
        <w:rPr>
          <w:rFonts w:cstheme="minorHAnsi"/>
        </w:rPr>
        <w:t>Gli spostamenti interni rappresentano circa il 50% del totale per la Provincia di Alessandria, quota raggiunta dalla Provincia di Asti tenendo conto sia degli spostamenti interni alla provincia che della restante quota di spostamenti interni al Bacino. Tuttavia, l'assenza di dati sugli spostamenti interni ai comuni comporta una sottostima del tasso di autocontenimento, che sarebbe altrimenti più elevato. Questi valori non possono pertanto essere considerati rappresentativi in valore assoluto e confrontabili direttamente con l'indagine IMQ, ma contribuiscono ad una più approfondita interpretazione degli stessi.</w:t>
      </w:r>
    </w:p>
    <w:p w14:paraId="4768FC90" w14:textId="77777777" w:rsidR="00826A3D" w:rsidRPr="000C6009" w:rsidRDefault="00826A3D" w:rsidP="00826A3D">
      <w:pPr>
        <w:pStyle w:val="Titolo3"/>
        <w:ind w:left="709"/>
        <w:rPr>
          <w:rFonts w:asciiTheme="minorHAnsi" w:hAnsiTheme="minorHAnsi" w:cstheme="minorHAnsi"/>
        </w:rPr>
      </w:pPr>
      <w:bookmarkStart w:id="151" w:name="_Toc193195293"/>
      <w:bookmarkStart w:id="152" w:name="_Toc1471349778"/>
      <w:bookmarkStart w:id="153" w:name="_Toc197695672"/>
      <w:bookmarkStart w:id="154" w:name="_Toc204616485"/>
      <w:bookmarkStart w:id="155" w:name="_Toc205213716"/>
      <w:r w:rsidRPr="000C6009">
        <w:rPr>
          <w:rFonts w:asciiTheme="minorHAnsi" w:hAnsiTheme="minorHAnsi" w:cstheme="minorHAnsi"/>
        </w:rPr>
        <w:t>Analisi della domanda debole</w:t>
      </w:r>
      <w:bookmarkEnd w:id="151"/>
      <w:bookmarkEnd w:id="152"/>
      <w:r w:rsidRPr="000C6009">
        <w:rPr>
          <w:rFonts w:asciiTheme="minorHAnsi" w:hAnsiTheme="minorHAnsi" w:cstheme="minorHAnsi"/>
        </w:rPr>
        <w:t xml:space="preserve"> tramite i dati della piattaforma Windtre</w:t>
      </w:r>
      <w:bookmarkEnd w:id="153"/>
      <w:bookmarkEnd w:id="154"/>
      <w:bookmarkEnd w:id="155"/>
    </w:p>
    <w:p w14:paraId="21AE052B" w14:textId="77777777" w:rsidR="00826A3D" w:rsidRPr="000C6009" w:rsidRDefault="00826A3D" w:rsidP="00826A3D">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In riferimento all'assegnazione dei Comuni delle Province di Alessandria e Asti all'Area a Domanda Debole (ADD), descritta in questa relazione, sono state condotte ulteriori analisi per esaminare l'incidenza della domanda debole rispetto alla domanda potenziale. Queste analisi hanno utilizzato i </w:t>
      </w:r>
      <w:r w:rsidRPr="000C6009">
        <w:rPr>
          <w:rFonts w:asciiTheme="minorHAnsi" w:hAnsiTheme="minorHAnsi" w:cstheme="minorHAnsi"/>
          <w:sz w:val="22"/>
          <w:szCs w:val="22"/>
        </w:rPr>
        <w:lastRenderedPageBreak/>
        <w:t>dati, provenienti dai sistemi di telefonia mobile, già estratti nelle valutazioni precedenti (riferiti ad alcuni giorni feriali campione nei mesi di ottobre e novembre 2024).</w:t>
      </w:r>
    </w:p>
    <w:p w14:paraId="2C0908D5" w14:textId="77777777" w:rsidR="00826A3D" w:rsidRPr="000C6009" w:rsidRDefault="00826A3D" w:rsidP="00826A3D">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Grazie al maggiore tasso di campionamento di questa tipologia di dati rispetto alle indagini telefoniche tradizionali (come IMQ), è possibile sfruttare la rilevazione di un numero elevato di origini-destinazioni, anche con valori bassi di spostamenti, per analizzare il contesto delle ADD.</w:t>
      </w:r>
    </w:p>
    <w:p w14:paraId="71A48E6B" w14:textId="77777777" w:rsidR="00826A3D" w:rsidRPr="000C6009" w:rsidRDefault="00826A3D" w:rsidP="00826A3D">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Nelle seguenti analisi, è stata considerata l’area costituita dall’insieme dei comuni assegnati in ADD, così che i valori qui rappresentati costituiscano la massima quota di spostamenti attribuibili alla domanda debole, secondo questa stima. Questo approccio permette di ottenere una fotografia più dettagliata e precisa della mobilità nelle aree a domanda debole.</w:t>
      </w:r>
    </w:p>
    <w:p w14:paraId="50F8A42B" w14:textId="02CB4D39" w:rsidR="00826A3D" w:rsidRPr="000C6009" w:rsidRDefault="00826A3D" w:rsidP="00826A3D">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Nella </w:t>
      </w:r>
      <w:r w:rsidRPr="000C6009">
        <w:rPr>
          <w:rFonts w:asciiTheme="minorHAnsi" w:hAnsiTheme="minorHAnsi" w:cstheme="minorHAnsi"/>
          <w:sz w:val="22"/>
          <w:szCs w:val="22"/>
        </w:rPr>
        <w:fldChar w:fldCharType="begin"/>
      </w:r>
      <w:r w:rsidRPr="000C6009">
        <w:rPr>
          <w:rFonts w:asciiTheme="minorHAnsi" w:hAnsiTheme="minorHAnsi" w:cstheme="minorHAnsi"/>
          <w:sz w:val="22"/>
          <w:szCs w:val="22"/>
        </w:rPr>
        <w:instrText xml:space="preserve"> REF _Ref193383526 \h  \* MERGEFORMAT </w:instrText>
      </w:r>
      <w:r w:rsidRPr="000C6009">
        <w:rPr>
          <w:rFonts w:asciiTheme="minorHAnsi" w:hAnsiTheme="minorHAnsi" w:cstheme="minorHAnsi"/>
          <w:sz w:val="22"/>
          <w:szCs w:val="22"/>
        </w:rPr>
      </w:r>
      <w:r w:rsidRPr="000C6009">
        <w:rPr>
          <w:rFonts w:asciiTheme="minorHAnsi" w:hAnsiTheme="minorHAnsi" w:cstheme="minorHAnsi"/>
          <w:sz w:val="22"/>
          <w:szCs w:val="22"/>
        </w:rPr>
        <w:fldChar w:fldCharType="separate"/>
      </w:r>
      <w:r w:rsidR="00670903" w:rsidRPr="00670903">
        <w:rPr>
          <w:rFonts w:asciiTheme="minorHAnsi" w:hAnsiTheme="minorHAnsi" w:cstheme="minorHAnsi"/>
          <w:sz w:val="22"/>
          <w:szCs w:val="22"/>
        </w:rPr>
        <w:t>Tabella 19</w:t>
      </w:r>
      <w:r w:rsidRPr="000C6009">
        <w:rPr>
          <w:rFonts w:asciiTheme="minorHAnsi" w:hAnsiTheme="minorHAnsi" w:cstheme="minorHAnsi"/>
          <w:sz w:val="22"/>
          <w:szCs w:val="22"/>
        </w:rPr>
        <w:fldChar w:fldCharType="end"/>
      </w:r>
      <w:r w:rsidRPr="000C6009">
        <w:rPr>
          <w:rFonts w:asciiTheme="minorHAnsi" w:hAnsiTheme="minorHAnsi" w:cstheme="minorHAnsi"/>
          <w:sz w:val="22"/>
          <w:szCs w:val="22"/>
        </w:rPr>
        <w:t xml:space="preserve"> e nella </w:t>
      </w:r>
      <w:r w:rsidRPr="000C6009">
        <w:rPr>
          <w:rFonts w:asciiTheme="minorHAnsi" w:hAnsiTheme="minorHAnsi" w:cstheme="minorHAnsi"/>
          <w:sz w:val="22"/>
          <w:szCs w:val="22"/>
        </w:rPr>
        <w:fldChar w:fldCharType="begin"/>
      </w:r>
      <w:r w:rsidRPr="000C6009">
        <w:rPr>
          <w:rFonts w:asciiTheme="minorHAnsi" w:hAnsiTheme="minorHAnsi" w:cstheme="minorHAnsi"/>
          <w:sz w:val="22"/>
          <w:szCs w:val="22"/>
        </w:rPr>
        <w:instrText xml:space="preserve"> REF _Ref193383533 \h  \* MERGEFORMAT </w:instrText>
      </w:r>
      <w:r w:rsidRPr="000C6009">
        <w:rPr>
          <w:rFonts w:asciiTheme="minorHAnsi" w:hAnsiTheme="minorHAnsi" w:cstheme="minorHAnsi"/>
          <w:sz w:val="22"/>
          <w:szCs w:val="22"/>
        </w:rPr>
      </w:r>
      <w:r w:rsidRPr="000C6009">
        <w:rPr>
          <w:rFonts w:asciiTheme="minorHAnsi" w:hAnsiTheme="minorHAnsi" w:cstheme="minorHAnsi"/>
          <w:sz w:val="22"/>
          <w:szCs w:val="22"/>
        </w:rPr>
        <w:fldChar w:fldCharType="separate"/>
      </w:r>
      <w:r w:rsidR="00670903" w:rsidRPr="00670903">
        <w:rPr>
          <w:rFonts w:asciiTheme="minorHAnsi" w:hAnsiTheme="minorHAnsi" w:cstheme="minorHAnsi"/>
          <w:sz w:val="22"/>
          <w:szCs w:val="22"/>
        </w:rPr>
        <w:t>Tabella 20</w:t>
      </w:r>
      <w:r w:rsidRPr="000C6009">
        <w:rPr>
          <w:rFonts w:asciiTheme="minorHAnsi" w:hAnsiTheme="minorHAnsi" w:cstheme="minorHAnsi"/>
          <w:sz w:val="22"/>
          <w:szCs w:val="22"/>
        </w:rPr>
        <w:fldChar w:fldCharType="end"/>
      </w:r>
      <w:r w:rsidRPr="000C6009">
        <w:rPr>
          <w:rFonts w:asciiTheme="minorHAnsi" w:hAnsiTheme="minorHAnsi" w:cstheme="minorHAnsi"/>
          <w:sz w:val="22"/>
          <w:szCs w:val="22"/>
        </w:rPr>
        <w:t xml:space="preserve"> sono esposti rispettivamente i valori assoluti e le quote percentuali degli spostamenti origine / destinazione, con i comuni del Bacino Sud Est riaggregati in due aree secondo la distinzione tra Comuni in ADD e restanti Comuni del Bacino.</w:t>
      </w:r>
    </w:p>
    <w:p w14:paraId="6DBEE4DA"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noProof/>
        </w:rPr>
        <w:drawing>
          <wp:inline distT="0" distB="0" distL="0" distR="0" wp14:anchorId="0F3D1CCA" wp14:editId="36861DE4">
            <wp:extent cx="5810250" cy="1010228"/>
            <wp:effectExtent l="0" t="0" r="0" b="0"/>
            <wp:docPr id="2462703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7097" cy="1016635"/>
                    </a:xfrm>
                    <a:prstGeom prst="rect">
                      <a:avLst/>
                    </a:prstGeom>
                    <a:noFill/>
                    <a:ln>
                      <a:noFill/>
                    </a:ln>
                  </pic:spPr>
                </pic:pic>
              </a:graphicData>
            </a:graphic>
          </wp:inline>
        </w:drawing>
      </w:r>
      <w:r w:rsidRPr="000C6009">
        <w:rPr>
          <w:rFonts w:asciiTheme="minorHAnsi" w:hAnsiTheme="minorHAnsi" w:cstheme="minorHAnsi"/>
        </w:rPr>
        <w:t xml:space="preserve"> </w:t>
      </w:r>
    </w:p>
    <w:p w14:paraId="4F5E7A3A" w14:textId="5204D143" w:rsidR="00826A3D" w:rsidRDefault="00826A3D" w:rsidP="00826A3D">
      <w:pPr>
        <w:pStyle w:val="Didascalia"/>
        <w:jc w:val="center"/>
        <w:rPr>
          <w:rFonts w:cstheme="minorHAnsi"/>
        </w:rPr>
      </w:pPr>
      <w:bookmarkStart w:id="156" w:name="_Ref193383526"/>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19</w:t>
      </w:r>
      <w:r w:rsidRPr="000C6009">
        <w:rPr>
          <w:rFonts w:cstheme="minorHAnsi"/>
          <w:noProof/>
        </w:rPr>
        <w:fldChar w:fldCharType="end"/>
      </w:r>
      <w:bookmarkEnd w:id="156"/>
      <w:r w:rsidRPr="000C6009">
        <w:rPr>
          <w:rFonts w:cstheme="minorHAnsi"/>
        </w:rPr>
        <w:t>– Mobilità complessiva con focus sui Comuni in ADD – valori assoluti degli spostamenti</w:t>
      </w:r>
    </w:p>
    <w:p w14:paraId="0280F871" w14:textId="77777777" w:rsidR="005973F8" w:rsidRPr="005973F8" w:rsidRDefault="005973F8" w:rsidP="005973F8"/>
    <w:p w14:paraId="7683E6CC"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noProof/>
        </w:rPr>
        <w:drawing>
          <wp:inline distT="0" distB="0" distL="0" distR="0" wp14:anchorId="5235899F" wp14:editId="6AED71C6">
            <wp:extent cx="5835015" cy="1014533"/>
            <wp:effectExtent l="0" t="0" r="0" b="0"/>
            <wp:docPr id="1932536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45706" cy="1016392"/>
                    </a:xfrm>
                    <a:prstGeom prst="rect">
                      <a:avLst/>
                    </a:prstGeom>
                    <a:noFill/>
                    <a:ln>
                      <a:noFill/>
                    </a:ln>
                  </pic:spPr>
                </pic:pic>
              </a:graphicData>
            </a:graphic>
          </wp:inline>
        </w:drawing>
      </w:r>
      <w:r w:rsidRPr="000C6009">
        <w:rPr>
          <w:rFonts w:asciiTheme="minorHAnsi" w:hAnsiTheme="minorHAnsi" w:cstheme="minorHAnsi"/>
        </w:rPr>
        <w:t xml:space="preserve"> </w:t>
      </w:r>
    </w:p>
    <w:p w14:paraId="3D3A173F" w14:textId="4C93E63B" w:rsidR="00826A3D" w:rsidRPr="000C6009" w:rsidRDefault="00826A3D" w:rsidP="00826A3D">
      <w:pPr>
        <w:pStyle w:val="Didascalia"/>
        <w:jc w:val="center"/>
        <w:rPr>
          <w:rFonts w:cstheme="minorHAnsi"/>
        </w:rPr>
      </w:pPr>
      <w:bookmarkStart w:id="157" w:name="_Ref193383533"/>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20</w:t>
      </w:r>
      <w:r w:rsidRPr="000C6009">
        <w:rPr>
          <w:rFonts w:cstheme="minorHAnsi"/>
          <w:noProof/>
        </w:rPr>
        <w:fldChar w:fldCharType="end"/>
      </w:r>
      <w:bookmarkEnd w:id="157"/>
      <w:r w:rsidRPr="000C6009">
        <w:rPr>
          <w:rFonts w:cstheme="minorHAnsi"/>
        </w:rPr>
        <w:t>– Mobilità complessiva con focus sui Comuni in ADD – valori relativi, quote degli spostamenti</w:t>
      </w:r>
    </w:p>
    <w:p w14:paraId="5EC0AEA8"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Da questi risultati si può osservare che la quota di spostamenti con origine e/o destinazione nei Comuni in ADD qui definiti è pari a circa l’8,4% degli spostamenti di tutto il Bacino Sud Est.</w:t>
      </w:r>
    </w:p>
    <w:p w14:paraId="20F94890" w14:textId="20635C6A"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 xml:space="preserve">Per ulteriori osservazioni, nella </w:t>
      </w:r>
      <w:r w:rsidRPr="000C6009">
        <w:rPr>
          <w:rFonts w:asciiTheme="minorHAnsi" w:hAnsiTheme="minorHAnsi" w:cstheme="minorHAnsi"/>
          <w:color w:val="242424"/>
          <w:sz w:val="22"/>
          <w:szCs w:val="22"/>
        </w:rPr>
        <w:fldChar w:fldCharType="begin"/>
      </w:r>
      <w:r w:rsidRPr="000C6009">
        <w:rPr>
          <w:rFonts w:asciiTheme="minorHAnsi" w:hAnsiTheme="minorHAnsi" w:cstheme="minorHAnsi"/>
          <w:color w:val="242424"/>
          <w:sz w:val="22"/>
          <w:szCs w:val="22"/>
        </w:rPr>
        <w:instrText xml:space="preserve"> REF _Ref193383545 \h  \* MERGEFORMAT </w:instrText>
      </w:r>
      <w:r w:rsidRPr="000C6009">
        <w:rPr>
          <w:rFonts w:asciiTheme="minorHAnsi" w:hAnsiTheme="minorHAnsi" w:cstheme="minorHAnsi"/>
          <w:color w:val="242424"/>
          <w:sz w:val="22"/>
          <w:szCs w:val="22"/>
        </w:rPr>
      </w:r>
      <w:r w:rsidRPr="000C6009">
        <w:rPr>
          <w:rFonts w:asciiTheme="minorHAnsi" w:hAnsiTheme="minorHAnsi" w:cstheme="minorHAnsi"/>
          <w:color w:val="242424"/>
          <w:sz w:val="22"/>
          <w:szCs w:val="22"/>
        </w:rPr>
        <w:fldChar w:fldCharType="separate"/>
      </w:r>
      <w:r w:rsidR="00670903" w:rsidRPr="00670903">
        <w:rPr>
          <w:rFonts w:asciiTheme="minorHAnsi" w:hAnsiTheme="minorHAnsi" w:cstheme="minorHAnsi"/>
          <w:color w:val="242424"/>
          <w:sz w:val="22"/>
          <w:szCs w:val="22"/>
        </w:rPr>
        <w:t>Tabella 21</w:t>
      </w:r>
      <w:r w:rsidRPr="000C6009">
        <w:rPr>
          <w:rFonts w:asciiTheme="minorHAnsi" w:hAnsiTheme="minorHAnsi" w:cstheme="minorHAnsi"/>
          <w:color w:val="242424"/>
          <w:sz w:val="22"/>
          <w:szCs w:val="22"/>
        </w:rPr>
        <w:fldChar w:fldCharType="end"/>
      </w:r>
      <w:r w:rsidRPr="000C6009">
        <w:rPr>
          <w:rFonts w:asciiTheme="minorHAnsi" w:hAnsiTheme="minorHAnsi" w:cstheme="minorHAnsi"/>
          <w:color w:val="242424"/>
          <w:sz w:val="22"/>
          <w:szCs w:val="22"/>
        </w:rPr>
        <w:t xml:space="preserve"> e nella </w:t>
      </w:r>
      <w:r w:rsidRPr="000C6009">
        <w:rPr>
          <w:rFonts w:asciiTheme="minorHAnsi" w:hAnsiTheme="minorHAnsi" w:cstheme="minorHAnsi"/>
          <w:color w:val="242424"/>
          <w:sz w:val="22"/>
          <w:szCs w:val="22"/>
        </w:rPr>
        <w:fldChar w:fldCharType="begin"/>
      </w:r>
      <w:r w:rsidRPr="000C6009">
        <w:rPr>
          <w:rFonts w:asciiTheme="minorHAnsi" w:hAnsiTheme="minorHAnsi" w:cstheme="minorHAnsi"/>
          <w:color w:val="242424"/>
          <w:sz w:val="22"/>
          <w:szCs w:val="22"/>
        </w:rPr>
        <w:instrText xml:space="preserve"> REF _Ref193383552 \h  \* MERGEFORMAT </w:instrText>
      </w:r>
      <w:r w:rsidRPr="000C6009">
        <w:rPr>
          <w:rFonts w:asciiTheme="minorHAnsi" w:hAnsiTheme="minorHAnsi" w:cstheme="minorHAnsi"/>
          <w:color w:val="242424"/>
          <w:sz w:val="22"/>
          <w:szCs w:val="22"/>
        </w:rPr>
      </w:r>
      <w:r w:rsidRPr="000C6009">
        <w:rPr>
          <w:rFonts w:asciiTheme="minorHAnsi" w:hAnsiTheme="minorHAnsi" w:cstheme="minorHAnsi"/>
          <w:color w:val="242424"/>
          <w:sz w:val="22"/>
          <w:szCs w:val="22"/>
        </w:rPr>
        <w:fldChar w:fldCharType="separate"/>
      </w:r>
      <w:r w:rsidR="00670903" w:rsidRPr="00670903">
        <w:rPr>
          <w:rFonts w:asciiTheme="minorHAnsi" w:hAnsiTheme="minorHAnsi" w:cstheme="minorHAnsi"/>
          <w:color w:val="242424"/>
          <w:sz w:val="22"/>
          <w:szCs w:val="22"/>
        </w:rPr>
        <w:t>Tabella 22</w:t>
      </w:r>
      <w:r w:rsidRPr="000C6009">
        <w:rPr>
          <w:rFonts w:asciiTheme="minorHAnsi" w:hAnsiTheme="minorHAnsi" w:cstheme="minorHAnsi"/>
          <w:color w:val="242424"/>
          <w:sz w:val="22"/>
          <w:szCs w:val="22"/>
        </w:rPr>
        <w:fldChar w:fldCharType="end"/>
      </w:r>
      <w:r w:rsidRPr="000C6009">
        <w:rPr>
          <w:rFonts w:asciiTheme="minorHAnsi" w:hAnsiTheme="minorHAnsi" w:cstheme="minorHAnsi"/>
          <w:color w:val="242424"/>
          <w:sz w:val="22"/>
          <w:szCs w:val="22"/>
        </w:rPr>
        <w:t xml:space="preserve"> sono esposti in forma più sintetica i valori assoluti e le quote percentuali (autocontenimento) degli spostamenti specifici delle due zone individuate dall’assegnazione dei Comuni in ADD, a raffronto con il Bacino complessivo.</w:t>
      </w:r>
    </w:p>
    <w:p w14:paraId="16617483"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p>
    <w:p w14:paraId="33BF81E8"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noProof/>
        </w:rPr>
        <w:drawing>
          <wp:inline distT="0" distB="0" distL="0" distR="0" wp14:anchorId="3232B10A" wp14:editId="5DBEAD10">
            <wp:extent cx="5819775" cy="718823"/>
            <wp:effectExtent l="0" t="0" r="0" b="5080"/>
            <wp:docPr id="81662372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33822" cy="720558"/>
                    </a:xfrm>
                    <a:prstGeom prst="rect">
                      <a:avLst/>
                    </a:prstGeom>
                    <a:noFill/>
                    <a:ln>
                      <a:noFill/>
                    </a:ln>
                  </pic:spPr>
                </pic:pic>
              </a:graphicData>
            </a:graphic>
          </wp:inline>
        </w:drawing>
      </w:r>
    </w:p>
    <w:p w14:paraId="54E78396" w14:textId="56503681" w:rsidR="00826A3D" w:rsidRDefault="00826A3D" w:rsidP="00826A3D">
      <w:pPr>
        <w:pStyle w:val="Didascalia"/>
        <w:spacing w:after="0"/>
        <w:jc w:val="center"/>
        <w:rPr>
          <w:rFonts w:cstheme="minorHAnsi"/>
        </w:rPr>
      </w:pPr>
      <w:bookmarkStart w:id="158" w:name="_Ref193383545"/>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21</w:t>
      </w:r>
      <w:r w:rsidRPr="000C6009">
        <w:rPr>
          <w:rFonts w:cstheme="minorHAnsi"/>
          <w:noProof/>
        </w:rPr>
        <w:fldChar w:fldCharType="end"/>
      </w:r>
      <w:bookmarkEnd w:id="158"/>
      <w:r w:rsidRPr="000C6009">
        <w:rPr>
          <w:rFonts w:cstheme="minorHAnsi"/>
        </w:rPr>
        <w:t>– Mobilità specifica delle zone individuate – valori assoluti degli spostamenti</w:t>
      </w:r>
    </w:p>
    <w:p w14:paraId="13230983" w14:textId="77777777" w:rsidR="005973F8" w:rsidRPr="005973F8" w:rsidRDefault="005973F8" w:rsidP="005973F8"/>
    <w:p w14:paraId="50AFF752" w14:textId="77777777" w:rsidR="00826A3D" w:rsidRPr="000C6009" w:rsidRDefault="00826A3D" w:rsidP="00826A3D">
      <w:pPr>
        <w:spacing w:before="120" w:after="0" w:line="240" w:lineRule="auto"/>
        <w:rPr>
          <w:rFonts w:cstheme="minorHAnsi"/>
        </w:rPr>
      </w:pPr>
      <w:r w:rsidRPr="000C6009">
        <w:rPr>
          <w:rFonts w:cstheme="minorHAnsi"/>
          <w:noProof/>
        </w:rPr>
        <w:drawing>
          <wp:inline distT="0" distB="0" distL="0" distR="0" wp14:anchorId="7702363F" wp14:editId="2AE7FD42">
            <wp:extent cx="5835174" cy="720725"/>
            <wp:effectExtent l="0" t="0" r="0" b="3175"/>
            <wp:docPr id="29294544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38749" cy="721167"/>
                    </a:xfrm>
                    <a:prstGeom prst="rect">
                      <a:avLst/>
                    </a:prstGeom>
                    <a:noFill/>
                    <a:ln>
                      <a:noFill/>
                    </a:ln>
                  </pic:spPr>
                </pic:pic>
              </a:graphicData>
            </a:graphic>
          </wp:inline>
        </w:drawing>
      </w:r>
    </w:p>
    <w:p w14:paraId="09AFD8DD" w14:textId="5AF74C45" w:rsidR="00826A3D" w:rsidRPr="000C6009" w:rsidRDefault="00826A3D" w:rsidP="00826A3D">
      <w:pPr>
        <w:pStyle w:val="Didascalia"/>
        <w:spacing w:after="0"/>
        <w:jc w:val="center"/>
        <w:rPr>
          <w:rFonts w:cstheme="minorHAnsi"/>
        </w:rPr>
      </w:pPr>
      <w:bookmarkStart w:id="159" w:name="_Ref193383552"/>
      <w:r w:rsidRPr="000C6009">
        <w:rPr>
          <w:rFonts w:cstheme="minorHAnsi"/>
        </w:rPr>
        <w:t xml:space="preserve">Tabella </w:t>
      </w:r>
      <w:r w:rsidRPr="000C6009">
        <w:rPr>
          <w:rFonts w:cstheme="minorHAnsi"/>
        </w:rPr>
        <w:fldChar w:fldCharType="begin"/>
      </w:r>
      <w:r w:rsidRPr="000C6009">
        <w:rPr>
          <w:rFonts w:cstheme="minorHAnsi"/>
        </w:rPr>
        <w:instrText xml:space="preserve"> SEQ Tabella \* ARABIC </w:instrText>
      </w:r>
      <w:r w:rsidRPr="000C6009">
        <w:rPr>
          <w:rFonts w:cstheme="minorHAnsi"/>
        </w:rPr>
        <w:fldChar w:fldCharType="separate"/>
      </w:r>
      <w:r w:rsidR="00670903">
        <w:rPr>
          <w:rFonts w:cstheme="minorHAnsi"/>
          <w:noProof/>
        </w:rPr>
        <w:t>22</w:t>
      </w:r>
      <w:r w:rsidRPr="000C6009">
        <w:rPr>
          <w:rFonts w:cstheme="minorHAnsi"/>
          <w:noProof/>
        </w:rPr>
        <w:fldChar w:fldCharType="end"/>
      </w:r>
      <w:bookmarkEnd w:id="159"/>
      <w:r w:rsidRPr="000C6009">
        <w:rPr>
          <w:rFonts w:cstheme="minorHAnsi"/>
        </w:rPr>
        <w:t>– Mobilità specifica delle zone</w:t>
      </w:r>
      <w:r w:rsidRPr="000C6009">
        <w:rPr>
          <w:rFonts w:cstheme="minorHAnsi"/>
          <w:i w:val="0"/>
          <w:iCs w:val="0"/>
        </w:rPr>
        <w:t xml:space="preserve"> </w:t>
      </w:r>
      <w:r w:rsidRPr="000C6009">
        <w:rPr>
          <w:rFonts w:cstheme="minorHAnsi"/>
        </w:rPr>
        <w:t>individuate – valori relativi, quote degli spostamenti</w:t>
      </w:r>
    </w:p>
    <w:p w14:paraId="3A1F421E"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p>
    <w:p w14:paraId="5C385CB4"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Si può osservare che circa tre quarti degli spostamenti originati e/o destinati nei Comuni in ADD sono localizzati all’interno del Bacino Sud Est, e la quota di spostamenti verso il resto delle province piemontesi e l’esterno del Piemonte è inferiore rispetto al complementare raggruppamento di comuni del bacino, denotando quindi una mobilità con maggiore prossimità. È ancora opportuno rammentare che i valori presentati sono privi degli spostamenti interni ai comuni.</w:t>
      </w:r>
    </w:p>
    <w:p w14:paraId="79493D21" w14:textId="77777777" w:rsidR="00826A3D" w:rsidRPr="000C6009" w:rsidRDefault="00826A3D" w:rsidP="00826A3D">
      <w:pPr>
        <w:pStyle w:val="Titolo3"/>
        <w:ind w:left="709"/>
        <w:rPr>
          <w:rFonts w:asciiTheme="minorHAnsi" w:hAnsiTheme="minorHAnsi" w:cstheme="minorHAnsi"/>
        </w:rPr>
      </w:pPr>
      <w:bookmarkStart w:id="160" w:name="_Toc193195294"/>
      <w:bookmarkStart w:id="161" w:name="_Toc361608289"/>
      <w:bookmarkStart w:id="162" w:name="_Toc197695673"/>
      <w:bookmarkStart w:id="163" w:name="_Toc204616486"/>
      <w:bookmarkStart w:id="164" w:name="_Toc205213717"/>
      <w:r w:rsidRPr="000C6009">
        <w:rPr>
          <w:rFonts w:asciiTheme="minorHAnsi" w:hAnsiTheme="minorHAnsi" w:cstheme="minorHAnsi"/>
        </w:rPr>
        <w:t>Osservazioni generali sull’interpretazione dei dati da piattaforme Big Data</w:t>
      </w:r>
      <w:bookmarkEnd w:id="160"/>
      <w:bookmarkEnd w:id="161"/>
      <w:bookmarkEnd w:id="162"/>
      <w:bookmarkEnd w:id="163"/>
      <w:bookmarkEnd w:id="164"/>
    </w:p>
    <w:p w14:paraId="09BB0FBB"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 xml:space="preserve">A ulteriore commento di quanto già osservato e per una maggiore comprensione dei dati sopra esposti, vale la pena riportare un passo relativo alle </w:t>
      </w:r>
      <w:r w:rsidRPr="000C6009">
        <w:rPr>
          <w:rFonts w:asciiTheme="minorHAnsi" w:hAnsiTheme="minorHAnsi" w:cstheme="minorHAnsi"/>
          <w:i/>
          <w:iCs/>
          <w:color w:val="242424"/>
          <w:sz w:val="22"/>
          <w:szCs w:val="22"/>
        </w:rPr>
        <w:t>Fonti informative</w:t>
      </w:r>
      <w:r w:rsidRPr="000C6009">
        <w:rPr>
          <w:rFonts w:asciiTheme="minorHAnsi" w:hAnsiTheme="minorHAnsi" w:cstheme="minorHAnsi"/>
          <w:color w:val="242424"/>
          <w:sz w:val="22"/>
          <w:szCs w:val="22"/>
        </w:rPr>
        <w:t xml:space="preserve"> del saggio </w:t>
      </w:r>
      <w:r w:rsidRPr="000C6009">
        <w:rPr>
          <w:rFonts w:asciiTheme="minorHAnsi" w:hAnsiTheme="minorHAnsi" w:cstheme="minorHAnsi"/>
          <w:i/>
          <w:iCs/>
          <w:color w:val="242424"/>
          <w:sz w:val="22"/>
          <w:szCs w:val="22"/>
        </w:rPr>
        <w:t>La domanda di mobilità passeggeri</w:t>
      </w:r>
      <w:r w:rsidRPr="000C6009">
        <w:rPr>
          <w:rFonts w:asciiTheme="minorHAnsi" w:hAnsiTheme="minorHAnsi" w:cstheme="minorHAnsi"/>
          <w:color w:val="242424"/>
          <w:sz w:val="22"/>
          <w:szCs w:val="22"/>
        </w:rPr>
        <w:t xml:space="preserve"> di Andrea Debernardi, contenuto nell’</w:t>
      </w:r>
      <w:r w:rsidRPr="000C6009">
        <w:rPr>
          <w:rFonts w:asciiTheme="minorHAnsi" w:hAnsiTheme="minorHAnsi" w:cstheme="minorHAnsi"/>
          <w:i/>
          <w:iCs/>
          <w:color w:val="242424"/>
          <w:sz w:val="22"/>
          <w:szCs w:val="22"/>
        </w:rPr>
        <w:t>Atlante dei trasporti italiani Infrastrutture - Offerta - Domanda</w:t>
      </w:r>
      <w:r w:rsidRPr="000C6009">
        <w:rPr>
          <w:rFonts w:asciiTheme="minorHAnsi" w:hAnsiTheme="minorHAnsi" w:cstheme="minorHAnsi"/>
          <w:color w:val="242424"/>
          <w:sz w:val="22"/>
          <w:szCs w:val="22"/>
        </w:rPr>
        <w:t xml:space="preserve"> (pagg. 152, 153) edito a cura di Paolo Beria e del Laboratorio di Politica dei Trasporti del Politecnico di Milano:</w:t>
      </w:r>
    </w:p>
    <w:p w14:paraId="68572C68"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p>
    <w:p w14:paraId="734F89D0" w14:textId="77777777" w:rsidR="00826A3D" w:rsidRPr="000C6009" w:rsidRDefault="00826A3D" w:rsidP="00826A3D">
      <w:pPr>
        <w:spacing w:before="120" w:after="0" w:line="240" w:lineRule="auto"/>
        <w:ind w:firstLine="284"/>
        <w:rPr>
          <w:rFonts w:cstheme="minorHAnsi"/>
          <w:color w:val="0F6FC6" w:themeColor="accent1"/>
        </w:rPr>
      </w:pPr>
      <w:r w:rsidRPr="000C6009">
        <w:rPr>
          <w:rFonts w:cstheme="minorHAnsi"/>
          <w:color w:val="0F6FC6" w:themeColor="accent1"/>
        </w:rPr>
        <w:t>ATLANTE TRASPORTI – pag. 152-153</w:t>
      </w:r>
    </w:p>
    <w:p w14:paraId="4D66F051" w14:textId="77777777" w:rsidR="00826A3D" w:rsidRPr="000C6009" w:rsidRDefault="00826A3D" w:rsidP="00826A3D">
      <w:pPr>
        <w:pStyle w:val="Stile5"/>
        <w:spacing w:before="120"/>
        <w:ind w:right="0"/>
        <w:rPr>
          <w:rFonts w:asciiTheme="minorHAnsi" w:hAnsiTheme="minorHAnsi" w:cstheme="minorHAnsi"/>
          <w:i/>
        </w:rPr>
      </w:pPr>
      <w:r w:rsidRPr="000C6009">
        <w:rPr>
          <w:rFonts w:asciiTheme="minorHAnsi" w:hAnsiTheme="minorHAnsi" w:cstheme="minorHAnsi"/>
          <w:i/>
        </w:rPr>
        <w:t>«Nel corso degli ultimi anni la disponibilità di Big Data (come le tracce dei sistemi GSM o GPS presenti nei telefonini e su molti veicoli) hanno incrementato di molto la possibilità di analizzare i fenomeni di mobilità a livello sia micro che macroscopico.</w:t>
      </w:r>
    </w:p>
    <w:p w14:paraId="011E21BB" w14:textId="77777777" w:rsidR="00826A3D" w:rsidRPr="000C6009" w:rsidRDefault="00826A3D" w:rsidP="00826A3D">
      <w:pPr>
        <w:pStyle w:val="Stile5"/>
        <w:ind w:right="0"/>
        <w:rPr>
          <w:rFonts w:asciiTheme="minorHAnsi" w:hAnsiTheme="minorHAnsi" w:cstheme="minorHAnsi"/>
          <w:i/>
        </w:rPr>
      </w:pPr>
      <w:r w:rsidRPr="000C6009">
        <w:rPr>
          <w:rFonts w:asciiTheme="minorHAnsi" w:hAnsiTheme="minorHAnsi" w:cstheme="minorHAnsi"/>
          <w:i/>
        </w:rPr>
        <w:t>Permangono tuttavia numerosi problemi relativi</w:t>
      </w:r>
    </w:p>
    <w:p w14:paraId="7C00AF4A" w14:textId="77777777" w:rsidR="00826A3D" w:rsidRPr="000C6009" w:rsidRDefault="00826A3D" w:rsidP="00826A3D">
      <w:pPr>
        <w:pStyle w:val="Stile5"/>
        <w:ind w:right="0"/>
        <w:rPr>
          <w:rFonts w:asciiTheme="minorHAnsi" w:hAnsiTheme="minorHAnsi" w:cstheme="minorHAnsi"/>
          <w:i/>
        </w:rPr>
      </w:pPr>
      <w:r w:rsidRPr="000C6009">
        <w:rPr>
          <w:rFonts w:asciiTheme="minorHAnsi" w:hAnsiTheme="minorHAnsi" w:cstheme="minorHAnsi"/>
          <w:i/>
        </w:rPr>
        <w:t>•</w:t>
      </w:r>
      <w:r w:rsidRPr="000C6009">
        <w:rPr>
          <w:rFonts w:asciiTheme="minorHAnsi" w:hAnsiTheme="minorHAnsi" w:cstheme="minorHAnsi"/>
          <w:i/>
        </w:rPr>
        <w:tab/>
        <w:t>da un lato alle modalità di campionamento, potenzialmente distorte dato il diverso livello di dotazione di questi dispositivi;</w:t>
      </w:r>
    </w:p>
    <w:p w14:paraId="4151981B" w14:textId="77777777" w:rsidR="00826A3D" w:rsidRPr="000C6009" w:rsidRDefault="00826A3D" w:rsidP="00826A3D">
      <w:pPr>
        <w:pStyle w:val="Stile5"/>
        <w:ind w:right="0"/>
        <w:rPr>
          <w:rFonts w:asciiTheme="minorHAnsi" w:hAnsiTheme="minorHAnsi" w:cstheme="minorHAnsi"/>
          <w:i/>
        </w:rPr>
      </w:pPr>
      <w:r w:rsidRPr="000C6009">
        <w:rPr>
          <w:rFonts w:asciiTheme="minorHAnsi" w:hAnsiTheme="minorHAnsi" w:cstheme="minorHAnsi"/>
          <w:i/>
        </w:rPr>
        <w:t>•</w:t>
      </w:r>
      <w:r w:rsidRPr="000C6009">
        <w:rPr>
          <w:rFonts w:asciiTheme="minorHAnsi" w:hAnsiTheme="minorHAnsi" w:cstheme="minorHAnsi"/>
          <w:i/>
        </w:rPr>
        <w:tab/>
        <w:t>dall’altro all’interpretazione dei dati, soggetti tra l’altro a limiti importanti di privacy (ad esempio non è fortunatamente possibile conoscere i motivi dei singoli spostamenti).</w:t>
      </w:r>
    </w:p>
    <w:p w14:paraId="72450A50" w14:textId="77777777" w:rsidR="00826A3D" w:rsidRPr="000C6009" w:rsidRDefault="00826A3D" w:rsidP="00826A3D">
      <w:pPr>
        <w:pStyle w:val="Stile5"/>
        <w:ind w:right="0"/>
        <w:rPr>
          <w:rFonts w:asciiTheme="minorHAnsi" w:hAnsiTheme="minorHAnsi" w:cstheme="minorHAnsi"/>
          <w:i/>
        </w:rPr>
      </w:pPr>
      <w:r w:rsidRPr="000C6009">
        <w:rPr>
          <w:rFonts w:asciiTheme="minorHAnsi" w:hAnsiTheme="minorHAnsi" w:cstheme="minorHAnsi"/>
          <w:i/>
        </w:rPr>
        <w:t>Tali tecniche rappresentano pertanto, al momento, un’utile integrazione dei tradizionali metodi di rilevazioni statistiche, senza riuscire ancora a delineare un quadro analitico in sé e per sé risolutivo.»</w:t>
      </w:r>
    </w:p>
    <w:p w14:paraId="5DA99C57"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L’Atlante è stato edito nel 2018, tuttavia le considerazioni citate continuano ad essere valide al momento in cui vengono scritte queste note.</w:t>
      </w:r>
    </w:p>
    <w:p w14:paraId="4EDFAA6B"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In particolare, l’interpretazione dei dati costituisce un problema ineludibile: la stessa definizione di spostamento che, nelle rilevazioni con i tradizionali metodi statistici, viene inteso come movimento da un unico e univoco punto nello spazio (origine) ad un altro unico e univoco punto nello spazio (destinazione) esplicato per una unica ed univoca motivazione (scopo) non può essere applicata nel nuovo contesto dei Big Data.</w:t>
      </w:r>
    </w:p>
    <w:p w14:paraId="7599AB87"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Ciò, ad esempio, mette in crisi la possibilità di confrontare tout court, senza analisi critica, informazioni di mobilità in valore assoluto provenienti dal tracciamento di SIM della telefonia mobile con informazioni in valore assoluto provenienti dalle altre fonti tradizionali (indagini, conteggi, vendita di titoli di viaggio e loro validazioni).</w:t>
      </w:r>
    </w:p>
    <w:p w14:paraId="23564006"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In sostanza:</w:t>
      </w:r>
    </w:p>
    <w:p w14:paraId="3EE2E1E6" w14:textId="77777777" w:rsidR="00826A3D" w:rsidRPr="000C6009" w:rsidRDefault="00826A3D" w:rsidP="00826A3D">
      <w:pPr>
        <w:pStyle w:val="NormaleWeb"/>
        <w:numPr>
          <w:ilvl w:val="0"/>
          <w:numId w:val="32"/>
        </w:numPr>
        <w:spacing w:before="120" w:after="0" w:line="240" w:lineRule="auto"/>
        <w:ind w:left="714" w:hanging="357"/>
        <w:rPr>
          <w:rFonts w:asciiTheme="minorHAnsi" w:hAnsiTheme="minorHAnsi" w:cstheme="minorHAnsi"/>
          <w:color w:val="242424"/>
          <w:sz w:val="22"/>
          <w:szCs w:val="22"/>
        </w:rPr>
      </w:pPr>
      <w:r w:rsidRPr="000C6009">
        <w:rPr>
          <w:rFonts w:asciiTheme="minorHAnsi" w:hAnsiTheme="minorHAnsi" w:cstheme="minorHAnsi"/>
          <w:color w:val="242424"/>
          <w:sz w:val="22"/>
          <w:szCs w:val="22"/>
        </w:rPr>
        <w:t>non sono di dominio pubblico descrizioni sufficientemente precise delle metodologie con le quali vengono individuate dall’operatore telefonico le “origini” e le “destinazioni” delle SIM presenti in un dato intervallo di tempo in una data “cella” di territorio;</w:t>
      </w:r>
    </w:p>
    <w:p w14:paraId="2101057B" w14:textId="77777777" w:rsidR="00826A3D" w:rsidRPr="000C6009" w:rsidRDefault="00826A3D" w:rsidP="00826A3D">
      <w:pPr>
        <w:pStyle w:val="NormaleWeb"/>
        <w:numPr>
          <w:ilvl w:val="0"/>
          <w:numId w:val="32"/>
        </w:numPr>
        <w:spacing w:before="120" w:after="0" w:line="240" w:lineRule="auto"/>
        <w:ind w:left="714" w:hanging="357"/>
        <w:rPr>
          <w:rFonts w:asciiTheme="minorHAnsi" w:hAnsiTheme="minorHAnsi" w:cstheme="minorHAnsi"/>
          <w:color w:val="242424"/>
          <w:sz w:val="22"/>
          <w:szCs w:val="22"/>
        </w:rPr>
      </w:pPr>
      <w:r w:rsidRPr="000C6009">
        <w:rPr>
          <w:rFonts w:asciiTheme="minorHAnsi" w:hAnsiTheme="minorHAnsi" w:cstheme="minorHAnsi"/>
          <w:color w:val="242424"/>
          <w:sz w:val="22"/>
          <w:szCs w:val="22"/>
        </w:rPr>
        <w:t xml:space="preserve">non è quindi possibile assimilare a priori ad uno “spostamento origine-destinazione” - come comunemente inteso nelle indagini e nelle valutazioni di mobilità - l’analogo spostamento con </w:t>
      </w:r>
      <w:r w:rsidRPr="000C6009">
        <w:rPr>
          <w:rFonts w:asciiTheme="minorHAnsi" w:hAnsiTheme="minorHAnsi" w:cstheme="minorHAnsi"/>
          <w:color w:val="242424"/>
          <w:sz w:val="22"/>
          <w:szCs w:val="22"/>
        </w:rPr>
        <w:lastRenderedPageBreak/>
        <w:t>origine e destinazione associata alla “zona di presenza” di una SIM in un dato intervallo di tempo;</w:t>
      </w:r>
    </w:p>
    <w:p w14:paraId="3F3BF9C1" w14:textId="77777777" w:rsidR="00826A3D" w:rsidRPr="000C6009" w:rsidRDefault="00826A3D" w:rsidP="00826A3D">
      <w:pPr>
        <w:pStyle w:val="NormaleWeb"/>
        <w:numPr>
          <w:ilvl w:val="0"/>
          <w:numId w:val="32"/>
        </w:numPr>
        <w:spacing w:before="120" w:after="0" w:line="240" w:lineRule="auto"/>
        <w:ind w:left="714" w:hanging="357"/>
        <w:rPr>
          <w:rFonts w:asciiTheme="minorHAnsi" w:hAnsiTheme="minorHAnsi" w:cstheme="minorHAnsi"/>
          <w:color w:val="242424"/>
          <w:sz w:val="22"/>
          <w:szCs w:val="22"/>
        </w:rPr>
      </w:pPr>
      <w:r w:rsidRPr="000C6009">
        <w:rPr>
          <w:rFonts w:asciiTheme="minorHAnsi" w:hAnsiTheme="minorHAnsi" w:cstheme="minorHAnsi"/>
          <w:color w:val="242424"/>
          <w:sz w:val="22"/>
          <w:szCs w:val="22"/>
        </w:rPr>
        <w:t>non sono inoltre di dominio pubblico descrizioni sufficientemente precise dei metodi utilizzati per l’espansione all’universo (di tutte le persone che si spostano in una data area) delle informazioni provenienti dalle sole SIM attive (in quell’area) appartenenti all’operatore telefonico che fornisce i dati;</w:t>
      </w:r>
    </w:p>
    <w:p w14:paraId="7AE9322F" w14:textId="77777777" w:rsidR="00826A3D" w:rsidRPr="000C6009" w:rsidRDefault="00826A3D" w:rsidP="00826A3D">
      <w:pPr>
        <w:pStyle w:val="NormaleWeb"/>
        <w:numPr>
          <w:ilvl w:val="0"/>
          <w:numId w:val="32"/>
        </w:numPr>
        <w:spacing w:before="120" w:after="0" w:line="240" w:lineRule="auto"/>
        <w:ind w:left="714" w:hanging="357"/>
        <w:rPr>
          <w:rFonts w:asciiTheme="minorHAnsi" w:hAnsiTheme="minorHAnsi" w:cstheme="minorHAnsi"/>
          <w:color w:val="242424"/>
          <w:sz w:val="22"/>
          <w:szCs w:val="22"/>
        </w:rPr>
      </w:pPr>
      <w:r w:rsidRPr="000C6009">
        <w:rPr>
          <w:rFonts w:asciiTheme="minorHAnsi" w:hAnsiTheme="minorHAnsi" w:cstheme="minorHAnsi"/>
          <w:color w:val="242424"/>
          <w:sz w:val="22"/>
          <w:szCs w:val="22"/>
        </w:rPr>
        <w:t>quindi, allo stato attuale delle conoscenze, risulta che le informazioni di mobilità ottenibili dal tracciamento delle SIM della telefonia mobile non sono misurate con la stessa metrica adottata con i tradizionali metodi di rilevazione statistica adottati nelle altre comuni fonti di informazione (indagini, conteggi, vendita di titoli di viaggio e loro validazioni).</w:t>
      </w:r>
    </w:p>
    <w:p w14:paraId="5F372371"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I dati ricavati da questa fonte risultano dunque di difficile raffronto, se anche sensato, con quelli provenienti dalle fonti tradizionali, perlomeno in valore assoluto; possono risultare invece uno strumento più appropriato per rilevare variazioni (relative) tra “aggregazioni” all’interno di una “fotografia” di mobilità (come nel caso qui trattato), o nel tempo rispetto ad una situazione di riferimento, sempre che la metrica di misurazione rimanga uniforme.</w:t>
      </w:r>
    </w:p>
    <w:p w14:paraId="61579551"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Una questione fondamentale nelle indagini sulla mobilità, come l’IMQ, riguarda le motivazioni degli spostamenti, poiché comprendere perché le persone si spostano aiuta a identificare i modelli di mobilità e a prevedere le tendenze future, il che è utile per sviluppare politiche di mobilità sostenibile e ridurre il traffico e l'inquinamento, oltre a influenzare la percezione della qualità del servizio di trasporto, dato che chi viaggia per lavoro potrebbe avere aspettative diverse rispetto a chi viaggia per svago.</w:t>
      </w:r>
    </w:p>
    <w:p w14:paraId="78083A82"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Nel contesto della citazione dell’”Atlante Trasporti”, la parola "</w:t>
      </w:r>
      <w:r w:rsidRPr="000C6009">
        <w:rPr>
          <w:rFonts w:asciiTheme="minorHAnsi" w:hAnsiTheme="minorHAnsi" w:cstheme="minorHAnsi"/>
          <w:b/>
          <w:i/>
          <w:sz w:val="22"/>
          <w:szCs w:val="22"/>
        </w:rPr>
        <w:t>fortunatamente</w:t>
      </w:r>
      <w:r w:rsidRPr="000C6009">
        <w:rPr>
          <w:rFonts w:asciiTheme="minorHAnsi" w:hAnsiTheme="minorHAnsi" w:cstheme="minorHAnsi"/>
          <w:color w:val="242424"/>
          <w:sz w:val="22"/>
          <w:szCs w:val="22"/>
        </w:rPr>
        <w:t>" è utilizzata per sottolineare un aspetto positivo legato alla privacy dei dati. L'autore sta evidenziando che, nonostante l'ampia disponibilità di dati di mobilità grazie ai sistemi GSM e GPS, esistono ancora importanti limiti di privacy che impediscono di conoscere i motivi specifici degli spostamenti individuali.</w:t>
      </w:r>
    </w:p>
    <w:p w14:paraId="6EB9979E"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L'uso di "</w:t>
      </w:r>
      <w:r w:rsidRPr="000C6009">
        <w:rPr>
          <w:rFonts w:asciiTheme="minorHAnsi" w:hAnsiTheme="minorHAnsi" w:cstheme="minorHAnsi"/>
          <w:b/>
          <w:i/>
          <w:sz w:val="22"/>
          <w:szCs w:val="22"/>
        </w:rPr>
        <w:t>fortunatamente</w:t>
      </w:r>
      <w:r w:rsidRPr="000C6009">
        <w:rPr>
          <w:rFonts w:asciiTheme="minorHAnsi" w:hAnsiTheme="minorHAnsi" w:cstheme="minorHAnsi"/>
          <w:sz w:val="22"/>
          <w:szCs w:val="22"/>
        </w:rPr>
        <w:t xml:space="preserve">" </w:t>
      </w:r>
      <w:r w:rsidRPr="000C6009">
        <w:rPr>
          <w:rFonts w:asciiTheme="minorHAnsi" w:hAnsiTheme="minorHAnsi" w:cstheme="minorHAnsi"/>
          <w:color w:val="242424"/>
          <w:sz w:val="22"/>
          <w:szCs w:val="22"/>
        </w:rPr>
        <w:t>implica che l'autore consideri positivo il fatto che questi dati non rivelino informazioni troppo dettagliate o personali, proteggendo così la privacy degli individui. Questo è visto come un vantaggio, poiché evita potenziali abusi o invasioni della privacy.</w:t>
      </w:r>
    </w:p>
    <w:p w14:paraId="60FA751E" w14:textId="77777777" w:rsidR="00826A3D" w:rsidRPr="000C6009"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È pertanto importante riconoscere che i dati ottenuti dai sistemi di telefonia mobile offrono solo una visione parziale della domanda di mobilità. Questi dati, pur essendo utili, non possono fornire informazioni complete sui motivi degli spostamenti. Pertanto, è necessario integrarli con altre fonti e metodi di rilevazione per ottenere un quadro più completo e accurato della mobilità.</w:t>
      </w:r>
    </w:p>
    <w:p w14:paraId="036BEF52" w14:textId="77777777" w:rsidR="00826A3D" w:rsidRDefault="00826A3D" w:rsidP="00826A3D">
      <w:pPr>
        <w:pStyle w:val="NormaleWeb"/>
        <w:spacing w:before="120" w:after="0" w:line="240" w:lineRule="auto"/>
        <w:rPr>
          <w:rFonts w:asciiTheme="minorHAnsi" w:hAnsiTheme="minorHAnsi" w:cstheme="minorHAnsi"/>
          <w:color w:val="242424"/>
          <w:sz w:val="22"/>
          <w:szCs w:val="22"/>
        </w:rPr>
      </w:pPr>
      <w:r w:rsidRPr="000C6009">
        <w:rPr>
          <w:rFonts w:asciiTheme="minorHAnsi" w:hAnsiTheme="minorHAnsi" w:cstheme="minorHAnsi"/>
          <w:color w:val="242424"/>
          <w:sz w:val="22"/>
          <w:szCs w:val="22"/>
        </w:rPr>
        <w:t>Si sottolinea come i comportamenti di mobilità stiano subendo una trasformazione significativa, influenzata dalle generazioni più recenti che adottano approcci diversi rispetto alle generazioni precedenti. Le nuove generazioni tendono a privilegiare modalità di trasporto più sostenibili, come l'uso di servizi di sharing e il trasporto pubblico, rispetto all'uso dell'auto privata. Essendo “</w:t>
      </w:r>
      <w:r w:rsidRPr="000C6009">
        <w:rPr>
          <w:rFonts w:asciiTheme="minorHAnsi" w:hAnsiTheme="minorHAnsi" w:cstheme="minorHAnsi"/>
          <w:i/>
          <w:color w:val="242424"/>
          <w:sz w:val="22"/>
          <w:szCs w:val="22"/>
        </w:rPr>
        <w:t>sempre connessi</w:t>
      </w:r>
      <w:r w:rsidRPr="000C6009">
        <w:rPr>
          <w:rFonts w:asciiTheme="minorHAnsi" w:hAnsiTheme="minorHAnsi" w:cstheme="minorHAnsi"/>
          <w:color w:val="242424"/>
          <w:sz w:val="22"/>
          <w:szCs w:val="22"/>
        </w:rPr>
        <w:t>”, è necessario indagare i loro comportamenti attraverso una revisione delle metodologie di indagine sulla mobilità, utilizzando tecniche più diversificate e innovative che includano l'analisi dei dati provenienti dalle piattaforme digitali, oltre ai metodi di rilevazione più tradizionali.</w:t>
      </w:r>
    </w:p>
    <w:p w14:paraId="34109198" w14:textId="77777777" w:rsidR="00872434" w:rsidRPr="009A243B" w:rsidRDefault="00872434" w:rsidP="00872434">
      <w:pPr>
        <w:pStyle w:val="Titolo2"/>
        <w:ind w:left="567"/>
      </w:pPr>
      <w:bookmarkStart w:id="165" w:name="_Toc193195295"/>
      <w:bookmarkStart w:id="166" w:name="_Toc279080213"/>
      <w:bookmarkStart w:id="167" w:name="_Toc197695674"/>
      <w:bookmarkStart w:id="168" w:name="_Toc204616487"/>
      <w:bookmarkStart w:id="169" w:name="_Toc205213718"/>
      <w:r w:rsidRPr="009A243B">
        <w:t xml:space="preserve">Frequentazioni del sistema di TPL del Bacino </w:t>
      </w:r>
      <w:bookmarkEnd w:id="165"/>
      <w:bookmarkEnd w:id="166"/>
      <w:bookmarkEnd w:id="167"/>
      <w:r w:rsidRPr="009A243B">
        <w:t>Sud Est</w:t>
      </w:r>
      <w:bookmarkEnd w:id="168"/>
      <w:bookmarkEnd w:id="169"/>
    </w:p>
    <w:p w14:paraId="7AAE3E05" w14:textId="77777777" w:rsidR="00872434" w:rsidRDefault="00872434" w:rsidP="00872434">
      <w:pPr>
        <w:spacing w:before="120" w:after="0" w:line="240" w:lineRule="auto"/>
      </w:pPr>
      <w:r w:rsidRPr="009A243B">
        <w:t xml:space="preserve">I Contratti di servizio che sono stati sviluppati in Piemonte hanno sempre previsto il monitoraggio delle frequentazioni del servizio; le aziende effettuavano annualmente le rilevazioni dei saliti e discesi attraverso 2 specifiche e contemporanee campagne di rilevazione: una condotta nella settimana tipo </w:t>
      </w:r>
      <w:r w:rsidRPr="009A243B">
        <w:lastRenderedPageBreak/>
        <w:t>di novembre e l’altra nella settimana tipo di luglio</w:t>
      </w:r>
      <w:r>
        <w:rPr>
          <w:rStyle w:val="Rimandonotaapidipagina"/>
        </w:rPr>
        <w:footnoteReference w:id="16"/>
      </w:r>
      <w:r w:rsidRPr="009A243B">
        <w:t>. Tali rilevazioni riguardavano in modo particolare i servizi extraurbani e i servizi urbani di piccole dimensioni.</w:t>
      </w:r>
    </w:p>
    <w:p w14:paraId="098E42CD" w14:textId="77777777" w:rsidR="00872434" w:rsidRDefault="00872434" w:rsidP="00872434">
      <w:pPr>
        <w:spacing w:before="120" w:after="0" w:line="240" w:lineRule="auto"/>
      </w:pPr>
      <w:r w:rsidRPr="009A243B">
        <w:t>Nella tabella seguente si riportano i dati rilevati nel</w:t>
      </w:r>
      <w:r>
        <w:t>le due campagne sviluppate nell’anno</w:t>
      </w:r>
      <w:r w:rsidRPr="009A243B">
        <w:t xml:space="preserve"> 2019</w:t>
      </w:r>
      <w:r>
        <w:t xml:space="preserve"> riportando il numero di passeggeri annui</w:t>
      </w:r>
      <w:r>
        <w:rPr>
          <w:rStyle w:val="Rimandonotaapidipagina"/>
        </w:rPr>
        <w:footnoteReference w:id="17"/>
      </w:r>
      <w:r w:rsidRPr="009A243B">
        <w:t>.</w:t>
      </w:r>
    </w:p>
    <w:p w14:paraId="31A5650D" w14:textId="77777777" w:rsidR="00872434" w:rsidRDefault="00872434" w:rsidP="00872434">
      <w:pPr>
        <w:spacing w:before="120" w:after="0" w:line="240" w:lineRule="auto"/>
      </w:pPr>
    </w:p>
    <w:tbl>
      <w:tblPr>
        <w:tblW w:w="9072" w:type="dxa"/>
        <w:tblCellMar>
          <w:left w:w="70" w:type="dxa"/>
          <w:right w:w="70" w:type="dxa"/>
        </w:tblCellMar>
        <w:tblLook w:val="04A0" w:firstRow="1" w:lastRow="0" w:firstColumn="1" w:lastColumn="0" w:noHBand="0" w:noVBand="1"/>
      </w:tblPr>
      <w:tblGrid>
        <w:gridCol w:w="5103"/>
        <w:gridCol w:w="1100"/>
        <w:gridCol w:w="1260"/>
        <w:gridCol w:w="1609"/>
      </w:tblGrid>
      <w:tr w:rsidR="00872434" w:rsidRPr="0065112A" w14:paraId="3E156B1F" w14:textId="77777777" w:rsidTr="002A21C0">
        <w:trPr>
          <w:trHeight w:val="600"/>
        </w:trPr>
        <w:tc>
          <w:tcPr>
            <w:tcW w:w="5103" w:type="dxa"/>
            <w:tcBorders>
              <w:top w:val="nil"/>
              <w:left w:val="nil"/>
              <w:bottom w:val="single" w:sz="4" w:space="0" w:color="BFBFBF"/>
              <w:right w:val="nil"/>
            </w:tcBorders>
            <w:shd w:val="clear" w:color="auto" w:fill="A5C34C" w:themeFill="accent6" w:themeFillShade="BF"/>
            <w:noWrap/>
            <w:vAlign w:val="center"/>
            <w:hideMark/>
          </w:tcPr>
          <w:p w14:paraId="31226E81" w14:textId="77777777" w:rsidR="00872434" w:rsidRPr="0065112A" w:rsidRDefault="00872434" w:rsidP="002A21C0">
            <w:pPr>
              <w:spacing w:after="0" w:line="240" w:lineRule="auto"/>
              <w:jc w:val="left"/>
              <w:rPr>
                <w:rFonts w:asciiTheme="majorHAnsi" w:eastAsia="Times New Roman" w:hAnsiTheme="majorHAnsi" w:cstheme="majorHAnsi"/>
                <w:b/>
                <w:bCs/>
              </w:rPr>
            </w:pPr>
            <w:r w:rsidRPr="0065112A">
              <w:rPr>
                <w:rFonts w:asciiTheme="majorHAnsi" w:eastAsia="Times New Roman" w:hAnsiTheme="majorHAnsi" w:cstheme="majorHAnsi"/>
                <w:b/>
                <w:bCs/>
              </w:rPr>
              <w:t>Passeggeri saliti 2019</w:t>
            </w:r>
          </w:p>
          <w:p w14:paraId="10F608FB" w14:textId="77777777" w:rsidR="00872434" w:rsidRPr="0065112A" w:rsidRDefault="00872434" w:rsidP="002A21C0">
            <w:pPr>
              <w:spacing w:after="0" w:line="240" w:lineRule="auto"/>
              <w:jc w:val="left"/>
              <w:rPr>
                <w:rFonts w:asciiTheme="majorHAnsi" w:eastAsia="Times New Roman" w:hAnsiTheme="majorHAnsi" w:cstheme="majorHAnsi"/>
                <w:b/>
                <w:bCs/>
              </w:rPr>
            </w:pPr>
            <w:r w:rsidRPr="0065112A">
              <w:rPr>
                <w:rFonts w:asciiTheme="majorHAnsi" w:eastAsia="Times New Roman" w:hAnsiTheme="majorHAnsi" w:cstheme="majorHAnsi"/>
                <w:b/>
                <w:bCs/>
              </w:rPr>
              <w:t>(mesi di luglio e novembre)</w:t>
            </w:r>
          </w:p>
        </w:tc>
        <w:tc>
          <w:tcPr>
            <w:tcW w:w="1100" w:type="dxa"/>
            <w:tcBorders>
              <w:top w:val="nil"/>
              <w:left w:val="nil"/>
              <w:bottom w:val="single" w:sz="4" w:space="0" w:color="BFBFBF"/>
              <w:right w:val="nil"/>
            </w:tcBorders>
            <w:shd w:val="clear" w:color="auto" w:fill="A5C34C" w:themeFill="accent6" w:themeFillShade="BF"/>
            <w:vAlign w:val="center"/>
            <w:hideMark/>
          </w:tcPr>
          <w:p w14:paraId="49C34EEA" w14:textId="77777777" w:rsidR="00872434" w:rsidRPr="0065112A" w:rsidRDefault="00872434" w:rsidP="002A21C0">
            <w:pPr>
              <w:spacing w:after="0" w:line="240" w:lineRule="auto"/>
              <w:jc w:val="center"/>
              <w:rPr>
                <w:rFonts w:asciiTheme="majorHAnsi" w:eastAsia="Times New Roman" w:hAnsiTheme="majorHAnsi" w:cstheme="majorHAnsi"/>
                <w:b/>
                <w:bCs/>
              </w:rPr>
            </w:pPr>
            <w:r w:rsidRPr="0065112A">
              <w:rPr>
                <w:rFonts w:asciiTheme="majorHAnsi" w:eastAsia="Times New Roman" w:hAnsiTheme="majorHAnsi" w:cstheme="majorHAnsi"/>
                <w:b/>
                <w:bCs/>
              </w:rPr>
              <w:t>Periodo estivo</w:t>
            </w:r>
          </w:p>
        </w:tc>
        <w:tc>
          <w:tcPr>
            <w:tcW w:w="1260" w:type="dxa"/>
            <w:tcBorders>
              <w:top w:val="nil"/>
              <w:left w:val="nil"/>
              <w:bottom w:val="single" w:sz="4" w:space="0" w:color="BFBFBF"/>
              <w:right w:val="nil"/>
            </w:tcBorders>
            <w:shd w:val="clear" w:color="auto" w:fill="A5C34C" w:themeFill="accent6" w:themeFillShade="BF"/>
            <w:vAlign w:val="center"/>
            <w:hideMark/>
          </w:tcPr>
          <w:p w14:paraId="64B736A8" w14:textId="77777777" w:rsidR="00872434" w:rsidRPr="0065112A" w:rsidRDefault="00872434" w:rsidP="002A21C0">
            <w:pPr>
              <w:spacing w:after="0" w:line="240" w:lineRule="auto"/>
              <w:jc w:val="center"/>
              <w:rPr>
                <w:rFonts w:asciiTheme="majorHAnsi" w:eastAsia="Times New Roman" w:hAnsiTheme="majorHAnsi" w:cstheme="majorHAnsi"/>
                <w:b/>
                <w:bCs/>
              </w:rPr>
            </w:pPr>
            <w:r w:rsidRPr="0065112A">
              <w:rPr>
                <w:rFonts w:asciiTheme="majorHAnsi" w:eastAsia="Times New Roman" w:hAnsiTheme="majorHAnsi" w:cstheme="majorHAnsi"/>
                <w:b/>
                <w:bCs/>
              </w:rPr>
              <w:t>Periodo invernale</w:t>
            </w:r>
          </w:p>
        </w:tc>
        <w:tc>
          <w:tcPr>
            <w:tcW w:w="1609" w:type="dxa"/>
            <w:tcBorders>
              <w:top w:val="nil"/>
              <w:left w:val="nil"/>
              <w:bottom w:val="single" w:sz="4" w:space="0" w:color="BFBFBF"/>
            </w:tcBorders>
            <w:shd w:val="clear" w:color="auto" w:fill="A5C34C" w:themeFill="accent6" w:themeFillShade="BF"/>
            <w:vAlign w:val="center"/>
            <w:hideMark/>
          </w:tcPr>
          <w:p w14:paraId="63B8A817" w14:textId="77777777" w:rsidR="00872434" w:rsidRPr="0065112A" w:rsidRDefault="00872434" w:rsidP="002A21C0">
            <w:pPr>
              <w:spacing w:after="0" w:line="240" w:lineRule="auto"/>
              <w:ind w:right="70"/>
              <w:jc w:val="center"/>
              <w:rPr>
                <w:rFonts w:asciiTheme="majorHAnsi" w:eastAsia="Times New Roman" w:hAnsiTheme="majorHAnsi" w:cstheme="majorHAnsi"/>
                <w:b/>
                <w:bCs/>
              </w:rPr>
            </w:pPr>
            <w:r w:rsidRPr="0065112A">
              <w:rPr>
                <w:rFonts w:asciiTheme="majorHAnsi" w:eastAsia="Times New Roman" w:hAnsiTheme="majorHAnsi" w:cstheme="majorHAnsi"/>
                <w:b/>
                <w:bCs/>
              </w:rPr>
              <w:t>TOTALE</w:t>
            </w:r>
            <w:r>
              <w:rPr>
                <w:rFonts w:asciiTheme="majorHAnsi" w:eastAsia="Times New Roman" w:hAnsiTheme="majorHAnsi" w:cstheme="majorHAnsi"/>
                <w:b/>
                <w:bCs/>
              </w:rPr>
              <w:t xml:space="preserve"> </w:t>
            </w:r>
            <w:r w:rsidRPr="0065112A">
              <w:rPr>
                <w:rFonts w:asciiTheme="majorHAnsi" w:eastAsia="Times New Roman" w:hAnsiTheme="majorHAnsi" w:cstheme="majorHAnsi"/>
                <w:b/>
                <w:bCs/>
              </w:rPr>
              <w:t>ANNO</w:t>
            </w:r>
          </w:p>
        </w:tc>
      </w:tr>
      <w:tr w:rsidR="00872434" w:rsidRPr="0065112A" w14:paraId="772D5867" w14:textId="77777777" w:rsidTr="002A21C0">
        <w:trPr>
          <w:trHeight w:val="300"/>
        </w:trPr>
        <w:tc>
          <w:tcPr>
            <w:tcW w:w="5103" w:type="dxa"/>
            <w:tcBorders>
              <w:top w:val="single" w:sz="4" w:space="0" w:color="BFBFBF"/>
              <w:left w:val="nil"/>
              <w:bottom w:val="single" w:sz="4" w:space="0" w:color="BFBFBF"/>
              <w:right w:val="nil"/>
            </w:tcBorders>
            <w:shd w:val="clear" w:color="D9D9D9" w:fill="DAF2D0"/>
            <w:noWrap/>
            <w:vAlign w:val="bottom"/>
            <w:hideMark/>
          </w:tcPr>
          <w:p w14:paraId="56BB6C43" w14:textId="77777777" w:rsidR="00872434" w:rsidRPr="0065112A" w:rsidRDefault="00872434" w:rsidP="002A21C0">
            <w:pPr>
              <w:spacing w:after="0" w:line="240" w:lineRule="auto"/>
              <w:jc w:val="lef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Provincia</w:t>
            </w:r>
            <w:r>
              <w:rPr>
                <w:rFonts w:asciiTheme="majorHAnsi" w:eastAsia="Times New Roman" w:hAnsiTheme="majorHAnsi" w:cstheme="majorHAnsi"/>
                <w:b/>
                <w:bCs/>
                <w:color w:val="000000"/>
              </w:rPr>
              <w:t xml:space="preserve"> </w:t>
            </w:r>
            <w:r w:rsidRPr="0065112A">
              <w:rPr>
                <w:rFonts w:asciiTheme="majorHAnsi" w:eastAsia="Times New Roman" w:hAnsiTheme="majorHAnsi" w:cstheme="majorHAnsi"/>
                <w:b/>
                <w:bCs/>
                <w:color w:val="000000"/>
              </w:rPr>
              <w:t>di</w:t>
            </w:r>
            <w:r>
              <w:rPr>
                <w:rFonts w:asciiTheme="majorHAnsi" w:eastAsia="Times New Roman" w:hAnsiTheme="majorHAnsi" w:cstheme="majorHAnsi"/>
                <w:b/>
                <w:bCs/>
                <w:color w:val="000000"/>
              </w:rPr>
              <w:t xml:space="preserve"> </w:t>
            </w:r>
            <w:r w:rsidRPr="0065112A">
              <w:rPr>
                <w:rFonts w:asciiTheme="majorHAnsi" w:eastAsia="Times New Roman" w:hAnsiTheme="majorHAnsi" w:cstheme="majorHAnsi"/>
                <w:b/>
                <w:bCs/>
                <w:color w:val="000000"/>
              </w:rPr>
              <w:t>Alessandria</w:t>
            </w:r>
          </w:p>
        </w:tc>
        <w:tc>
          <w:tcPr>
            <w:tcW w:w="1100" w:type="dxa"/>
            <w:tcBorders>
              <w:top w:val="single" w:sz="4" w:space="0" w:color="BFBFBF"/>
              <w:left w:val="single" w:sz="8" w:space="0" w:color="D9D9D9"/>
              <w:bottom w:val="single" w:sz="4" w:space="0" w:color="BFBFBF"/>
              <w:right w:val="single" w:sz="8" w:space="0" w:color="D9D9D9"/>
            </w:tcBorders>
            <w:shd w:val="clear" w:color="D9D9D9" w:fill="DAF2D0"/>
            <w:noWrap/>
            <w:vAlign w:val="bottom"/>
            <w:hideMark/>
          </w:tcPr>
          <w:p w14:paraId="6F3524AC"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283.307</w:t>
            </w:r>
          </w:p>
        </w:tc>
        <w:tc>
          <w:tcPr>
            <w:tcW w:w="1260" w:type="dxa"/>
            <w:tcBorders>
              <w:top w:val="single" w:sz="4" w:space="0" w:color="BFBFBF"/>
              <w:left w:val="nil"/>
              <w:bottom w:val="single" w:sz="4" w:space="0" w:color="BFBFBF"/>
              <w:right w:val="single" w:sz="8" w:space="0" w:color="D9D9D9"/>
            </w:tcBorders>
            <w:shd w:val="clear" w:color="D9D9D9" w:fill="DAF2D0"/>
            <w:noWrap/>
            <w:vAlign w:val="bottom"/>
            <w:hideMark/>
          </w:tcPr>
          <w:p w14:paraId="64CCCE9F"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1.831.058</w:t>
            </w:r>
          </w:p>
        </w:tc>
        <w:tc>
          <w:tcPr>
            <w:tcW w:w="1609" w:type="dxa"/>
            <w:tcBorders>
              <w:top w:val="single" w:sz="4" w:space="0" w:color="BFBFBF"/>
              <w:left w:val="nil"/>
              <w:bottom w:val="single" w:sz="4" w:space="0" w:color="BFBFBF"/>
            </w:tcBorders>
            <w:shd w:val="clear" w:color="D9D9D9" w:fill="DAF2D0"/>
            <w:noWrap/>
            <w:vAlign w:val="bottom"/>
            <w:hideMark/>
          </w:tcPr>
          <w:p w14:paraId="201F9895"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2.114.365</w:t>
            </w:r>
          </w:p>
        </w:tc>
      </w:tr>
      <w:tr w:rsidR="00872434" w:rsidRPr="0065112A" w14:paraId="22D47DD0"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21A5642D"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Extraurbano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Alessandria</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6100D675"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243.673</w:t>
            </w:r>
          </w:p>
        </w:tc>
        <w:tc>
          <w:tcPr>
            <w:tcW w:w="1260" w:type="dxa"/>
            <w:tcBorders>
              <w:top w:val="single" w:sz="4" w:space="0" w:color="BFBFBF"/>
              <w:left w:val="nil"/>
              <w:bottom w:val="single" w:sz="4" w:space="0" w:color="BFBFBF"/>
              <w:right w:val="single" w:sz="8" w:space="0" w:color="D9D9D9"/>
            </w:tcBorders>
            <w:noWrap/>
            <w:vAlign w:val="bottom"/>
            <w:hideMark/>
          </w:tcPr>
          <w:p w14:paraId="7830249C"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1.615.989</w:t>
            </w:r>
          </w:p>
        </w:tc>
        <w:tc>
          <w:tcPr>
            <w:tcW w:w="1609" w:type="dxa"/>
            <w:tcBorders>
              <w:top w:val="single" w:sz="4" w:space="0" w:color="BFBFBF"/>
              <w:left w:val="nil"/>
              <w:bottom w:val="single" w:sz="4" w:space="0" w:color="BFBFBF"/>
            </w:tcBorders>
            <w:noWrap/>
            <w:vAlign w:val="bottom"/>
            <w:hideMark/>
          </w:tcPr>
          <w:p w14:paraId="69F97A44"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1.859.662</w:t>
            </w:r>
          </w:p>
        </w:tc>
      </w:tr>
      <w:tr w:rsidR="00872434" w:rsidRPr="0065112A" w14:paraId="52C1C039"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4CEB58BF"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Acqui</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Terme</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7BB87C76"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3.909</w:t>
            </w:r>
          </w:p>
        </w:tc>
        <w:tc>
          <w:tcPr>
            <w:tcW w:w="1260" w:type="dxa"/>
            <w:tcBorders>
              <w:top w:val="single" w:sz="4" w:space="0" w:color="BFBFBF"/>
              <w:left w:val="nil"/>
              <w:bottom w:val="single" w:sz="4" w:space="0" w:color="BFBFBF"/>
              <w:right w:val="single" w:sz="8" w:space="0" w:color="D9D9D9"/>
            </w:tcBorders>
            <w:noWrap/>
            <w:vAlign w:val="bottom"/>
            <w:hideMark/>
          </w:tcPr>
          <w:p w14:paraId="6F8BBC57"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23.861</w:t>
            </w:r>
          </w:p>
        </w:tc>
        <w:tc>
          <w:tcPr>
            <w:tcW w:w="1609" w:type="dxa"/>
            <w:tcBorders>
              <w:top w:val="single" w:sz="4" w:space="0" w:color="BFBFBF"/>
              <w:left w:val="nil"/>
              <w:bottom w:val="single" w:sz="4" w:space="0" w:color="BFBFBF"/>
            </w:tcBorders>
            <w:noWrap/>
            <w:vAlign w:val="bottom"/>
            <w:hideMark/>
          </w:tcPr>
          <w:p w14:paraId="5EC55103"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27.770</w:t>
            </w:r>
          </w:p>
        </w:tc>
      </w:tr>
      <w:tr w:rsidR="00872434" w:rsidRPr="0065112A" w14:paraId="3CD83C5F"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6DF82644"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Novi</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Ligure</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63E0FD8E"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19.554</w:t>
            </w:r>
          </w:p>
        </w:tc>
        <w:tc>
          <w:tcPr>
            <w:tcW w:w="1260" w:type="dxa"/>
            <w:tcBorders>
              <w:top w:val="single" w:sz="4" w:space="0" w:color="BFBFBF"/>
              <w:left w:val="nil"/>
              <w:bottom w:val="single" w:sz="4" w:space="0" w:color="BFBFBF"/>
              <w:right w:val="single" w:sz="8" w:space="0" w:color="D9D9D9"/>
            </w:tcBorders>
            <w:noWrap/>
            <w:vAlign w:val="bottom"/>
            <w:hideMark/>
          </w:tcPr>
          <w:p w14:paraId="496C1E5B"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124.837</w:t>
            </w:r>
          </w:p>
        </w:tc>
        <w:tc>
          <w:tcPr>
            <w:tcW w:w="1609" w:type="dxa"/>
            <w:tcBorders>
              <w:top w:val="single" w:sz="4" w:space="0" w:color="BFBFBF"/>
              <w:left w:val="nil"/>
              <w:bottom w:val="single" w:sz="4" w:space="0" w:color="BFBFBF"/>
            </w:tcBorders>
            <w:noWrap/>
            <w:vAlign w:val="bottom"/>
            <w:hideMark/>
          </w:tcPr>
          <w:p w14:paraId="53D566DE"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144.391</w:t>
            </w:r>
          </w:p>
        </w:tc>
      </w:tr>
      <w:tr w:rsidR="00872434" w:rsidRPr="0065112A" w14:paraId="60CE58E4"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4E90EDAA"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Ovada</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28FA74D7"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15.323</w:t>
            </w:r>
          </w:p>
        </w:tc>
        <w:tc>
          <w:tcPr>
            <w:tcW w:w="1260" w:type="dxa"/>
            <w:tcBorders>
              <w:top w:val="single" w:sz="4" w:space="0" w:color="BFBFBF"/>
              <w:left w:val="nil"/>
              <w:bottom w:val="single" w:sz="4" w:space="0" w:color="BFBFBF"/>
              <w:right w:val="single" w:sz="8" w:space="0" w:color="D9D9D9"/>
            </w:tcBorders>
            <w:noWrap/>
            <w:vAlign w:val="bottom"/>
            <w:hideMark/>
          </w:tcPr>
          <w:p w14:paraId="2B612D08"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60.684</w:t>
            </w:r>
          </w:p>
        </w:tc>
        <w:tc>
          <w:tcPr>
            <w:tcW w:w="1609" w:type="dxa"/>
            <w:tcBorders>
              <w:top w:val="single" w:sz="4" w:space="0" w:color="BFBFBF"/>
              <w:left w:val="nil"/>
              <w:bottom w:val="single" w:sz="4" w:space="0" w:color="BFBFBF"/>
            </w:tcBorders>
            <w:noWrap/>
            <w:vAlign w:val="bottom"/>
            <w:hideMark/>
          </w:tcPr>
          <w:p w14:paraId="4A0945FA"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76.007</w:t>
            </w:r>
          </w:p>
        </w:tc>
      </w:tr>
      <w:tr w:rsidR="00872434" w:rsidRPr="0065112A" w14:paraId="3F48C647"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67351132"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Tortona</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79E19A5B"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849</w:t>
            </w:r>
          </w:p>
        </w:tc>
        <w:tc>
          <w:tcPr>
            <w:tcW w:w="1260" w:type="dxa"/>
            <w:tcBorders>
              <w:top w:val="single" w:sz="4" w:space="0" w:color="BFBFBF"/>
              <w:left w:val="nil"/>
              <w:bottom w:val="single" w:sz="4" w:space="0" w:color="BFBFBF"/>
              <w:right w:val="single" w:sz="8" w:space="0" w:color="D9D9D9"/>
            </w:tcBorders>
            <w:noWrap/>
            <w:vAlign w:val="bottom"/>
            <w:hideMark/>
          </w:tcPr>
          <w:p w14:paraId="5EEB842D"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5.687</w:t>
            </w:r>
          </w:p>
        </w:tc>
        <w:tc>
          <w:tcPr>
            <w:tcW w:w="1609" w:type="dxa"/>
            <w:tcBorders>
              <w:top w:val="single" w:sz="4" w:space="0" w:color="BFBFBF"/>
              <w:left w:val="nil"/>
              <w:bottom w:val="single" w:sz="4" w:space="0" w:color="BFBFBF"/>
            </w:tcBorders>
            <w:noWrap/>
            <w:vAlign w:val="bottom"/>
            <w:hideMark/>
          </w:tcPr>
          <w:p w14:paraId="0C3A9A94"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6.535</w:t>
            </w:r>
          </w:p>
        </w:tc>
      </w:tr>
      <w:tr w:rsidR="00872434" w:rsidRPr="0065112A" w14:paraId="53F1D697" w14:textId="77777777" w:rsidTr="002A21C0">
        <w:trPr>
          <w:trHeight w:val="300"/>
        </w:trPr>
        <w:tc>
          <w:tcPr>
            <w:tcW w:w="5103" w:type="dxa"/>
            <w:tcBorders>
              <w:top w:val="single" w:sz="4" w:space="0" w:color="BFBFBF"/>
              <w:left w:val="nil"/>
              <w:bottom w:val="single" w:sz="4" w:space="0" w:color="BFBFBF"/>
              <w:right w:val="nil"/>
            </w:tcBorders>
            <w:shd w:val="clear" w:color="D9D9D9" w:fill="DAF2D0"/>
            <w:noWrap/>
            <w:vAlign w:val="bottom"/>
            <w:hideMark/>
          </w:tcPr>
          <w:p w14:paraId="65EB7991" w14:textId="77777777" w:rsidR="00872434" w:rsidRPr="0065112A" w:rsidRDefault="00872434" w:rsidP="002A21C0">
            <w:pPr>
              <w:spacing w:after="0" w:line="240" w:lineRule="auto"/>
              <w:jc w:val="lef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Provincia</w:t>
            </w:r>
            <w:r>
              <w:rPr>
                <w:rFonts w:asciiTheme="majorHAnsi" w:eastAsia="Times New Roman" w:hAnsiTheme="majorHAnsi" w:cstheme="majorHAnsi"/>
                <w:b/>
                <w:bCs/>
                <w:color w:val="000000"/>
              </w:rPr>
              <w:t xml:space="preserve"> </w:t>
            </w:r>
            <w:r w:rsidRPr="0065112A">
              <w:rPr>
                <w:rFonts w:asciiTheme="majorHAnsi" w:eastAsia="Times New Roman" w:hAnsiTheme="majorHAnsi" w:cstheme="majorHAnsi"/>
                <w:b/>
                <w:bCs/>
                <w:color w:val="000000"/>
              </w:rPr>
              <w:t>di</w:t>
            </w:r>
            <w:r>
              <w:rPr>
                <w:rFonts w:asciiTheme="majorHAnsi" w:eastAsia="Times New Roman" w:hAnsiTheme="majorHAnsi" w:cstheme="majorHAnsi"/>
                <w:b/>
                <w:bCs/>
                <w:color w:val="000000"/>
              </w:rPr>
              <w:t xml:space="preserve"> </w:t>
            </w:r>
            <w:r w:rsidRPr="0065112A">
              <w:rPr>
                <w:rFonts w:asciiTheme="majorHAnsi" w:eastAsia="Times New Roman" w:hAnsiTheme="majorHAnsi" w:cstheme="majorHAnsi"/>
                <w:b/>
                <w:bCs/>
                <w:color w:val="000000"/>
              </w:rPr>
              <w:t>Asti</w:t>
            </w:r>
          </w:p>
        </w:tc>
        <w:tc>
          <w:tcPr>
            <w:tcW w:w="1100" w:type="dxa"/>
            <w:tcBorders>
              <w:top w:val="single" w:sz="4" w:space="0" w:color="BFBFBF"/>
              <w:left w:val="single" w:sz="8" w:space="0" w:color="D9D9D9"/>
              <w:bottom w:val="single" w:sz="4" w:space="0" w:color="BFBFBF"/>
              <w:right w:val="single" w:sz="8" w:space="0" w:color="D9D9D9"/>
            </w:tcBorders>
            <w:shd w:val="clear" w:color="D9D9D9" w:fill="DAF2D0"/>
            <w:noWrap/>
            <w:vAlign w:val="bottom"/>
            <w:hideMark/>
          </w:tcPr>
          <w:p w14:paraId="15A39F79"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96.892</w:t>
            </w:r>
          </w:p>
        </w:tc>
        <w:tc>
          <w:tcPr>
            <w:tcW w:w="1260" w:type="dxa"/>
            <w:tcBorders>
              <w:top w:val="single" w:sz="4" w:space="0" w:color="BFBFBF"/>
              <w:left w:val="nil"/>
              <w:bottom w:val="single" w:sz="4" w:space="0" w:color="BFBFBF"/>
              <w:right w:val="single" w:sz="8" w:space="0" w:color="D9D9D9"/>
            </w:tcBorders>
            <w:shd w:val="clear" w:color="D9D9D9" w:fill="DAF2D0"/>
            <w:noWrap/>
            <w:vAlign w:val="bottom"/>
            <w:hideMark/>
          </w:tcPr>
          <w:p w14:paraId="412998BC"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1.070.604</w:t>
            </w:r>
          </w:p>
        </w:tc>
        <w:tc>
          <w:tcPr>
            <w:tcW w:w="1609" w:type="dxa"/>
            <w:tcBorders>
              <w:top w:val="single" w:sz="4" w:space="0" w:color="BFBFBF"/>
              <w:left w:val="nil"/>
              <w:bottom w:val="single" w:sz="4" w:space="0" w:color="BFBFBF"/>
            </w:tcBorders>
            <w:shd w:val="clear" w:color="D9D9D9" w:fill="DAF2D0"/>
            <w:noWrap/>
            <w:vAlign w:val="bottom"/>
            <w:hideMark/>
          </w:tcPr>
          <w:p w14:paraId="73D52B7A"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1.167.496</w:t>
            </w:r>
          </w:p>
        </w:tc>
      </w:tr>
      <w:tr w:rsidR="00872434" w:rsidRPr="0065112A" w14:paraId="39C37A93"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7FC22EA7"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Extraurbano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Asti</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5784A7AA"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43.042</w:t>
            </w:r>
          </w:p>
        </w:tc>
        <w:tc>
          <w:tcPr>
            <w:tcW w:w="1260" w:type="dxa"/>
            <w:tcBorders>
              <w:top w:val="single" w:sz="4" w:space="0" w:color="BFBFBF"/>
              <w:left w:val="nil"/>
              <w:bottom w:val="single" w:sz="4" w:space="0" w:color="BFBFBF"/>
              <w:right w:val="single" w:sz="8" w:space="0" w:color="D9D9D9"/>
            </w:tcBorders>
            <w:noWrap/>
            <w:vAlign w:val="bottom"/>
            <w:hideMark/>
          </w:tcPr>
          <w:p w14:paraId="17210D49"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485.058</w:t>
            </w:r>
          </w:p>
        </w:tc>
        <w:tc>
          <w:tcPr>
            <w:tcW w:w="1609" w:type="dxa"/>
            <w:tcBorders>
              <w:top w:val="single" w:sz="4" w:space="0" w:color="BFBFBF"/>
              <w:left w:val="nil"/>
              <w:bottom w:val="single" w:sz="4" w:space="0" w:color="BFBFBF"/>
            </w:tcBorders>
            <w:noWrap/>
            <w:vAlign w:val="bottom"/>
            <w:hideMark/>
          </w:tcPr>
          <w:p w14:paraId="6A076BE7"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528.100</w:t>
            </w:r>
          </w:p>
        </w:tc>
      </w:tr>
      <w:tr w:rsidR="00872434" w:rsidRPr="0065112A" w14:paraId="33B6ABE3" w14:textId="77777777" w:rsidTr="002A21C0">
        <w:trPr>
          <w:trHeight w:val="300"/>
        </w:trPr>
        <w:tc>
          <w:tcPr>
            <w:tcW w:w="5103" w:type="dxa"/>
            <w:tcBorders>
              <w:top w:val="single" w:sz="4" w:space="0" w:color="BFBFBF"/>
              <w:bottom w:val="single" w:sz="4" w:space="0" w:color="BFBFBF"/>
              <w:right w:val="single" w:sz="4" w:space="0" w:color="C0C0C0"/>
            </w:tcBorders>
            <w:noWrap/>
            <w:vAlign w:val="bottom"/>
            <w:hideMark/>
          </w:tcPr>
          <w:p w14:paraId="1B422455"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Urbano</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Moncalvo</w:t>
            </w:r>
          </w:p>
        </w:tc>
        <w:tc>
          <w:tcPr>
            <w:tcW w:w="1100" w:type="dxa"/>
            <w:tcBorders>
              <w:top w:val="single" w:sz="4" w:space="0" w:color="BFBFBF"/>
              <w:left w:val="single" w:sz="8" w:space="0" w:color="D9D9D9"/>
              <w:bottom w:val="single" w:sz="4" w:space="0" w:color="BFBFBF"/>
              <w:right w:val="single" w:sz="8" w:space="0" w:color="D9D9D9"/>
            </w:tcBorders>
            <w:noWrap/>
            <w:vAlign w:val="bottom"/>
            <w:hideMark/>
          </w:tcPr>
          <w:p w14:paraId="53789CEE"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w:t>
            </w:r>
          </w:p>
        </w:tc>
        <w:tc>
          <w:tcPr>
            <w:tcW w:w="1260" w:type="dxa"/>
            <w:tcBorders>
              <w:top w:val="single" w:sz="4" w:space="0" w:color="BFBFBF"/>
              <w:left w:val="nil"/>
              <w:bottom w:val="single" w:sz="4" w:space="0" w:color="BFBFBF"/>
              <w:right w:val="single" w:sz="8" w:space="0" w:color="D9D9D9"/>
            </w:tcBorders>
            <w:noWrap/>
            <w:vAlign w:val="bottom"/>
            <w:hideMark/>
          </w:tcPr>
          <w:p w14:paraId="55293E50"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2.220</w:t>
            </w:r>
          </w:p>
        </w:tc>
        <w:tc>
          <w:tcPr>
            <w:tcW w:w="1609" w:type="dxa"/>
            <w:tcBorders>
              <w:top w:val="single" w:sz="4" w:space="0" w:color="BFBFBF"/>
              <w:left w:val="nil"/>
              <w:bottom w:val="single" w:sz="4" w:space="0" w:color="BFBFBF"/>
            </w:tcBorders>
            <w:noWrap/>
            <w:vAlign w:val="bottom"/>
            <w:hideMark/>
          </w:tcPr>
          <w:p w14:paraId="2A485376"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2.220</w:t>
            </w:r>
          </w:p>
        </w:tc>
      </w:tr>
      <w:tr w:rsidR="00872434" w:rsidRPr="0065112A" w14:paraId="5F9EAFA3" w14:textId="77777777" w:rsidTr="002A21C0">
        <w:trPr>
          <w:trHeight w:val="300"/>
        </w:trPr>
        <w:tc>
          <w:tcPr>
            <w:tcW w:w="5103" w:type="dxa"/>
            <w:tcBorders>
              <w:top w:val="single" w:sz="4" w:space="0" w:color="BFBFBF"/>
              <w:left w:val="nil"/>
              <w:bottom w:val="double" w:sz="4" w:space="0" w:color="BFBFBF"/>
              <w:right w:val="nil"/>
            </w:tcBorders>
            <w:noWrap/>
            <w:vAlign w:val="bottom"/>
            <w:hideMark/>
          </w:tcPr>
          <w:p w14:paraId="01ECEB07" w14:textId="77777777" w:rsidR="00872434" w:rsidRPr="0065112A" w:rsidRDefault="00872434" w:rsidP="002A21C0">
            <w:pPr>
              <w:spacing w:after="0" w:line="240" w:lineRule="auto"/>
              <w:jc w:val="left"/>
              <w:rPr>
                <w:rFonts w:asciiTheme="majorHAnsi" w:eastAsia="Times New Roman" w:hAnsiTheme="majorHAnsi" w:cstheme="majorHAnsi"/>
                <w:color w:val="000000"/>
              </w:rPr>
            </w:pPr>
            <w:r w:rsidRPr="0065112A">
              <w:rPr>
                <w:rFonts w:asciiTheme="majorHAnsi" w:eastAsia="Times New Roman" w:hAnsiTheme="majorHAnsi" w:cstheme="majorHAnsi"/>
                <w:color w:val="000000"/>
              </w:rPr>
              <w:t>Linee</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BIP</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CCA</w:t>
            </w:r>
            <w:r>
              <w:rPr>
                <w:rFonts w:asciiTheme="majorHAnsi" w:eastAsia="Times New Roman" w:hAnsiTheme="majorHAnsi" w:cstheme="majorHAnsi"/>
                <w:color w:val="000000"/>
              </w:rPr>
              <w:t xml:space="preserve"> </w:t>
            </w:r>
            <w:r w:rsidRPr="0065112A">
              <w:rPr>
                <w:rFonts w:asciiTheme="majorHAnsi" w:eastAsia="Times New Roman" w:hAnsiTheme="majorHAnsi" w:cstheme="majorHAnsi"/>
                <w:color w:val="000000"/>
              </w:rPr>
              <w:t>CN</w:t>
            </w:r>
            <w:r>
              <w:rPr>
                <w:rStyle w:val="Rimandonotaapidipagina"/>
                <w:rFonts w:asciiTheme="majorHAnsi" w:eastAsia="Times New Roman" w:hAnsiTheme="majorHAnsi" w:cstheme="majorHAnsi"/>
                <w:color w:val="000000"/>
              </w:rPr>
              <w:footnoteReference w:id="18"/>
            </w:r>
          </w:p>
        </w:tc>
        <w:tc>
          <w:tcPr>
            <w:tcW w:w="1100" w:type="dxa"/>
            <w:tcBorders>
              <w:top w:val="single" w:sz="4" w:space="0" w:color="BFBFBF"/>
              <w:left w:val="single" w:sz="8" w:space="0" w:color="D9D9D9"/>
              <w:bottom w:val="double" w:sz="4" w:space="0" w:color="BFBFBF"/>
              <w:right w:val="single" w:sz="8" w:space="0" w:color="D9D9D9"/>
            </w:tcBorders>
            <w:noWrap/>
            <w:vAlign w:val="bottom"/>
            <w:hideMark/>
          </w:tcPr>
          <w:p w14:paraId="79010A8F"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53.850</w:t>
            </w:r>
          </w:p>
        </w:tc>
        <w:tc>
          <w:tcPr>
            <w:tcW w:w="1260" w:type="dxa"/>
            <w:tcBorders>
              <w:top w:val="single" w:sz="4" w:space="0" w:color="BFBFBF"/>
              <w:left w:val="nil"/>
              <w:bottom w:val="double" w:sz="4" w:space="0" w:color="BFBFBF"/>
              <w:right w:val="single" w:sz="8" w:space="0" w:color="D9D9D9"/>
            </w:tcBorders>
            <w:noWrap/>
            <w:vAlign w:val="bottom"/>
            <w:hideMark/>
          </w:tcPr>
          <w:p w14:paraId="37FF17CC"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583.326</w:t>
            </w:r>
          </w:p>
        </w:tc>
        <w:tc>
          <w:tcPr>
            <w:tcW w:w="1609" w:type="dxa"/>
            <w:tcBorders>
              <w:top w:val="single" w:sz="4" w:space="0" w:color="BFBFBF"/>
              <w:left w:val="nil"/>
              <w:bottom w:val="double" w:sz="4" w:space="0" w:color="BFBFBF"/>
            </w:tcBorders>
            <w:noWrap/>
            <w:vAlign w:val="bottom"/>
            <w:hideMark/>
          </w:tcPr>
          <w:p w14:paraId="5040C3A7" w14:textId="77777777" w:rsidR="00872434" w:rsidRPr="0065112A" w:rsidRDefault="00872434" w:rsidP="002A21C0">
            <w:pPr>
              <w:spacing w:after="0" w:line="240" w:lineRule="auto"/>
              <w:ind w:right="70"/>
              <w:jc w:val="right"/>
              <w:rPr>
                <w:rFonts w:asciiTheme="majorHAnsi" w:eastAsia="Times New Roman" w:hAnsiTheme="majorHAnsi" w:cstheme="majorHAnsi"/>
                <w:color w:val="000000"/>
              </w:rPr>
            </w:pPr>
            <w:r w:rsidRPr="0065112A">
              <w:rPr>
                <w:rFonts w:asciiTheme="majorHAnsi" w:eastAsia="Times New Roman" w:hAnsiTheme="majorHAnsi" w:cstheme="majorHAnsi"/>
                <w:color w:val="000000"/>
              </w:rPr>
              <w:t>637.176</w:t>
            </w:r>
          </w:p>
        </w:tc>
      </w:tr>
      <w:tr w:rsidR="00872434" w:rsidRPr="0065112A" w14:paraId="7C79DF2D" w14:textId="77777777" w:rsidTr="002A21C0">
        <w:trPr>
          <w:trHeight w:val="315"/>
        </w:trPr>
        <w:tc>
          <w:tcPr>
            <w:tcW w:w="5103" w:type="dxa"/>
            <w:tcBorders>
              <w:top w:val="double" w:sz="4" w:space="0" w:color="BFBFBF"/>
              <w:left w:val="nil"/>
              <w:bottom w:val="single" w:sz="8" w:space="0" w:color="808080"/>
              <w:right w:val="nil"/>
            </w:tcBorders>
            <w:noWrap/>
            <w:vAlign w:val="bottom"/>
            <w:hideMark/>
          </w:tcPr>
          <w:p w14:paraId="65C4F57A" w14:textId="77777777" w:rsidR="00872434" w:rsidRPr="0065112A" w:rsidRDefault="00872434" w:rsidP="002A21C0">
            <w:pPr>
              <w:spacing w:after="0" w:line="240" w:lineRule="auto"/>
              <w:jc w:val="lef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Totale</w:t>
            </w:r>
            <w:r>
              <w:rPr>
                <w:rFonts w:asciiTheme="majorHAnsi" w:eastAsia="Times New Roman" w:hAnsiTheme="majorHAnsi" w:cstheme="majorHAnsi"/>
                <w:b/>
                <w:bCs/>
                <w:color w:val="000000"/>
              </w:rPr>
              <w:t xml:space="preserve"> </w:t>
            </w:r>
            <w:r w:rsidRPr="0065112A">
              <w:rPr>
                <w:rFonts w:asciiTheme="majorHAnsi" w:eastAsia="Times New Roman" w:hAnsiTheme="majorHAnsi" w:cstheme="majorHAnsi"/>
                <w:b/>
                <w:bCs/>
                <w:color w:val="000000"/>
              </w:rPr>
              <w:t>complessivo</w:t>
            </w:r>
          </w:p>
        </w:tc>
        <w:tc>
          <w:tcPr>
            <w:tcW w:w="1100" w:type="dxa"/>
            <w:tcBorders>
              <w:top w:val="double" w:sz="4" w:space="0" w:color="BFBFBF"/>
              <w:left w:val="single" w:sz="8" w:space="0" w:color="D9D9D9"/>
              <w:bottom w:val="single" w:sz="8" w:space="0" w:color="808080"/>
              <w:right w:val="single" w:sz="8" w:space="0" w:color="D9D9D9"/>
            </w:tcBorders>
            <w:noWrap/>
            <w:vAlign w:val="bottom"/>
            <w:hideMark/>
          </w:tcPr>
          <w:p w14:paraId="500A2D6D"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380.199</w:t>
            </w:r>
          </w:p>
        </w:tc>
        <w:tc>
          <w:tcPr>
            <w:tcW w:w="1260" w:type="dxa"/>
            <w:tcBorders>
              <w:top w:val="double" w:sz="4" w:space="0" w:color="BFBFBF"/>
              <w:left w:val="nil"/>
              <w:bottom w:val="single" w:sz="8" w:space="0" w:color="808080"/>
              <w:right w:val="single" w:sz="8" w:space="0" w:color="D9D9D9"/>
            </w:tcBorders>
            <w:noWrap/>
            <w:vAlign w:val="bottom"/>
            <w:hideMark/>
          </w:tcPr>
          <w:p w14:paraId="317D7BDA"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2.901.662</w:t>
            </w:r>
          </w:p>
        </w:tc>
        <w:tc>
          <w:tcPr>
            <w:tcW w:w="1609" w:type="dxa"/>
            <w:tcBorders>
              <w:top w:val="double" w:sz="4" w:space="0" w:color="BFBFBF"/>
              <w:left w:val="nil"/>
              <w:bottom w:val="single" w:sz="8" w:space="0" w:color="808080"/>
            </w:tcBorders>
            <w:noWrap/>
            <w:vAlign w:val="bottom"/>
            <w:hideMark/>
          </w:tcPr>
          <w:p w14:paraId="36051816" w14:textId="77777777" w:rsidR="00872434" w:rsidRPr="0065112A" w:rsidRDefault="00872434" w:rsidP="002A21C0">
            <w:pPr>
              <w:spacing w:after="0" w:line="240" w:lineRule="auto"/>
              <w:ind w:right="70"/>
              <w:jc w:val="right"/>
              <w:rPr>
                <w:rFonts w:asciiTheme="majorHAnsi" w:eastAsia="Times New Roman" w:hAnsiTheme="majorHAnsi" w:cstheme="majorHAnsi"/>
                <w:b/>
                <w:bCs/>
                <w:color w:val="000000"/>
              </w:rPr>
            </w:pPr>
            <w:r w:rsidRPr="0065112A">
              <w:rPr>
                <w:rFonts w:asciiTheme="majorHAnsi" w:eastAsia="Times New Roman" w:hAnsiTheme="majorHAnsi" w:cstheme="majorHAnsi"/>
                <w:b/>
                <w:bCs/>
                <w:color w:val="000000"/>
              </w:rPr>
              <w:t>3.281.860</w:t>
            </w:r>
          </w:p>
        </w:tc>
      </w:tr>
    </w:tbl>
    <w:p w14:paraId="6A73C3B8" w14:textId="53816C4C" w:rsidR="00872434" w:rsidRPr="00F34C4E" w:rsidRDefault="00872434" w:rsidP="00872434">
      <w:pPr>
        <w:pStyle w:val="Didascalia"/>
        <w:jc w:val="center"/>
        <w:rPr>
          <w:color w:val="003366"/>
        </w:rPr>
      </w:pPr>
      <w:r w:rsidRPr="00F34C4E">
        <w:rPr>
          <w:color w:val="003366"/>
        </w:rPr>
        <w:t xml:space="preserve">Tabella </w:t>
      </w:r>
      <w:r w:rsidRPr="00F34C4E">
        <w:rPr>
          <w:color w:val="003366"/>
        </w:rPr>
        <w:fldChar w:fldCharType="begin"/>
      </w:r>
      <w:r w:rsidRPr="00F34C4E">
        <w:rPr>
          <w:color w:val="003366"/>
        </w:rPr>
        <w:instrText xml:space="preserve"> SEQ Tabella \* ARABIC </w:instrText>
      </w:r>
      <w:r w:rsidRPr="00F34C4E">
        <w:rPr>
          <w:color w:val="003366"/>
        </w:rPr>
        <w:fldChar w:fldCharType="separate"/>
      </w:r>
      <w:r w:rsidR="00670903">
        <w:rPr>
          <w:noProof/>
          <w:color w:val="003366"/>
        </w:rPr>
        <w:t>23</w:t>
      </w:r>
      <w:r w:rsidRPr="00F34C4E">
        <w:rPr>
          <w:noProof/>
          <w:color w:val="003366"/>
        </w:rPr>
        <w:fldChar w:fldCharType="end"/>
      </w:r>
      <w:r w:rsidRPr="00F34C4E">
        <w:rPr>
          <w:color w:val="003366"/>
        </w:rPr>
        <w:t>–Totale Passeggeri saliti annui</w:t>
      </w:r>
    </w:p>
    <w:p w14:paraId="76286C24" w14:textId="77777777" w:rsidR="00872434" w:rsidRDefault="00872434" w:rsidP="00872434">
      <w:pPr>
        <w:spacing w:before="120" w:after="0" w:line="240" w:lineRule="auto"/>
      </w:pPr>
    </w:p>
    <w:p w14:paraId="07C99C6A" w14:textId="77777777" w:rsidR="00872434" w:rsidRPr="00EA4314" w:rsidRDefault="00872434" w:rsidP="00872434">
      <w:pPr>
        <w:spacing w:before="120" w:after="0" w:line="240" w:lineRule="auto"/>
      </w:pPr>
      <w:r w:rsidRPr="00EA4314">
        <w:t>A seguito dell’emergenza Covid e nelle more di una digitalizzazione completa delle rilevazioni tramite validazione a bordo dei titoli di viaggio, tali rilevazioni sono state sospese.</w:t>
      </w:r>
      <w:r>
        <w:t xml:space="preserve"> </w:t>
      </w:r>
      <w:r w:rsidRPr="00EA4314">
        <w:t>Nel 2025, non essendo stato ancora completato il processo di trasferimento al Centro Servizi Regionale delle validazioni registrate a bordo mezzo durante il servizio, la Regione Piemonte ha disposto una nuova campagna di rilievo a bordo, i cui dati sono ancora in fase di caricamento e validazione.</w:t>
      </w:r>
      <w:r>
        <w:t xml:space="preserve"> </w:t>
      </w:r>
      <w:r w:rsidRPr="00EA4314">
        <w:t>Non appena disponibili, tali dati saranno resi pubblici e messi a disposizione nel dataset dei bandi di gara.</w:t>
      </w:r>
    </w:p>
    <w:p w14:paraId="5C824162" w14:textId="77777777" w:rsidR="00872434" w:rsidRDefault="00872434" w:rsidP="00872434">
      <w:pPr>
        <w:spacing w:before="120" w:after="0" w:line="240" w:lineRule="auto"/>
      </w:pPr>
      <w:r w:rsidRPr="00EA4314">
        <w:t>Di seguito si riportano i dettagli delle validazioni per linea, attualmente gestite nell’ambito dei contratti del Bacino per l’anno 2024, scaricabili dal Centro Servizi Regionale.</w:t>
      </w:r>
      <w:r>
        <w:t xml:space="preserve"> </w:t>
      </w:r>
      <w:r w:rsidRPr="00EA4314">
        <w:t>Il sistema non è ancora per allineato al reale servizio, in quanto alcune aziende non hanno ancora fatto tutti i passi necessari per trasferire le informazioni.</w:t>
      </w:r>
      <w:r>
        <w:t xml:space="preserve"> </w:t>
      </w:r>
      <w:r w:rsidRPr="00EA4314">
        <w:t>Pertanto, i dati sulle validazioni a “zero” non necessariamente sono corrispondenti ad un’assenza di passeggeri, al pari delle linee con dicitura "n.d.", il cui dato non è riscontrabile all’interno della banca dati.</w:t>
      </w:r>
    </w:p>
    <w:p w14:paraId="0C133342" w14:textId="77777777" w:rsidR="00872434" w:rsidRDefault="00872434" w:rsidP="00872434">
      <w:pPr>
        <w:spacing w:before="120" w:after="0" w:line="240" w:lineRule="auto"/>
      </w:pPr>
    </w:p>
    <w:tbl>
      <w:tblPr>
        <w:tblStyle w:val="Grigliatabella"/>
        <w:tblW w:w="0" w:type="auto"/>
        <w:tblLook w:val="04A0" w:firstRow="1" w:lastRow="0" w:firstColumn="1" w:lastColumn="0" w:noHBand="0" w:noVBand="1"/>
      </w:tblPr>
      <w:tblGrid>
        <w:gridCol w:w="844"/>
        <w:gridCol w:w="7087"/>
        <w:gridCol w:w="1129"/>
      </w:tblGrid>
      <w:tr w:rsidR="00872434" w:rsidRPr="00166862" w14:paraId="3C7E040D" w14:textId="77777777" w:rsidTr="002A21C0">
        <w:trPr>
          <w:trHeight w:val="576"/>
        </w:trPr>
        <w:tc>
          <w:tcPr>
            <w:tcW w:w="844" w:type="dxa"/>
            <w:shd w:val="clear" w:color="auto" w:fill="A5C34C" w:themeFill="accent6" w:themeFillShade="BF"/>
            <w:vAlign w:val="center"/>
            <w:hideMark/>
          </w:tcPr>
          <w:p w14:paraId="57A2189B" w14:textId="77777777" w:rsidR="00872434" w:rsidRPr="00166862" w:rsidRDefault="00872434" w:rsidP="002A21C0">
            <w:pPr>
              <w:spacing w:after="0" w:line="240" w:lineRule="auto"/>
              <w:jc w:val="center"/>
              <w:rPr>
                <w:rFonts w:asciiTheme="majorHAnsi" w:eastAsia="Times New Roman" w:hAnsiTheme="majorHAnsi" w:cstheme="majorHAnsi"/>
                <w:b/>
                <w:bCs/>
                <w:sz w:val="18"/>
                <w:szCs w:val="18"/>
              </w:rPr>
            </w:pPr>
            <w:r w:rsidRPr="00166862">
              <w:rPr>
                <w:rFonts w:asciiTheme="majorHAnsi" w:eastAsia="Times New Roman" w:hAnsiTheme="majorHAnsi" w:cstheme="majorHAnsi"/>
                <w:b/>
                <w:bCs/>
                <w:sz w:val="18"/>
                <w:szCs w:val="18"/>
              </w:rPr>
              <w:t>Codice Linea</w:t>
            </w:r>
          </w:p>
        </w:tc>
        <w:tc>
          <w:tcPr>
            <w:tcW w:w="7089" w:type="dxa"/>
            <w:shd w:val="clear" w:color="auto" w:fill="A5C34C" w:themeFill="accent6" w:themeFillShade="BF"/>
            <w:vAlign w:val="center"/>
            <w:hideMark/>
          </w:tcPr>
          <w:p w14:paraId="0096E3E7" w14:textId="77777777" w:rsidR="00872434" w:rsidRPr="00166862" w:rsidRDefault="00872434" w:rsidP="002A21C0">
            <w:pPr>
              <w:spacing w:after="0" w:line="240" w:lineRule="auto"/>
              <w:jc w:val="left"/>
              <w:rPr>
                <w:rFonts w:asciiTheme="majorHAnsi" w:eastAsia="Times New Roman" w:hAnsiTheme="majorHAnsi" w:cstheme="majorHAnsi"/>
                <w:b/>
                <w:bCs/>
                <w:sz w:val="18"/>
                <w:szCs w:val="18"/>
              </w:rPr>
            </w:pPr>
            <w:r w:rsidRPr="00166862">
              <w:rPr>
                <w:rFonts w:asciiTheme="majorHAnsi" w:eastAsia="Times New Roman" w:hAnsiTheme="majorHAnsi" w:cstheme="majorHAnsi"/>
                <w:b/>
                <w:bCs/>
                <w:sz w:val="18"/>
                <w:szCs w:val="18"/>
              </w:rPr>
              <w:t>Descrizione Linea</w:t>
            </w:r>
          </w:p>
        </w:tc>
        <w:tc>
          <w:tcPr>
            <w:tcW w:w="1129" w:type="dxa"/>
            <w:shd w:val="clear" w:color="auto" w:fill="A5C34C" w:themeFill="accent6" w:themeFillShade="BF"/>
            <w:vAlign w:val="center"/>
            <w:hideMark/>
          </w:tcPr>
          <w:p w14:paraId="37B1D67B" w14:textId="77777777" w:rsidR="00872434" w:rsidRPr="00166862" w:rsidRDefault="00872434" w:rsidP="002A21C0">
            <w:pPr>
              <w:spacing w:after="0" w:line="240" w:lineRule="auto"/>
              <w:jc w:val="right"/>
              <w:rPr>
                <w:rFonts w:asciiTheme="majorHAnsi" w:eastAsia="Times New Roman" w:hAnsiTheme="majorHAnsi" w:cstheme="majorHAnsi"/>
                <w:b/>
                <w:bCs/>
                <w:sz w:val="18"/>
                <w:szCs w:val="18"/>
              </w:rPr>
            </w:pPr>
            <w:r w:rsidRPr="00166862">
              <w:rPr>
                <w:rFonts w:asciiTheme="majorHAnsi" w:eastAsia="Times New Roman" w:hAnsiTheme="majorHAnsi" w:cstheme="majorHAnsi"/>
                <w:b/>
                <w:bCs/>
                <w:sz w:val="18"/>
                <w:szCs w:val="18"/>
              </w:rPr>
              <w:t>Validazioni 2024</w:t>
            </w:r>
          </w:p>
        </w:tc>
      </w:tr>
      <w:tr w:rsidR="00872434" w:rsidRPr="00166862" w14:paraId="7977B7F1" w14:textId="77777777" w:rsidTr="002A21C0">
        <w:trPr>
          <w:trHeight w:val="288"/>
        </w:trPr>
        <w:tc>
          <w:tcPr>
            <w:tcW w:w="844" w:type="dxa"/>
            <w:noWrap/>
            <w:vAlign w:val="center"/>
            <w:hideMark/>
          </w:tcPr>
          <w:p w14:paraId="496E441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a015</w:t>
            </w:r>
          </w:p>
        </w:tc>
        <w:tc>
          <w:tcPr>
            <w:tcW w:w="7089" w:type="dxa"/>
            <w:noWrap/>
            <w:vAlign w:val="center"/>
            <w:hideMark/>
          </w:tcPr>
          <w:p w14:paraId="2636BFE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ALESSANDRIA </w:t>
            </w:r>
            <w:r>
              <w:rPr>
                <w:rFonts w:cstheme="minorHAnsi"/>
                <w:sz w:val="18"/>
                <w:szCs w:val="18"/>
              </w:rPr>
              <w:t>–</w:t>
            </w:r>
            <w:r w:rsidRPr="00166862">
              <w:rPr>
                <w:rFonts w:cstheme="minorHAnsi"/>
                <w:sz w:val="18"/>
                <w:szCs w:val="18"/>
              </w:rPr>
              <w:t xml:space="preserve"> VALENZA</w:t>
            </w:r>
          </w:p>
        </w:tc>
        <w:tc>
          <w:tcPr>
            <w:tcW w:w="1129" w:type="dxa"/>
            <w:noWrap/>
            <w:vAlign w:val="center"/>
            <w:hideMark/>
          </w:tcPr>
          <w:p w14:paraId="1D6CFEC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5.192</w:t>
            </w:r>
          </w:p>
        </w:tc>
      </w:tr>
      <w:tr w:rsidR="00872434" w:rsidRPr="00166862" w14:paraId="625587E3" w14:textId="77777777" w:rsidTr="002A21C0">
        <w:trPr>
          <w:trHeight w:val="288"/>
        </w:trPr>
        <w:tc>
          <w:tcPr>
            <w:tcW w:w="844" w:type="dxa"/>
            <w:shd w:val="clear" w:color="auto" w:fill="F3F7E8" w:themeFill="accent6" w:themeFillTint="33"/>
            <w:noWrap/>
            <w:vAlign w:val="center"/>
            <w:hideMark/>
          </w:tcPr>
          <w:p w14:paraId="00D87E9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20</w:t>
            </w:r>
          </w:p>
        </w:tc>
        <w:tc>
          <w:tcPr>
            <w:tcW w:w="7089" w:type="dxa"/>
            <w:shd w:val="clear" w:color="auto" w:fill="F3F7E8" w:themeFill="accent6" w:themeFillTint="33"/>
            <w:noWrap/>
            <w:vAlign w:val="center"/>
            <w:hideMark/>
          </w:tcPr>
          <w:p w14:paraId="0C7DC31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ASTI - BALDICHIERI B. </w:t>
            </w:r>
            <w:r>
              <w:rPr>
                <w:rFonts w:cstheme="minorHAnsi"/>
                <w:sz w:val="18"/>
                <w:szCs w:val="18"/>
              </w:rPr>
              <w:t>–</w:t>
            </w:r>
            <w:r w:rsidRPr="00166862">
              <w:rPr>
                <w:rFonts w:cstheme="minorHAnsi"/>
                <w:sz w:val="18"/>
                <w:szCs w:val="18"/>
              </w:rPr>
              <w:t xml:space="preserve"> PRATOMORONE</w:t>
            </w:r>
          </w:p>
        </w:tc>
        <w:tc>
          <w:tcPr>
            <w:tcW w:w="1129" w:type="dxa"/>
            <w:shd w:val="clear" w:color="auto" w:fill="F3F7E8" w:themeFill="accent6" w:themeFillTint="33"/>
            <w:noWrap/>
            <w:vAlign w:val="center"/>
            <w:hideMark/>
          </w:tcPr>
          <w:p w14:paraId="4FB15D4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66.625</w:t>
            </w:r>
          </w:p>
        </w:tc>
      </w:tr>
      <w:tr w:rsidR="00872434" w:rsidRPr="00166862" w14:paraId="693A51A0" w14:textId="77777777" w:rsidTr="002A21C0">
        <w:trPr>
          <w:trHeight w:val="288"/>
        </w:trPr>
        <w:tc>
          <w:tcPr>
            <w:tcW w:w="844" w:type="dxa"/>
            <w:noWrap/>
            <w:vAlign w:val="center"/>
            <w:hideMark/>
          </w:tcPr>
          <w:p w14:paraId="064AEC1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21</w:t>
            </w:r>
          </w:p>
        </w:tc>
        <w:tc>
          <w:tcPr>
            <w:tcW w:w="7089" w:type="dxa"/>
            <w:noWrap/>
            <w:vAlign w:val="center"/>
            <w:hideMark/>
          </w:tcPr>
          <w:p w14:paraId="034F823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MOMBERCELLI - VINCHIO - NIZZA M.TO</w:t>
            </w:r>
          </w:p>
        </w:tc>
        <w:tc>
          <w:tcPr>
            <w:tcW w:w="1129" w:type="dxa"/>
            <w:noWrap/>
            <w:vAlign w:val="center"/>
            <w:hideMark/>
          </w:tcPr>
          <w:p w14:paraId="1C439F1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40.976</w:t>
            </w:r>
          </w:p>
        </w:tc>
      </w:tr>
      <w:tr w:rsidR="00872434" w:rsidRPr="00166862" w14:paraId="6EE24EF2" w14:textId="77777777" w:rsidTr="002A21C0">
        <w:trPr>
          <w:trHeight w:val="288"/>
        </w:trPr>
        <w:tc>
          <w:tcPr>
            <w:tcW w:w="844" w:type="dxa"/>
            <w:shd w:val="clear" w:color="auto" w:fill="F3F7E8" w:themeFill="accent6" w:themeFillTint="33"/>
            <w:noWrap/>
            <w:vAlign w:val="center"/>
            <w:hideMark/>
          </w:tcPr>
          <w:p w14:paraId="7D5A610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22</w:t>
            </w:r>
          </w:p>
        </w:tc>
        <w:tc>
          <w:tcPr>
            <w:tcW w:w="7089" w:type="dxa"/>
            <w:shd w:val="clear" w:color="auto" w:fill="F3F7E8" w:themeFill="accent6" w:themeFillTint="33"/>
            <w:noWrap/>
            <w:vAlign w:val="center"/>
            <w:hideMark/>
          </w:tcPr>
          <w:p w14:paraId="0F495E0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MOMBERCELLI - BELVEGLIO </w:t>
            </w:r>
            <w:r>
              <w:rPr>
                <w:rFonts w:cstheme="minorHAnsi"/>
                <w:sz w:val="18"/>
                <w:szCs w:val="18"/>
              </w:rPr>
              <w:t>–</w:t>
            </w:r>
            <w:r w:rsidRPr="00166862">
              <w:rPr>
                <w:rFonts w:cstheme="minorHAnsi"/>
                <w:sz w:val="18"/>
                <w:szCs w:val="18"/>
              </w:rPr>
              <w:t xml:space="preserve"> NIZZA</w:t>
            </w:r>
          </w:p>
        </w:tc>
        <w:tc>
          <w:tcPr>
            <w:tcW w:w="1129" w:type="dxa"/>
            <w:shd w:val="clear" w:color="auto" w:fill="F3F7E8" w:themeFill="accent6" w:themeFillTint="33"/>
            <w:noWrap/>
            <w:vAlign w:val="center"/>
            <w:hideMark/>
          </w:tcPr>
          <w:p w14:paraId="0CA9F32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6.062</w:t>
            </w:r>
          </w:p>
        </w:tc>
      </w:tr>
      <w:tr w:rsidR="00872434" w:rsidRPr="00166862" w14:paraId="042EA555" w14:textId="77777777" w:rsidTr="002A21C0">
        <w:trPr>
          <w:trHeight w:val="288"/>
        </w:trPr>
        <w:tc>
          <w:tcPr>
            <w:tcW w:w="844" w:type="dxa"/>
            <w:noWrap/>
            <w:vAlign w:val="center"/>
            <w:hideMark/>
          </w:tcPr>
          <w:p w14:paraId="7AFB9F0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23</w:t>
            </w:r>
          </w:p>
        </w:tc>
        <w:tc>
          <w:tcPr>
            <w:tcW w:w="7089" w:type="dxa"/>
            <w:noWrap/>
            <w:vAlign w:val="center"/>
            <w:hideMark/>
          </w:tcPr>
          <w:p w14:paraId="2211FA1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VALLECERRINA </w:t>
            </w:r>
            <w:r>
              <w:rPr>
                <w:rFonts w:cstheme="minorHAnsi"/>
                <w:sz w:val="18"/>
                <w:szCs w:val="18"/>
              </w:rPr>
              <w:t>–</w:t>
            </w:r>
            <w:r w:rsidRPr="00166862">
              <w:rPr>
                <w:rFonts w:cstheme="minorHAnsi"/>
                <w:sz w:val="18"/>
                <w:szCs w:val="18"/>
              </w:rPr>
              <w:t xml:space="preserve"> ASTI</w:t>
            </w:r>
          </w:p>
        </w:tc>
        <w:tc>
          <w:tcPr>
            <w:tcW w:w="1129" w:type="dxa"/>
            <w:noWrap/>
            <w:vAlign w:val="center"/>
            <w:hideMark/>
          </w:tcPr>
          <w:p w14:paraId="26B4E12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59.489</w:t>
            </w:r>
          </w:p>
        </w:tc>
      </w:tr>
      <w:tr w:rsidR="00872434" w:rsidRPr="00166862" w14:paraId="0FA8ABDB" w14:textId="77777777" w:rsidTr="002A21C0">
        <w:trPr>
          <w:trHeight w:val="288"/>
        </w:trPr>
        <w:tc>
          <w:tcPr>
            <w:tcW w:w="844" w:type="dxa"/>
            <w:shd w:val="clear" w:color="auto" w:fill="F3F7E8" w:themeFill="accent6" w:themeFillTint="33"/>
            <w:noWrap/>
            <w:vAlign w:val="center"/>
            <w:hideMark/>
          </w:tcPr>
          <w:p w14:paraId="0C8973A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27</w:t>
            </w:r>
          </w:p>
        </w:tc>
        <w:tc>
          <w:tcPr>
            <w:tcW w:w="7089" w:type="dxa"/>
            <w:shd w:val="clear" w:color="auto" w:fill="F3F7E8" w:themeFill="accent6" w:themeFillTint="33"/>
            <w:noWrap/>
            <w:vAlign w:val="center"/>
            <w:hideMark/>
          </w:tcPr>
          <w:p w14:paraId="1026122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CANALE </w:t>
            </w:r>
            <w:r>
              <w:rPr>
                <w:rFonts w:cstheme="minorHAnsi"/>
                <w:sz w:val="18"/>
                <w:szCs w:val="18"/>
              </w:rPr>
              <w:t>–</w:t>
            </w:r>
            <w:r w:rsidRPr="00166862">
              <w:rPr>
                <w:rFonts w:cstheme="minorHAnsi"/>
                <w:sz w:val="18"/>
                <w:szCs w:val="18"/>
              </w:rPr>
              <w:t xml:space="preserve"> ASTI</w:t>
            </w:r>
          </w:p>
        </w:tc>
        <w:tc>
          <w:tcPr>
            <w:tcW w:w="1129" w:type="dxa"/>
            <w:shd w:val="clear" w:color="auto" w:fill="F3F7E8" w:themeFill="accent6" w:themeFillTint="33"/>
            <w:noWrap/>
            <w:vAlign w:val="center"/>
            <w:hideMark/>
          </w:tcPr>
          <w:p w14:paraId="1F9419A6"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17.175</w:t>
            </w:r>
          </w:p>
        </w:tc>
      </w:tr>
      <w:tr w:rsidR="00872434" w:rsidRPr="00166862" w14:paraId="11B1101C" w14:textId="77777777" w:rsidTr="002A21C0">
        <w:trPr>
          <w:trHeight w:val="288"/>
        </w:trPr>
        <w:tc>
          <w:tcPr>
            <w:tcW w:w="844" w:type="dxa"/>
            <w:noWrap/>
            <w:vAlign w:val="center"/>
            <w:hideMark/>
          </w:tcPr>
          <w:p w14:paraId="54D5AD0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30</w:t>
            </w:r>
          </w:p>
        </w:tc>
        <w:tc>
          <w:tcPr>
            <w:tcW w:w="7089" w:type="dxa"/>
            <w:noWrap/>
            <w:vAlign w:val="center"/>
            <w:hideMark/>
          </w:tcPr>
          <w:p w14:paraId="245BAF6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ALTAVILLA-GRANA-ASTI E DEV</w:t>
            </w:r>
          </w:p>
        </w:tc>
        <w:tc>
          <w:tcPr>
            <w:tcW w:w="1129" w:type="dxa"/>
            <w:noWrap/>
            <w:vAlign w:val="center"/>
            <w:hideMark/>
          </w:tcPr>
          <w:p w14:paraId="6C659FD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8.719</w:t>
            </w:r>
          </w:p>
        </w:tc>
      </w:tr>
      <w:tr w:rsidR="00872434" w:rsidRPr="00166862" w14:paraId="61EE77EB" w14:textId="77777777" w:rsidTr="002A21C0">
        <w:trPr>
          <w:trHeight w:val="288"/>
        </w:trPr>
        <w:tc>
          <w:tcPr>
            <w:tcW w:w="844" w:type="dxa"/>
            <w:shd w:val="clear" w:color="auto" w:fill="F3F7E8" w:themeFill="accent6" w:themeFillTint="33"/>
            <w:noWrap/>
            <w:vAlign w:val="center"/>
            <w:hideMark/>
          </w:tcPr>
          <w:p w14:paraId="50C3CD5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31</w:t>
            </w:r>
          </w:p>
        </w:tc>
        <w:tc>
          <w:tcPr>
            <w:tcW w:w="7089" w:type="dxa"/>
            <w:shd w:val="clear" w:color="auto" w:fill="F3F7E8" w:themeFill="accent6" w:themeFillTint="33"/>
            <w:noWrap/>
            <w:vAlign w:val="center"/>
            <w:hideMark/>
          </w:tcPr>
          <w:p w14:paraId="02A8CA1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ALTAVILLA-MONCALVO-ASTI CON DIR. CASALE</w:t>
            </w:r>
          </w:p>
        </w:tc>
        <w:tc>
          <w:tcPr>
            <w:tcW w:w="1129" w:type="dxa"/>
            <w:shd w:val="clear" w:color="auto" w:fill="F3F7E8" w:themeFill="accent6" w:themeFillTint="33"/>
            <w:noWrap/>
            <w:vAlign w:val="center"/>
            <w:hideMark/>
          </w:tcPr>
          <w:p w14:paraId="205E6FA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16.611</w:t>
            </w:r>
          </w:p>
        </w:tc>
      </w:tr>
      <w:tr w:rsidR="00872434" w:rsidRPr="00166862" w14:paraId="63E9EFF9" w14:textId="77777777" w:rsidTr="002A21C0">
        <w:trPr>
          <w:trHeight w:val="288"/>
        </w:trPr>
        <w:tc>
          <w:tcPr>
            <w:tcW w:w="844" w:type="dxa"/>
            <w:noWrap/>
            <w:vAlign w:val="center"/>
            <w:hideMark/>
          </w:tcPr>
          <w:p w14:paraId="147B54D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32</w:t>
            </w:r>
          </w:p>
        </w:tc>
        <w:tc>
          <w:tcPr>
            <w:tcW w:w="7089" w:type="dxa"/>
            <w:noWrap/>
            <w:vAlign w:val="center"/>
            <w:hideMark/>
          </w:tcPr>
          <w:p w14:paraId="5A72166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ASTI MOVICENTRO - ASTI HOTEL SALERA</w:t>
            </w:r>
          </w:p>
        </w:tc>
        <w:tc>
          <w:tcPr>
            <w:tcW w:w="1129" w:type="dxa"/>
            <w:noWrap/>
            <w:vAlign w:val="center"/>
            <w:hideMark/>
          </w:tcPr>
          <w:p w14:paraId="65D2D2B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D9CC5FF" w14:textId="77777777" w:rsidTr="002A21C0">
        <w:trPr>
          <w:trHeight w:val="288"/>
        </w:trPr>
        <w:tc>
          <w:tcPr>
            <w:tcW w:w="844" w:type="dxa"/>
            <w:shd w:val="clear" w:color="auto" w:fill="F3F7E8" w:themeFill="accent6" w:themeFillTint="33"/>
            <w:noWrap/>
            <w:vAlign w:val="center"/>
            <w:hideMark/>
          </w:tcPr>
          <w:p w14:paraId="20A8003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34</w:t>
            </w:r>
          </w:p>
        </w:tc>
        <w:tc>
          <w:tcPr>
            <w:tcW w:w="7089" w:type="dxa"/>
            <w:shd w:val="clear" w:color="auto" w:fill="F3F7E8" w:themeFill="accent6" w:themeFillTint="33"/>
            <w:noWrap/>
            <w:vAlign w:val="center"/>
            <w:hideMark/>
          </w:tcPr>
          <w:p w14:paraId="681D393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CASTELNUOVO D.B.-ASTI</w:t>
            </w:r>
          </w:p>
        </w:tc>
        <w:tc>
          <w:tcPr>
            <w:tcW w:w="1129" w:type="dxa"/>
            <w:shd w:val="clear" w:color="auto" w:fill="F3F7E8" w:themeFill="accent6" w:themeFillTint="33"/>
            <w:noWrap/>
            <w:vAlign w:val="center"/>
            <w:hideMark/>
          </w:tcPr>
          <w:p w14:paraId="4429AB4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045C0A5" w14:textId="77777777" w:rsidTr="002A21C0">
        <w:trPr>
          <w:trHeight w:val="288"/>
        </w:trPr>
        <w:tc>
          <w:tcPr>
            <w:tcW w:w="844" w:type="dxa"/>
            <w:noWrap/>
            <w:vAlign w:val="center"/>
            <w:hideMark/>
          </w:tcPr>
          <w:p w14:paraId="52647D2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35</w:t>
            </w:r>
          </w:p>
        </w:tc>
        <w:tc>
          <w:tcPr>
            <w:tcW w:w="7089" w:type="dxa"/>
            <w:noWrap/>
            <w:vAlign w:val="center"/>
            <w:hideMark/>
          </w:tcPr>
          <w:p w14:paraId="742175B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SCOLASTICA DI CASTELNUOVO D.B. - I.I.S. ANDRIANO</w:t>
            </w:r>
          </w:p>
        </w:tc>
        <w:tc>
          <w:tcPr>
            <w:tcW w:w="1129" w:type="dxa"/>
            <w:noWrap/>
            <w:vAlign w:val="center"/>
            <w:hideMark/>
          </w:tcPr>
          <w:p w14:paraId="42ADCAB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C5376B6" w14:textId="77777777" w:rsidTr="002A21C0">
        <w:trPr>
          <w:trHeight w:val="288"/>
        </w:trPr>
        <w:tc>
          <w:tcPr>
            <w:tcW w:w="844" w:type="dxa"/>
            <w:shd w:val="clear" w:color="auto" w:fill="F3F7E8" w:themeFill="accent6" w:themeFillTint="33"/>
            <w:noWrap/>
            <w:vAlign w:val="center"/>
            <w:hideMark/>
          </w:tcPr>
          <w:p w14:paraId="2EFC335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36</w:t>
            </w:r>
          </w:p>
        </w:tc>
        <w:tc>
          <w:tcPr>
            <w:tcW w:w="7089" w:type="dxa"/>
            <w:shd w:val="clear" w:color="auto" w:fill="F3F7E8" w:themeFill="accent6" w:themeFillTint="33"/>
            <w:noWrap/>
            <w:vAlign w:val="center"/>
            <w:hideMark/>
          </w:tcPr>
          <w:p w14:paraId="1C4A495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ROCCHETTA P-CANELLI</w:t>
            </w:r>
          </w:p>
        </w:tc>
        <w:tc>
          <w:tcPr>
            <w:tcW w:w="1129" w:type="dxa"/>
            <w:shd w:val="clear" w:color="auto" w:fill="F3F7E8" w:themeFill="accent6" w:themeFillTint="33"/>
            <w:noWrap/>
            <w:vAlign w:val="center"/>
            <w:hideMark/>
          </w:tcPr>
          <w:p w14:paraId="68EBE23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8FA491D" w14:textId="77777777" w:rsidTr="002A21C0">
        <w:trPr>
          <w:trHeight w:val="288"/>
        </w:trPr>
        <w:tc>
          <w:tcPr>
            <w:tcW w:w="844" w:type="dxa"/>
            <w:noWrap/>
            <w:vAlign w:val="center"/>
            <w:hideMark/>
          </w:tcPr>
          <w:p w14:paraId="68FDE63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37</w:t>
            </w:r>
          </w:p>
        </w:tc>
        <w:tc>
          <w:tcPr>
            <w:tcW w:w="7089" w:type="dxa"/>
            <w:noWrap/>
            <w:vAlign w:val="center"/>
            <w:hideMark/>
          </w:tcPr>
          <w:p w14:paraId="6F753AA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MOMBERCELLI-ASTI</w:t>
            </w:r>
          </w:p>
        </w:tc>
        <w:tc>
          <w:tcPr>
            <w:tcW w:w="1129" w:type="dxa"/>
            <w:noWrap/>
            <w:vAlign w:val="center"/>
            <w:hideMark/>
          </w:tcPr>
          <w:p w14:paraId="7F58B3E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10.204</w:t>
            </w:r>
          </w:p>
        </w:tc>
      </w:tr>
      <w:tr w:rsidR="00872434" w:rsidRPr="00166862" w14:paraId="2087CD16" w14:textId="77777777" w:rsidTr="002A21C0">
        <w:trPr>
          <w:trHeight w:val="288"/>
        </w:trPr>
        <w:tc>
          <w:tcPr>
            <w:tcW w:w="844" w:type="dxa"/>
            <w:shd w:val="clear" w:color="auto" w:fill="F3F7E8" w:themeFill="accent6" w:themeFillTint="33"/>
            <w:noWrap/>
            <w:vAlign w:val="center"/>
            <w:hideMark/>
          </w:tcPr>
          <w:p w14:paraId="04D386D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39</w:t>
            </w:r>
          </w:p>
        </w:tc>
        <w:tc>
          <w:tcPr>
            <w:tcW w:w="7089" w:type="dxa"/>
            <w:shd w:val="clear" w:color="auto" w:fill="F3F7E8" w:themeFill="accent6" w:themeFillTint="33"/>
            <w:noWrap/>
            <w:vAlign w:val="center"/>
            <w:hideMark/>
          </w:tcPr>
          <w:p w14:paraId="41E8035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CORTEMILIA-ACQUI TERME-CANELLI</w:t>
            </w:r>
          </w:p>
        </w:tc>
        <w:tc>
          <w:tcPr>
            <w:tcW w:w="1129" w:type="dxa"/>
            <w:shd w:val="clear" w:color="auto" w:fill="F3F7E8" w:themeFill="accent6" w:themeFillTint="33"/>
            <w:noWrap/>
            <w:vAlign w:val="center"/>
            <w:hideMark/>
          </w:tcPr>
          <w:p w14:paraId="7CD55E1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9.966</w:t>
            </w:r>
          </w:p>
        </w:tc>
      </w:tr>
      <w:tr w:rsidR="00872434" w:rsidRPr="00166862" w14:paraId="2537221D" w14:textId="77777777" w:rsidTr="002A21C0">
        <w:trPr>
          <w:trHeight w:val="288"/>
        </w:trPr>
        <w:tc>
          <w:tcPr>
            <w:tcW w:w="844" w:type="dxa"/>
            <w:noWrap/>
            <w:vAlign w:val="center"/>
            <w:hideMark/>
          </w:tcPr>
          <w:p w14:paraId="14D37CF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40</w:t>
            </w:r>
          </w:p>
        </w:tc>
        <w:tc>
          <w:tcPr>
            <w:tcW w:w="7089" w:type="dxa"/>
            <w:noWrap/>
            <w:vAlign w:val="center"/>
            <w:hideMark/>
          </w:tcPr>
          <w:p w14:paraId="106DDD8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LOAZZOLO-CANELLI</w:t>
            </w:r>
          </w:p>
        </w:tc>
        <w:tc>
          <w:tcPr>
            <w:tcW w:w="1129" w:type="dxa"/>
            <w:noWrap/>
            <w:vAlign w:val="center"/>
            <w:hideMark/>
          </w:tcPr>
          <w:p w14:paraId="61D78C8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3</w:t>
            </w:r>
          </w:p>
        </w:tc>
      </w:tr>
      <w:tr w:rsidR="00872434" w:rsidRPr="00166862" w14:paraId="5D229EA2" w14:textId="77777777" w:rsidTr="002A21C0">
        <w:trPr>
          <w:trHeight w:val="288"/>
        </w:trPr>
        <w:tc>
          <w:tcPr>
            <w:tcW w:w="844" w:type="dxa"/>
            <w:shd w:val="clear" w:color="auto" w:fill="F3F7E8" w:themeFill="accent6" w:themeFillTint="33"/>
            <w:noWrap/>
            <w:vAlign w:val="center"/>
            <w:hideMark/>
          </w:tcPr>
          <w:p w14:paraId="4F246AC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41</w:t>
            </w:r>
          </w:p>
        </w:tc>
        <w:tc>
          <w:tcPr>
            <w:tcW w:w="7089" w:type="dxa"/>
            <w:shd w:val="clear" w:color="auto" w:fill="F3F7E8" w:themeFill="accent6" w:themeFillTint="33"/>
            <w:noWrap/>
            <w:vAlign w:val="center"/>
            <w:hideMark/>
          </w:tcPr>
          <w:p w14:paraId="43224A7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CANELLI-ASTI</w:t>
            </w:r>
          </w:p>
        </w:tc>
        <w:tc>
          <w:tcPr>
            <w:tcW w:w="1129" w:type="dxa"/>
            <w:shd w:val="clear" w:color="auto" w:fill="F3F7E8" w:themeFill="accent6" w:themeFillTint="33"/>
            <w:noWrap/>
            <w:vAlign w:val="center"/>
            <w:hideMark/>
          </w:tcPr>
          <w:p w14:paraId="1590553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20.561</w:t>
            </w:r>
          </w:p>
        </w:tc>
      </w:tr>
      <w:tr w:rsidR="00872434" w:rsidRPr="00166862" w14:paraId="53D2B3BB" w14:textId="77777777" w:rsidTr="002A21C0">
        <w:trPr>
          <w:trHeight w:val="288"/>
        </w:trPr>
        <w:tc>
          <w:tcPr>
            <w:tcW w:w="844" w:type="dxa"/>
            <w:noWrap/>
            <w:vAlign w:val="center"/>
            <w:hideMark/>
          </w:tcPr>
          <w:p w14:paraId="142CA3C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42</w:t>
            </w:r>
          </w:p>
        </w:tc>
        <w:tc>
          <w:tcPr>
            <w:tcW w:w="7089" w:type="dxa"/>
            <w:noWrap/>
            <w:vAlign w:val="center"/>
            <w:hideMark/>
          </w:tcPr>
          <w:p w14:paraId="0F9353C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BUBBIO </w:t>
            </w:r>
            <w:r>
              <w:rPr>
                <w:rFonts w:cstheme="minorHAnsi"/>
                <w:sz w:val="18"/>
                <w:szCs w:val="18"/>
              </w:rPr>
              <w:t>–</w:t>
            </w:r>
            <w:r w:rsidRPr="00166862">
              <w:rPr>
                <w:rFonts w:cstheme="minorHAnsi"/>
                <w:sz w:val="18"/>
                <w:szCs w:val="18"/>
              </w:rPr>
              <w:t xml:space="preserve"> CANELLI</w:t>
            </w:r>
          </w:p>
        </w:tc>
        <w:tc>
          <w:tcPr>
            <w:tcW w:w="1129" w:type="dxa"/>
            <w:noWrap/>
            <w:vAlign w:val="center"/>
            <w:hideMark/>
          </w:tcPr>
          <w:p w14:paraId="2202786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469EF2A" w14:textId="77777777" w:rsidTr="002A21C0">
        <w:trPr>
          <w:trHeight w:val="288"/>
        </w:trPr>
        <w:tc>
          <w:tcPr>
            <w:tcW w:w="844" w:type="dxa"/>
            <w:shd w:val="clear" w:color="auto" w:fill="F3F7E8" w:themeFill="accent6" w:themeFillTint="33"/>
            <w:noWrap/>
            <w:vAlign w:val="center"/>
            <w:hideMark/>
          </w:tcPr>
          <w:p w14:paraId="5545E75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43</w:t>
            </w:r>
          </w:p>
        </w:tc>
        <w:tc>
          <w:tcPr>
            <w:tcW w:w="7089" w:type="dxa"/>
            <w:shd w:val="clear" w:color="auto" w:fill="F3F7E8" w:themeFill="accent6" w:themeFillTint="33"/>
            <w:noWrap/>
            <w:vAlign w:val="center"/>
            <w:hideMark/>
          </w:tcPr>
          <w:p w14:paraId="75CA0A9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NIZZA MONFERRATO - CASTAGNOLE LANZE</w:t>
            </w:r>
          </w:p>
        </w:tc>
        <w:tc>
          <w:tcPr>
            <w:tcW w:w="1129" w:type="dxa"/>
            <w:shd w:val="clear" w:color="auto" w:fill="F3F7E8" w:themeFill="accent6" w:themeFillTint="33"/>
            <w:noWrap/>
            <w:vAlign w:val="center"/>
            <w:hideMark/>
          </w:tcPr>
          <w:p w14:paraId="63043B7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12</w:t>
            </w:r>
          </w:p>
        </w:tc>
      </w:tr>
      <w:tr w:rsidR="00872434" w:rsidRPr="00166862" w14:paraId="6301748D" w14:textId="77777777" w:rsidTr="002A21C0">
        <w:trPr>
          <w:trHeight w:val="288"/>
        </w:trPr>
        <w:tc>
          <w:tcPr>
            <w:tcW w:w="844" w:type="dxa"/>
            <w:noWrap/>
            <w:vAlign w:val="center"/>
            <w:hideMark/>
          </w:tcPr>
          <w:p w14:paraId="5F08FB2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45</w:t>
            </w:r>
          </w:p>
        </w:tc>
        <w:tc>
          <w:tcPr>
            <w:tcW w:w="7089" w:type="dxa"/>
            <w:noWrap/>
            <w:vAlign w:val="center"/>
            <w:hideMark/>
          </w:tcPr>
          <w:p w14:paraId="7698837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TORINO-VILLANOVA-DUSINO-FERRERE-ASTI</w:t>
            </w:r>
          </w:p>
        </w:tc>
        <w:tc>
          <w:tcPr>
            <w:tcW w:w="1129" w:type="dxa"/>
            <w:noWrap/>
            <w:vAlign w:val="center"/>
            <w:hideMark/>
          </w:tcPr>
          <w:p w14:paraId="53F7C30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23.807</w:t>
            </w:r>
          </w:p>
        </w:tc>
      </w:tr>
      <w:tr w:rsidR="00872434" w:rsidRPr="00166862" w14:paraId="0A809F0C" w14:textId="77777777" w:rsidTr="002A21C0">
        <w:trPr>
          <w:trHeight w:val="288"/>
        </w:trPr>
        <w:tc>
          <w:tcPr>
            <w:tcW w:w="844" w:type="dxa"/>
            <w:shd w:val="clear" w:color="auto" w:fill="F3F7E8" w:themeFill="accent6" w:themeFillTint="33"/>
            <w:noWrap/>
            <w:vAlign w:val="center"/>
            <w:hideMark/>
          </w:tcPr>
          <w:p w14:paraId="49E127F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46</w:t>
            </w:r>
          </w:p>
        </w:tc>
        <w:tc>
          <w:tcPr>
            <w:tcW w:w="7089" w:type="dxa"/>
            <w:shd w:val="clear" w:color="auto" w:fill="F3F7E8" w:themeFill="accent6" w:themeFillTint="33"/>
            <w:noWrap/>
            <w:vAlign w:val="center"/>
            <w:hideMark/>
          </w:tcPr>
          <w:p w14:paraId="5DC78B1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BIANCHI-VILLANOVA-DUSINO-CHIERI</w:t>
            </w:r>
          </w:p>
        </w:tc>
        <w:tc>
          <w:tcPr>
            <w:tcW w:w="1129" w:type="dxa"/>
            <w:shd w:val="clear" w:color="auto" w:fill="F3F7E8" w:themeFill="accent6" w:themeFillTint="33"/>
            <w:noWrap/>
            <w:vAlign w:val="center"/>
            <w:hideMark/>
          </w:tcPr>
          <w:p w14:paraId="4B2FF96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13.666</w:t>
            </w:r>
          </w:p>
        </w:tc>
      </w:tr>
      <w:tr w:rsidR="00872434" w:rsidRPr="00166862" w14:paraId="5E470B91" w14:textId="77777777" w:rsidTr="002A21C0">
        <w:trPr>
          <w:trHeight w:val="288"/>
        </w:trPr>
        <w:tc>
          <w:tcPr>
            <w:tcW w:w="844" w:type="dxa"/>
            <w:noWrap/>
            <w:vAlign w:val="center"/>
            <w:hideMark/>
          </w:tcPr>
          <w:p w14:paraId="036237A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47</w:t>
            </w:r>
          </w:p>
        </w:tc>
        <w:tc>
          <w:tcPr>
            <w:tcW w:w="7089" w:type="dxa"/>
            <w:noWrap/>
            <w:vAlign w:val="center"/>
            <w:hideMark/>
          </w:tcPr>
          <w:p w14:paraId="69FE90A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ALBA - SAN DAMIANO </w:t>
            </w:r>
            <w:r>
              <w:rPr>
                <w:rFonts w:cstheme="minorHAnsi"/>
                <w:sz w:val="18"/>
                <w:szCs w:val="18"/>
              </w:rPr>
              <w:t>–</w:t>
            </w:r>
            <w:r w:rsidRPr="00166862">
              <w:rPr>
                <w:rFonts w:cstheme="minorHAnsi"/>
                <w:sz w:val="18"/>
                <w:szCs w:val="18"/>
              </w:rPr>
              <w:t xml:space="preserve"> VALFENERA</w:t>
            </w:r>
          </w:p>
        </w:tc>
        <w:tc>
          <w:tcPr>
            <w:tcW w:w="1129" w:type="dxa"/>
            <w:noWrap/>
            <w:vAlign w:val="center"/>
            <w:hideMark/>
          </w:tcPr>
          <w:p w14:paraId="6601633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21.097</w:t>
            </w:r>
          </w:p>
        </w:tc>
      </w:tr>
      <w:tr w:rsidR="00872434" w:rsidRPr="00166862" w14:paraId="74800D6A" w14:textId="77777777" w:rsidTr="002A21C0">
        <w:trPr>
          <w:trHeight w:val="288"/>
        </w:trPr>
        <w:tc>
          <w:tcPr>
            <w:tcW w:w="844" w:type="dxa"/>
            <w:shd w:val="clear" w:color="auto" w:fill="F3F7E8" w:themeFill="accent6" w:themeFillTint="33"/>
            <w:noWrap/>
            <w:vAlign w:val="center"/>
            <w:hideMark/>
          </w:tcPr>
          <w:p w14:paraId="66939F6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47 /</w:t>
            </w:r>
          </w:p>
        </w:tc>
        <w:tc>
          <w:tcPr>
            <w:tcW w:w="7089" w:type="dxa"/>
            <w:shd w:val="clear" w:color="auto" w:fill="F3F7E8" w:themeFill="accent6" w:themeFillTint="33"/>
            <w:noWrap/>
            <w:vAlign w:val="center"/>
            <w:hideMark/>
          </w:tcPr>
          <w:p w14:paraId="48580C1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VALFENERA - TORINO CON DIRAM.</w:t>
            </w:r>
          </w:p>
        </w:tc>
        <w:tc>
          <w:tcPr>
            <w:tcW w:w="1129" w:type="dxa"/>
            <w:shd w:val="clear" w:color="auto" w:fill="F3F7E8" w:themeFill="accent6" w:themeFillTint="33"/>
            <w:noWrap/>
            <w:vAlign w:val="center"/>
            <w:hideMark/>
          </w:tcPr>
          <w:p w14:paraId="74D3982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4E3040C" w14:textId="77777777" w:rsidTr="002A21C0">
        <w:trPr>
          <w:trHeight w:val="288"/>
        </w:trPr>
        <w:tc>
          <w:tcPr>
            <w:tcW w:w="844" w:type="dxa"/>
            <w:noWrap/>
            <w:vAlign w:val="center"/>
            <w:hideMark/>
          </w:tcPr>
          <w:p w14:paraId="6F8F9D3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48</w:t>
            </w:r>
          </w:p>
        </w:tc>
        <w:tc>
          <w:tcPr>
            <w:tcW w:w="7089" w:type="dxa"/>
            <w:noWrap/>
            <w:vAlign w:val="center"/>
            <w:hideMark/>
          </w:tcPr>
          <w:p w14:paraId="738EE44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ALBA-DUSINO SAN MICHELE</w:t>
            </w:r>
          </w:p>
        </w:tc>
        <w:tc>
          <w:tcPr>
            <w:tcW w:w="1129" w:type="dxa"/>
            <w:noWrap/>
            <w:vAlign w:val="center"/>
            <w:hideMark/>
          </w:tcPr>
          <w:p w14:paraId="4BD8528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3.286</w:t>
            </w:r>
          </w:p>
        </w:tc>
      </w:tr>
      <w:tr w:rsidR="00872434" w:rsidRPr="00166862" w14:paraId="7A1A7A39" w14:textId="77777777" w:rsidTr="002A21C0">
        <w:trPr>
          <w:trHeight w:val="288"/>
        </w:trPr>
        <w:tc>
          <w:tcPr>
            <w:tcW w:w="844" w:type="dxa"/>
            <w:shd w:val="clear" w:color="auto" w:fill="F3F7E8" w:themeFill="accent6" w:themeFillTint="33"/>
            <w:noWrap/>
            <w:vAlign w:val="center"/>
            <w:hideMark/>
          </w:tcPr>
          <w:p w14:paraId="541F15A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48 /</w:t>
            </w:r>
          </w:p>
        </w:tc>
        <w:tc>
          <w:tcPr>
            <w:tcW w:w="7089" w:type="dxa"/>
            <w:shd w:val="clear" w:color="auto" w:fill="F3F7E8" w:themeFill="accent6" w:themeFillTint="33"/>
            <w:noWrap/>
            <w:vAlign w:val="center"/>
            <w:hideMark/>
          </w:tcPr>
          <w:p w14:paraId="478D901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DUSINO - RIVALTA FIAT AVIO - CON DEVIAZIONI E DIRAMAZIONI FIAT MIRAFIORI</w:t>
            </w:r>
          </w:p>
        </w:tc>
        <w:tc>
          <w:tcPr>
            <w:tcW w:w="1129" w:type="dxa"/>
            <w:shd w:val="clear" w:color="auto" w:fill="F3F7E8" w:themeFill="accent6" w:themeFillTint="33"/>
            <w:noWrap/>
            <w:vAlign w:val="center"/>
            <w:hideMark/>
          </w:tcPr>
          <w:p w14:paraId="1CDD8A9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7E3B010" w14:textId="77777777" w:rsidTr="002A21C0">
        <w:trPr>
          <w:trHeight w:val="288"/>
        </w:trPr>
        <w:tc>
          <w:tcPr>
            <w:tcW w:w="844" w:type="dxa"/>
            <w:noWrap/>
            <w:vAlign w:val="center"/>
            <w:hideMark/>
          </w:tcPr>
          <w:p w14:paraId="64CFE5D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49</w:t>
            </w:r>
          </w:p>
        </w:tc>
        <w:tc>
          <w:tcPr>
            <w:tcW w:w="7089" w:type="dxa"/>
            <w:noWrap/>
            <w:vAlign w:val="center"/>
            <w:hideMark/>
          </w:tcPr>
          <w:p w14:paraId="16B0B91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ASTI-GOVONE-ALBA DEV E DIRAM.</w:t>
            </w:r>
          </w:p>
        </w:tc>
        <w:tc>
          <w:tcPr>
            <w:tcW w:w="1129" w:type="dxa"/>
            <w:noWrap/>
            <w:vAlign w:val="center"/>
            <w:hideMark/>
          </w:tcPr>
          <w:p w14:paraId="14B8FD8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14.279</w:t>
            </w:r>
          </w:p>
        </w:tc>
      </w:tr>
      <w:tr w:rsidR="00872434" w:rsidRPr="00166862" w14:paraId="641C15AD" w14:textId="77777777" w:rsidTr="002A21C0">
        <w:trPr>
          <w:trHeight w:val="288"/>
        </w:trPr>
        <w:tc>
          <w:tcPr>
            <w:tcW w:w="844" w:type="dxa"/>
            <w:shd w:val="clear" w:color="auto" w:fill="F3F7E8" w:themeFill="accent6" w:themeFillTint="33"/>
            <w:noWrap/>
            <w:vAlign w:val="center"/>
            <w:hideMark/>
          </w:tcPr>
          <w:p w14:paraId="14E6253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50</w:t>
            </w:r>
          </w:p>
        </w:tc>
        <w:tc>
          <w:tcPr>
            <w:tcW w:w="7089" w:type="dxa"/>
            <w:shd w:val="clear" w:color="auto" w:fill="F3F7E8" w:themeFill="accent6" w:themeFillTint="33"/>
            <w:noWrap/>
            <w:vAlign w:val="center"/>
            <w:hideMark/>
          </w:tcPr>
          <w:p w14:paraId="5C2F5D5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ASTI-CINAGLIO-VILLANOVA CON DEV.</w:t>
            </w:r>
          </w:p>
        </w:tc>
        <w:tc>
          <w:tcPr>
            <w:tcW w:w="1129" w:type="dxa"/>
            <w:shd w:val="clear" w:color="auto" w:fill="F3F7E8" w:themeFill="accent6" w:themeFillTint="33"/>
            <w:noWrap/>
            <w:vAlign w:val="center"/>
            <w:hideMark/>
          </w:tcPr>
          <w:p w14:paraId="201BC33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3.036</w:t>
            </w:r>
          </w:p>
        </w:tc>
      </w:tr>
      <w:tr w:rsidR="00872434" w:rsidRPr="00166862" w14:paraId="6A83BACB" w14:textId="77777777" w:rsidTr="002A21C0">
        <w:trPr>
          <w:trHeight w:val="288"/>
        </w:trPr>
        <w:tc>
          <w:tcPr>
            <w:tcW w:w="844" w:type="dxa"/>
            <w:noWrap/>
            <w:vAlign w:val="center"/>
            <w:hideMark/>
          </w:tcPr>
          <w:p w14:paraId="247876C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51</w:t>
            </w:r>
          </w:p>
        </w:tc>
        <w:tc>
          <w:tcPr>
            <w:tcW w:w="7089" w:type="dxa"/>
            <w:noWrap/>
            <w:vAlign w:val="center"/>
            <w:hideMark/>
          </w:tcPr>
          <w:p w14:paraId="3C70629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VILLANOVA-MONTAFIA-VIALE-MONALE-ASTI FS</w:t>
            </w:r>
          </w:p>
        </w:tc>
        <w:tc>
          <w:tcPr>
            <w:tcW w:w="1129" w:type="dxa"/>
            <w:noWrap/>
            <w:vAlign w:val="center"/>
            <w:hideMark/>
          </w:tcPr>
          <w:p w14:paraId="3E840A16"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71EC462" w14:textId="77777777" w:rsidTr="002A21C0">
        <w:trPr>
          <w:trHeight w:val="288"/>
        </w:trPr>
        <w:tc>
          <w:tcPr>
            <w:tcW w:w="844" w:type="dxa"/>
            <w:shd w:val="clear" w:color="auto" w:fill="F3F7E8" w:themeFill="accent6" w:themeFillTint="33"/>
            <w:noWrap/>
            <w:vAlign w:val="center"/>
            <w:hideMark/>
          </w:tcPr>
          <w:p w14:paraId="5AA1DE8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56</w:t>
            </w:r>
          </w:p>
        </w:tc>
        <w:tc>
          <w:tcPr>
            <w:tcW w:w="7089" w:type="dxa"/>
            <w:shd w:val="clear" w:color="auto" w:fill="F3F7E8" w:themeFill="accent6" w:themeFillTint="33"/>
            <w:noWrap/>
            <w:vAlign w:val="center"/>
            <w:hideMark/>
          </w:tcPr>
          <w:p w14:paraId="0EE3BB2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VILLANOVA F.S.-VALFENERA DEV.</w:t>
            </w:r>
          </w:p>
        </w:tc>
        <w:tc>
          <w:tcPr>
            <w:tcW w:w="1129" w:type="dxa"/>
            <w:shd w:val="clear" w:color="auto" w:fill="F3F7E8" w:themeFill="accent6" w:themeFillTint="33"/>
            <w:noWrap/>
            <w:vAlign w:val="center"/>
            <w:hideMark/>
          </w:tcPr>
          <w:p w14:paraId="518F077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072D86E" w14:textId="77777777" w:rsidTr="002A21C0">
        <w:trPr>
          <w:trHeight w:val="288"/>
        </w:trPr>
        <w:tc>
          <w:tcPr>
            <w:tcW w:w="844" w:type="dxa"/>
            <w:noWrap/>
            <w:vAlign w:val="center"/>
            <w:hideMark/>
          </w:tcPr>
          <w:p w14:paraId="7260E77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58</w:t>
            </w:r>
          </w:p>
        </w:tc>
        <w:tc>
          <w:tcPr>
            <w:tcW w:w="7089" w:type="dxa"/>
            <w:noWrap/>
            <w:vAlign w:val="center"/>
            <w:hideMark/>
          </w:tcPr>
          <w:p w14:paraId="0A9D012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MASIO-ASTI F.S.</w:t>
            </w:r>
          </w:p>
        </w:tc>
        <w:tc>
          <w:tcPr>
            <w:tcW w:w="1129" w:type="dxa"/>
            <w:noWrap/>
            <w:vAlign w:val="center"/>
            <w:hideMark/>
          </w:tcPr>
          <w:p w14:paraId="4442C45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D95CB85" w14:textId="77777777" w:rsidTr="002A21C0">
        <w:trPr>
          <w:trHeight w:val="288"/>
        </w:trPr>
        <w:tc>
          <w:tcPr>
            <w:tcW w:w="844" w:type="dxa"/>
            <w:shd w:val="clear" w:color="auto" w:fill="F3F7E8" w:themeFill="accent6" w:themeFillTint="33"/>
            <w:noWrap/>
            <w:vAlign w:val="center"/>
            <w:hideMark/>
          </w:tcPr>
          <w:p w14:paraId="60E5CED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lastRenderedPageBreak/>
              <w:t>60</w:t>
            </w:r>
          </w:p>
        </w:tc>
        <w:tc>
          <w:tcPr>
            <w:tcW w:w="7089" w:type="dxa"/>
            <w:shd w:val="clear" w:color="auto" w:fill="F3F7E8" w:themeFill="accent6" w:themeFillTint="33"/>
            <w:noWrap/>
            <w:vAlign w:val="center"/>
            <w:hideMark/>
          </w:tcPr>
          <w:p w14:paraId="6B3D415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ASTI-MONTALDO S. CON PROL. A MONTEGROSSO SM.</w:t>
            </w:r>
          </w:p>
        </w:tc>
        <w:tc>
          <w:tcPr>
            <w:tcW w:w="1129" w:type="dxa"/>
            <w:shd w:val="clear" w:color="auto" w:fill="F3F7E8" w:themeFill="accent6" w:themeFillTint="33"/>
            <w:noWrap/>
            <w:vAlign w:val="center"/>
            <w:hideMark/>
          </w:tcPr>
          <w:p w14:paraId="2800464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19</w:t>
            </w:r>
          </w:p>
        </w:tc>
      </w:tr>
      <w:tr w:rsidR="00872434" w:rsidRPr="00166862" w14:paraId="14489E85" w14:textId="77777777" w:rsidTr="002A21C0">
        <w:trPr>
          <w:trHeight w:val="288"/>
        </w:trPr>
        <w:tc>
          <w:tcPr>
            <w:tcW w:w="844" w:type="dxa"/>
            <w:noWrap/>
            <w:vAlign w:val="center"/>
            <w:hideMark/>
          </w:tcPr>
          <w:p w14:paraId="66AD751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64</w:t>
            </w:r>
          </w:p>
        </w:tc>
        <w:tc>
          <w:tcPr>
            <w:tcW w:w="7089" w:type="dxa"/>
            <w:noWrap/>
            <w:vAlign w:val="center"/>
            <w:hideMark/>
          </w:tcPr>
          <w:p w14:paraId="27721A5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CALOSSO - COSTIGLIOLE </w:t>
            </w:r>
            <w:r>
              <w:rPr>
                <w:rFonts w:cstheme="minorHAnsi"/>
                <w:sz w:val="18"/>
                <w:szCs w:val="18"/>
              </w:rPr>
              <w:t>–</w:t>
            </w:r>
            <w:r w:rsidRPr="00166862">
              <w:rPr>
                <w:rFonts w:cstheme="minorHAnsi"/>
                <w:sz w:val="18"/>
                <w:szCs w:val="18"/>
              </w:rPr>
              <w:t xml:space="preserve"> ASTI</w:t>
            </w:r>
          </w:p>
        </w:tc>
        <w:tc>
          <w:tcPr>
            <w:tcW w:w="1129" w:type="dxa"/>
            <w:noWrap/>
            <w:vAlign w:val="center"/>
            <w:hideMark/>
          </w:tcPr>
          <w:p w14:paraId="5F6A83A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10.747</w:t>
            </w:r>
          </w:p>
        </w:tc>
      </w:tr>
      <w:tr w:rsidR="00872434" w:rsidRPr="00166862" w14:paraId="251FD139" w14:textId="77777777" w:rsidTr="002A21C0">
        <w:trPr>
          <w:trHeight w:val="288"/>
        </w:trPr>
        <w:tc>
          <w:tcPr>
            <w:tcW w:w="844" w:type="dxa"/>
            <w:shd w:val="clear" w:color="auto" w:fill="F3F7E8" w:themeFill="accent6" w:themeFillTint="33"/>
            <w:noWrap/>
            <w:vAlign w:val="center"/>
            <w:hideMark/>
          </w:tcPr>
          <w:p w14:paraId="40F5FE6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65</w:t>
            </w:r>
          </w:p>
        </w:tc>
        <w:tc>
          <w:tcPr>
            <w:tcW w:w="7089" w:type="dxa"/>
            <w:shd w:val="clear" w:color="auto" w:fill="F3F7E8" w:themeFill="accent6" w:themeFillTint="33"/>
            <w:noWrap/>
            <w:vAlign w:val="center"/>
            <w:hideMark/>
          </w:tcPr>
          <w:p w14:paraId="382E789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COSTIGLIOLE - CANELLI</w:t>
            </w:r>
            <w:r>
              <w:rPr>
                <w:rFonts w:cstheme="minorHAnsi"/>
                <w:sz w:val="18"/>
                <w:szCs w:val="18"/>
              </w:rPr>
              <w:t xml:space="preserve"> </w:t>
            </w:r>
            <w:r w:rsidRPr="00166862">
              <w:rPr>
                <w:rFonts w:cstheme="minorHAnsi"/>
                <w:sz w:val="18"/>
                <w:szCs w:val="18"/>
              </w:rPr>
              <w:t>COSTOGLIOLE - NIZZA</w:t>
            </w:r>
          </w:p>
        </w:tc>
        <w:tc>
          <w:tcPr>
            <w:tcW w:w="1129" w:type="dxa"/>
            <w:shd w:val="clear" w:color="auto" w:fill="F3F7E8" w:themeFill="accent6" w:themeFillTint="33"/>
            <w:noWrap/>
            <w:vAlign w:val="center"/>
            <w:hideMark/>
          </w:tcPr>
          <w:p w14:paraId="69D4D5E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C5F06AB" w14:textId="77777777" w:rsidTr="002A21C0">
        <w:trPr>
          <w:trHeight w:val="288"/>
        </w:trPr>
        <w:tc>
          <w:tcPr>
            <w:tcW w:w="844" w:type="dxa"/>
            <w:noWrap/>
            <w:vAlign w:val="center"/>
            <w:hideMark/>
          </w:tcPr>
          <w:p w14:paraId="50AA2F4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66</w:t>
            </w:r>
          </w:p>
        </w:tc>
        <w:tc>
          <w:tcPr>
            <w:tcW w:w="7089" w:type="dxa"/>
            <w:noWrap/>
            <w:vAlign w:val="center"/>
            <w:hideMark/>
          </w:tcPr>
          <w:p w14:paraId="2BE594A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VIARIGI-ASTI F.S.</w:t>
            </w:r>
          </w:p>
        </w:tc>
        <w:tc>
          <w:tcPr>
            <w:tcW w:w="1129" w:type="dxa"/>
            <w:noWrap/>
            <w:vAlign w:val="center"/>
            <w:hideMark/>
          </w:tcPr>
          <w:p w14:paraId="2183E7C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3A176008" w14:textId="77777777" w:rsidTr="002A21C0">
        <w:trPr>
          <w:trHeight w:val="288"/>
        </w:trPr>
        <w:tc>
          <w:tcPr>
            <w:tcW w:w="844" w:type="dxa"/>
            <w:shd w:val="clear" w:color="auto" w:fill="F3F7E8" w:themeFill="accent6" w:themeFillTint="33"/>
            <w:noWrap/>
            <w:vAlign w:val="center"/>
            <w:hideMark/>
          </w:tcPr>
          <w:p w14:paraId="448FBE5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67</w:t>
            </w:r>
          </w:p>
        </w:tc>
        <w:tc>
          <w:tcPr>
            <w:tcW w:w="7089" w:type="dxa"/>
            <w:shd w:val="clear" w:color="auto" w:fill="F3F7E8" w:themeFill="accent6" w:themeFillTint="33"/>
            <w:noWrap/>
            <w:vAlign w:val="center"/>
            <w:hideMark/>
          </w:tcPr>
          <w:p w14:paraId="5986D35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COSTIGLIOLE - CASTAGNOLE LANZE</w:t>
            </w:r>
          </w:p>
        </w:tc>
        <w:tc>
          <w:tcPr>
            <w:tcW w:w="1129" w:type="dxa"/>
            <w:shd w:val="clear" w:color="auto" w:fill="F3F7E8" w:themeFill="accent6" w:themeFillTint="33"/>
            <w:noWrap/>
            <w:vAlign w:val="center"/>
            <w:hideMark/>
          </w:tcPr>
          <w:p w14:paraId="2467B85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ADCD698" w14:textId="77777777" w:rsidTr="002A21C0">
        <w:trPr>
          <w:trHeight w:val="288"/>
        </w:trPr>
        <w:tc>
          <w:tcPr>
            <w:tcW w:w="844" w:type="dxa"/>
            <w:noWrap/>
            <w:vAlign w:val="center"/>
            <w:hideMark/>
          </w:tcPr>
          <w:p w14:paraId="2DCBF3D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68</w:t>
            </w:r>
          </w:p>
        </w:tc>
        <w:tc>
          <w:tcPr>
            <w:tcW w:w="7089" w:type="dxa"/>
            <w:noWrap/>
            <w:vAlign w:val="center"/>
            <w:hideMark/>
          </w:tcPr>
          <w:p w14:paraId="045740C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MONGARDINO-ASTI CON PROLUNGAMENTO ALLE FRAZIONI</w:t>
            </w:r>
            <w:r>
              <w:rPr>
                <w:rFonts w:cstheme="minorHAnsi"/>
                <w:sz w:val="18"/>
                <w:szCs w:val="18"/>
              </w:rPr>
              <w:t xml:space="preserve"> </w:t>
            </w:r>
            <w:r w:rsidRPr="00166862">
              <w:rPr>
                <w:rFonts w:cstheme="minorHAnsi"/>
                <w:sz w:val="18"/>
                <w:szCs w:val="18"/>
              </w:rPr>
              <w:t xml:space="preserve"> E MONTEGROSSO S.M.</w:t>
            </w:r>
          </w:p>
        </w:tc>
        <w:tc>
          <w:tcPr>
            <w:tcW w:w="1129" w:type="dxa"/>
            <w:noWrap/>
            <w:vAlign w:val="center"/>
            <w:hideMark/>
          </w:tcPr>
          <w:p w14:paraId="225CBD7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B0AB5C4" w14:textId="77777777" w:rsidTr="002A21C0">
        <w:trPr>
          <w:trHeight w:val="288"/>
        </w:trPr>
        <w:tc>
          <w:tcPr>
            <w:tcW w:w="844" w:type="dxa"/>
            <w:shd w:val="clear" w:color="auto" w:fill="F3F7E8" w:themeFill="accent6" w:themeFillTint="33"/>
            <w:noWrap/>
            <w:vAlign w:val="center"/>
            <w:hideMark/>
          </w:tcPr>
          <w:p w14:paraId="65215BA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71</w:t>
            </w:r>
          </w:p>
        </w:tc>
        <w:tc>
          <w:tcPr>
            <w:tcW w:w="7089" w:type="dxa"/>
            <w:shd w:val="clear" w:color="auto" w:fill="F3F7E8" w:themeFill="accent6" w:themeFillTint="33"/>
            <w:noWrap/>
            <w:vAlign w:val="center"/>
            <w:hideMark/>
          </w:tcPr>
          <w:p w14:paraId="4BC739F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ROCCHETTA-QUATTORDIO CON DIRAM.</w:t>
            </w:r>
          </w:p>
        </w:tc>
        <w:tc>
          <w:tcPr>
            <w:tcW w:w="1129" w:type="dxa"/>
            <w:shd w:val="clear" w:color="auto" w:fill="F3F7E8" w:themeFill="accent6" w:themeFillTint="33"/>
            <w:noWrap/>
            <w:vAlign w:val="center"/>
            <w:hideMark/>
          </w:tcPr>
          <w:p w14:paraId="3506A59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EC13519" w14:textId="77777777" w:rsidTr="002A21C0">
        <w:trPr>
          <w:trHeight w:val="288"/>
        </w:trPr>
        <w:tc>
          <w:tcPr>
            <w:tcW w:w="844" w:type="dxa"/>
            <w:noWrap/>
            <w:vAlign w:val="center"/>
            <w:hideMark/>
          </w:tcPr>
          <w:p w14:paraId="44EC175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72</w:t>
            </w:r>
          </w:p>
        </w:tc>
        <w:tc>
          <w:tcPr>
            <w:tcW w:w="7089" w:type="dxa"/>
            <w:noWrap/>
            <w:vAlign w:val="center"/>
            <w:hideMark/>
          </w:tcPr>
          <w:p w14:paraId="3048371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SCOLASTICA DI ROCCHETTA TANARO</w:t>
            </w:r>
          </w:p>
        </w:tc>
        <w:tc>
          <w:tcPr>
            <w:tcW w:w="1129" w:type="dxa"/>
            <w:noWrap/>
            <w:vAlign w:val="center"/>
            <w:hideMark/>
          </w:tcPr>
          <w:p w14:paraId="5D76B9C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0E6323E" w14:textId="77777777" w:rsidTr="002A21C0">
        <w:trPr>
          <w:trHeight w:val="288"/>
        </w:trPr>
        <w:tc>
          <w:tcPr>
            <w:tcW w:w="844" w:type="dxa"/>
            <w:shd w:val="clear" w:color="auto" w:fill="F3F7E8" w:themeFill="accent6" w:themeFillTint="33"/>
            <w:noWrap/>
            <w:vAlign w:val="center"/>
            <w:hideMark/>
          </w:tcPr>
          <w:p w14:paraId="451ECFF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73</w:t>
            </w:r>
          </w:p>
        </w:tc>
        <w:tc>
          <w:tcPr>
            <w:tcW w:w="7089" w:type="dxa"/>
            <w:shd w:val="clear" w:color="auto" w:fill="F3F7E8" w:themeFill="accent6" w:themeFillTint="33"/>
            <w:noWrap/>
            <w:vAlign w:val="center"/>
            <w:hideMark/>
          </w:tcPr>
          <w:p w14:paraId="4A1CB59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MOMBERCELLI-QUATTORDIO STAB.TI</w:t>
            </w:r>
          </w:p>
        </w:tc>
        <w:tc>
          <w:tcPr>
            <w:tcW w:w="1129" w:type="dxa"/>
            <w:shd w:val="clear" w:color="auto" w:fill="F3F7E8" w:themeFill="accent6" w:themeFillTint="33"/>
            <w:noWrap/>
            <w:vAlign w:val="center"/>
            <w:hideMark/>
          </w:tcPr>
          <w:p w14:paraId="4A6FDFB6"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D930AFE" w14:textId="77777777" w:rsidTr="002A21C0">
        <w:trPr>
          <w:trHeight w:val="288"/>
        </w:trPr>
        <w:tc>
          <w:tcPr>
            <w:tcW w:w="844" w:type="dxa"/>
            <w:noWrap/>
            <w:vAlign w:val="center"/>
            <w:hideMark/>
          </w:tcPr>
          <w:p w14:paraId="5A22484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74</w:t>
            </w:r>
          </w:p>
        </w:tc>
        <w:tc>
          <w:tcPr>
            <w:tcW w:w="7089" w:type="dxa"/>
            <w:noWrap/>
            <w:vAlign w:val="center"/>
            <w:hideMark/>
          </w:tcPr>
          <w:p w14:paraId="703C41E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SCOLASTICA DI MOMBERCELLI</w:t>
            </w:r>
          </w:p>
        </w:tc>
        <w:tc>
          <w:tcPr>
            <w:tcW w:w="1129" w:type="dxa"/>
            <w:noWrap/>
            <w:vAlign w:val="center"/>
            <w:hideMark/>
          </w:tcPr>
          <w:p w14:paraId="52BA3BC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8799744" w14:textId="77777777" w:rsidTr="002A21C0">
        <w:trPr>
          <w:trHeight w:val="288"/>
        </w:trPr>
        <w:tc>
          <w:tcPr>
            <w:tcW w:w="844" w:type="dxa"/>
            <w:shd w:val="clear" w:color="auto" w:fill="F3F7E8" w:themeFill="accent6" w:themeFillTint="33"/>
            <w:noWrap/>
            <w:vAlign w:val="center"/>
            <w:hideMark/>
          </w:tcPr>
          <w:p w14:paraId="1D198EB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76</w:t>
            </w:r>
          </w:p>
        </w:tc>
        <w:tc>
          <w:tcPr>
            <w:tcW w:w="7089" w:type="dxa"/>
            <w:shd w:val="clear" w:color="auto" w:fill="F3F7E8" w:themeFill="accent6" w:themeFillTint="33"/>
            <w:noWrap/>
            <w:vAlign w:val="center"/>
            <w:hideMark/>
          </w:tcPr>
          <w:p w14:paraId="7885A1A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NIZZA-CASTEL B.-ROCCHETTA P.-NIZZA </w:t>
            </w:r>
          </w:p>
        </w:tc>
        <w:tc>
          <w:tcPr>
            <w:tcW w:w="1129" w:type="dxa"/>
            <w:shd w:val="clear" w:color="auto" w:fill="F3F7E8" w:themeFill="accent6" w:themeFillTint="33"/>
            <w:noWrap/>
            <w:vAlign w:val="center"/>
            <w:hideMark/>
          </w:tcPr>
          <w:p w14:paraId="399872D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20.534</w:t>
            </w:r>
          </w:p>
        </w:tc>
      </w:tr>
      <w:tr w:rsidR="00872434" w:rsidRPr="00166862" w14:paraId="15EA4319" w14:textId="77777777" w:rsidTr="002A21C0">
        <w:trPr>
          <w:trHeight w:val="288"/>
        </w:trPr>
        <w:tc>
          <w:tcPr>
            <w:tcW w:w="844" w:type="dxa"/>
            <w:noWrap/>
            <w:vAlign w:val="center"/>
            <w:hideMark/>
          </w:tcPr>
          <w:p w14:paraId="5BACCF4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77</w:t>
            </w:r>
          </w:p>
        </w:tc>
        <w:tc>
          <w:tcPr>
            <w:tcW w:w="7089" w:type="dxa"/>
            <w:noWrap/>
            <w:vAlign w:val="center"/>
            <w:hideMark/>
          </w:tcPr>
          <w:p w14:paraId="0F991D9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CANELLI-ROCCHETTA P.-MOMBARUZZO-INCISA-NIZZA M.TO</w:t>
            </w:r>
          </w:p>
        </w:tc>
        <w:tc>
          <w:tcPr>
            <w:tcW w:w="1129" w:type="dxa"/>
            <w:noWrap/>
            <w:vAlign w:val="center"/>
            <w:hideMark/>
          </w:tcPr>
          <w:p w14:paraId="00108C7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EE57341" w14:textId="77777777" w:rsidTr="002A21C0">
        <w:trPr>
          <w:trHeight w:val="288"/>
        </w:trPr>
        <w:tc>
          <w:tcPr>
            <w:tcW w:w="844" w:type="dxa"/>
            <w:shd w:val="clear" w:color="auto" w:fill="F3F7E8" w:themeFill="accent6" w:themeFillTint="33"/>
            <w:noWrap/>
            <w:vAlign w:val="center"/>
            <w:hideMark/>
          </w:tcPr>
          <w:p w14:paraId="571CC59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81</w:t>
            </w:r>
          </w:p>
        </w:tc>
        <w:tc>
          <w:tcPr>
            <w:tcW w:w="7089" w:type="dxa"/>
            <w:shd w:val="clear" w:color="auto" w:fill="F3F7E8" w:themeFill="accent6" w:themeFillTint="33"/>
            <w:noWrap/>
            <w:vAlign w:val="center"/>
            <w:hideMark/>
          </w:tcPr>
          <w:p w14:paraId="05D4F92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CASTEL BOGLIONE-ACQUI T.</w:t>
            </w:r>
          </w:p>
        </w:tc>
        <w:tc>
          <w:tcPr>
            <w:tcW w:w="1129" w:type="dxa"/>
            <w:shd w:val="clear" w:color="auto" w:fill="F3F7E8" w:themeFill="accent6" w:themeFillTint="33"/>
            <w:noWrap/>
            <w:vAlign w:val="center"/>
            <w:hideMark/>
          </w:tcPr>
          <w:p w14:paraId="5666555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32D45A2" w14:textId="77777777" w:rsidTr="002A21C0">
        <w:trPr>
          <w:trHeight w:val="288"/>
        </w:trPr>
        <w:tc>
          <w:tcPr>
            <w:tcW w:w="844" w:type="dxa"/>
            <w:noWrap/>
            <w:vAlign w:val="center"/>
            <w:hideMark/>
          </w:tcPr>
          <w:p w14:paraId="33834D5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87</w:t>
            </w:r>
          </w:p>
        </w:tc>
        <w:tc>
          <w:tcPr>
            <w:tcW w:w="7089" w:type="dxa"/>
            <w:noWrap/>
            <w:vAlign w:val="center"/>
            <w:hideMark/>
          </w:tcPr>
          <w:p w14:paraId="4F3BF74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TONENGO-MORANSENGO-CUNICO-ASTI FS CON DIR. MONTIGLIO M.TO</w:t>
            </w:r>
          </w:p>
        </w:tc>
        <w:tc>
          <w:tcPr>
            <w:tcW w:w="1129" w:type="dxa"/>
            <w:noWrap/>
            <w:vAlign w:val="center"/>
            <w:hideMark/>
          </w:tcPr>
          <w:p w14:paraId="4A8B0AE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1E6B675" w14:textId="77777777" w:rsidTr="002A21C0">
        <w:trPr>
          <w:trHeight w:val="288"/>
        </w:trPr>
        <w:tc>
          <w:tcPr>
            <w:tcW w:w="844" w:type="dxa"/>
            <w:shd w:val="clear" w:color="auto" w:fill="F3F7E8" w:themeFill="accent6" w:themeFillTint="33"/>
            <w:noWrap/>
            <w:vAlign w:val="center"/>
            <w:hideMark/>
          </w:tcPr>
          <w:p w14:paraId="0AD5474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95</w:t>
            </w:r>
          </w:p>
        </w:tc>
        <w:tc>
          <w:tcPr>
            <w:tcW w:w="7089" w:type="dxa"/>
            <w:shd w:val="clear" w:color="auto" w:fill="F3F7E8" w:themeFill="accent6" w:themeFillTint="33"/>
            <w:noWrap/>
            <w:vAlign w:val="center"/>
            <w:hideMark/>
          </w:tcPr>
          <w:p w14:paraId="331BFFB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ASTI-VIGLIANO FS-MONTEGROSSO-AGLIANO-MOASCA-S. MARZANO-NIZZA M.TO (IST. SCOLASTCI) CON DIR. E DEV.</w:t>
            </w:r>
          </w:p>
        </w:tc>
        <w:tc>
          <w:tcPr>
            <w:tcW w:w="1129" w:type="dxa"/>
            <w:shd w:val="clear" w:color="auto" w:fill="F3F7E8" w:themeFill="accent6" w:themeFillTint="33"/>
            <w:noWrap/>
            <w:vAlign w:val="center"/>
            <w:hideMark/>
          </w:tcPr>
          <w:p w14:paraId="542E5E5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AE569C8" w14:textId="77777777" w:rsidTr="002A21C0">
        <w:trPr>
          <w:trHeight w:val="288"/>
        </w:trPr>
        <w:tc>
          <w:tcPr>
            <w:tcW w:w="844" w:type="dxa"/>
            <w:noWrap/>
            <w:vAlign w:val="center"/>
            <w:hideMark/>
          </w:tcPr>
          <w:p w14:paraId="5AF2617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96</w:t>
            </w:r>
          </w:p>
        </w:tc>
        <w:tc>
          <w:tcPr>
            <w:tcW w:w="7089" w:type="dxa"/>
            <w:noWrap/>
            <w:vAlign w:val="center"/>
            <w:hideMark/>
          </w:tcPr>
          <w:p w14:paraId="1F9236E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NIZZA M.TO - CASTELNUOVO CALCEA</w:t>
            </w:r>
          </w:p>
        </w:tc>
        <w:tc>
          <w:tcPr>
            <w:tcW w:w="1129" w:type="dxa"/>
            <w:noWrap/>
            <w:vAlign w:val="center"/>
            <w:hideMark/>
          </w:tcPr>
          <w:p w14:paraId="4751DF0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C35904F" w14:textId="77777777" w:rsidTr="002A21C0">
        <w:trPr>
          <w:trHeight w:val="288"/>
        </w:trPr>
        <w:tc>
          <w:tcPr>
            <w:tcW w:w="844" w:type="dxa"/>
            <w:shd w:val="clear" w:color="auto" w:fill="F3F7E8" w:themeFill="accent6" w:themeFillTint="33"/>
            <w:noWrap/>
            <w:vAlign w:val="center"/>
            <w:hideMark/>
          </w:tcPr>
          <w:p w14:paraId="3E17E28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102</w:t>
            </w:r>
          </w:p>
        </w:tc>
        <w:tc>
          <w:tcPr>
            <w:tcW w:w="7089" w:type="dxa"/>
            <w:shd w:val="clear" w:color="auto" w:fill="F3F7E8" w:themeFill="accent6" w:themeFillTint="33"/>
            <w:noWrap/>
            <w:vAlign w:val="center"/>
            <w:hideMark/>
          </w:tcPr>
          <w:p w14:paraId="3559B90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ROCCAVERANO - VESIME CON PROLUNGAMENTO E DIRAMAZIONE</w:t>
            </w:r>
          </w:p>
        </w:tc>
        <w:tc>
          <w:tcPr>
            <w:tcW w:w="1129" w:type="dxa"/>
            <w:shd w:val="clear" w:color="auto" w:fill="F3F7E8" w:themeFill="accent6" w:themeFillTint="33"/>
            <w:noWrap/>
            <w:vAlign w:val="center"/>
            <w:hideMark/>
          </w:tcPr>
          <w:p w14:paraId="4E1BD13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4A2895B" w14:textId="77777777" w:rsidTr="002A21C0">
        <w:trPr>
          <w:trHeight w:val="288"/>
        </w:trPr>
        <w:tc>
          <w:tcPr>
            <w:tcW w:w="844" w:type="dxa"/>
            <w:noWrap/>
            <w:vAlign w:val="center"/>
            <w:hideMark/>
          </w:tcPr>
          <w:p w14:paraId="4DEDE71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105</w:t>
            </w:r>
          </w:p>
        </w:tc>
        <w:tc>
          <w:tcPr>
            <w:tcW w:w="7089" w:type="dxa"/>
            <w:noWrap/>
            <w:vAlign w:val="center"/>
            <w:hideMark/>
          </w:tcPr>
          <w:p w14:paraId="3AC62BC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ASTI </w:t>
            </w:r>
            <w:r>
              <w:rPr>
                <w:rFonts w:cstheme="minorHAnsi"/>
                <w:sz w:val="18"/>
                <w:szCs w:val="18"/>
              </w:rPr>
              <w:t>–</w:t>
            </w:r>
            <w:r w:rsidRPr="00166862">
              <w:rPr>
                <w:rFonts w:cstheme="minorHAnsi"/>
                <w:sz w:val="18"/>
                <w:szCs w:val="18"/>
              </w:rPr>
              <w:t xml:space="preserve"> COCCONATO</w:t>
            </w:r>
          </w:p>
        </w:tc>
        <w:tc>
          <w:tcPr>
            <w:tcW w:w="1129" w:type="dxa"/>
            <w:noWrap/>
            <w:vAlign w:val="center"/>
            <w:hideMark/>
          </w:tcPr>
          <w:p w14:paraId="5F8A3866"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266</w:t>
            </w:r>
          </w:p>
        </w:tc>
      </w:tr>
      <w:tr w:rsidR="00872434" w:rsidRPr="00166862" w14:paraId="5ED4E49C" w14:textId="77777777" w:rsidTr="002A21C0">
        <w:trPr>
          <w:trHeight w:val="288"/>
        </w:trPr>
        <w:tc>
          <w:tcPr>
            <w:tcW w:w="844" w:type="dxa"/>
            <w:shd w:val="clear" w:color="auto" w:fill="F3F7E8" w:themeFill="accent6" w:themeFillTint="33"/>
            <w:noWrap/>
            <w:vAlign w:val="center"/>
            <w:hideMark/>
          </w:tcPr>
          <w:p w14:paraId="7A7C3BE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105 /</w:t>
            </w:r>
          </w:p>
        </w:tc>
        <w:tc>
          <w:tcPr>
            <w:tcW w:w="7089" w:type="dxa"/>
            <w:shd w:val="clear" w:color="auto" w:fill="F3F7E8" w:themeFill="accent6" w:themeFillTint="33"/>
            <w:noWrap/>
            <w:vAlign w:val="center"/>
            <w:hideMark/>
          </w:tcPr>
          <w:p w14:paraId="0B12F09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COCCONATO - CHIVASSO EX SOSTITUTIVA FS</w:t>
            </w:r>
          </w:p>
        </w:tc>
        <w:tc>
          <w:tcPr>
            <w:tcW w:w="1129" w:type="dxa"/>
            <w:shd w:val="clear" w:color="auto" w:fill="F3F7E8" w:themeFill="accent6" w:themeFillTint="33"/>
            <w:noWrap/>
            <w:vAlign w:val="center"/>
            <w:hideMark/>
          </w:tcPr>
          <w:p w14:paraId="70A4015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18</w:t>
            </w:r>
          </w:p>
        </w:tc>
      </w:tr>
      <w:tr w:rsidR="00872434" w:rsidRPr="00166862" w14:paraId="29F6ABA5" w14:textId="77777777" w:rsidTr="002A21C0">
        <w:trPr>
          <w:trHeight w:val="288"/>
        </w:trPr>
        <w:tc>
          <w:tcPr>
            <w:tcW w:w="844" w:type="dxa"/>
            <w:noWrap/>
            <w:vAlign w:val="center"/>
            <w:hideMark/>
          </w:tcPr>
          <w:p w14:paraId="28532BE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107</w:t>
            </w:r>
          </w:p>
        </w:tc>
        <w:tc>
          <w:tcPr>
            <w:tcW w:w="7089" w:type="dxa"/>
            <w:noWrap/>
            <w:vAlign w:val="center"/>
            <w:hideMark/>
          </w:tcPr>
          <w:p w14:paraId="19C7569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VINCHIO-MOMBERCELLI</w:t>
            </w:r>
          </w:p>
        </w:tc>
        <w:tc>
          <w:tcPr>
            <w:tcW w:w="1129" w:type="dxa"/>
            <w:noWrap/>
            <w:vAlign w:val="center"/>
            <w:hideMark/>
          </w:tcPr>
          <w:p w14:paraId="0F50CDD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6C154BF" w14:textId="77777777" w:rsidTr="002A21C0">
        <w:trPr>
          <w:trHeight w:val="288"/>
        </w:trPr>
        <w:tc>
          <w:tcPr>
            <w:tcW w:w="844" w:type="dxa"/>
            <w:shd w:val="clear" w:color="auto" w:fill="F3F7E8" w:themeFill="accent6" w:themeFillTint="33"/>
            <w:noWrap/>
            <w:vAlign w:val="center"/>
            <w:hideMark/>
          </w:tcPr>
          <w:p w14:paraId="7723A54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154</w:t>
            </w:r>
          </w:p>
        </w:tc>
        <w:tc>
          <w:tcPr>
            <w:tcW w:w="7089" w:type="dxa"/>
            <w:shd w:val="clear" w:color="auto" w:fill="F3F7E8" w:themeFill="accent6" w:themeFillTint="33"/>
            <w:noWrap/>
            <w:vAlign w:val="center"/>
            <w:hideMark/>
          </w:tcPr>
          <w:p w14:paraId="2D890B9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VILLANOVA F.S.-VALFENERA DEV.</w:t>
            </w:r>
          </w:p>
        </w:tc>
        <w:tc>
          <w:tcPr>
            <w:tcW w:w="1129" w:type="dxa"/>
            <w:shd w:val="clear" w:color="auto" w:fill="F3F7E8" w:themeFill="accent6" w:themeFillTint="33"/>
            <w:noWrap/>
            <w:vAlign w:val="center"/>
            <w:hideMark/>
          </w:tcPr>
          <w:p w14:paraId="7D8F1FB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EB269A2" w14:textId="77777777" w:rsidTr="002A21C0">
        <w:trPr>
          <w:trHeight w:val="288"/>
        </w:trPr>
        <w:tc>
          <w:tcPr>
            <w:tcW w:w="844" w:type="dxa"/>
            <w:noWrap/>
            <w:vAlign w:val="center"/>
            <w:hideMark/>
          </w:tcPr>
          <w:p w14:paraId="71DD217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157</w:t>
            </w:r>
          </w:p>
        </w:tc>
        <w:tc>
          <w:tcPr>
            <w:tcW w:w="7089" w:type="dxa"/>
            <w:noWrap/>
            <w:vAlign w:val="center"/>
            <w:hideMark/>
          </w:tcPr>
          <w:p w14:paraId="4B5AAD3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MONGARDINO-ASTI-CON PROLUNGAMENTO ALLE FRAZIONI</w:t>
            </w:r>
          </w:p>
        </w:tc>
        <w:tc>
          <w:tcPr>
            <w:tcW w:w="1129" w:type="dxa"/>
            <w:noWrap/>
            <w:vAlign w:val="center"/>
            <w:hideMark/>
          </w:tcPr>
          <w:p w14:paraId="70B4447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DEC6B69" w14:textId="77777777" w:rsidTr="002A21C0">
        <w:trPr>
          <w:trHeight w:val="288"/>
        </w:trPr>
        <w:tc>
          <w:tcPr>
            <w:tcW w:w="844" w:type="dxa"/>
            <w:shd w:val="clear" w:color="auto" w:fill="F3F7E8" w:themeFill="accent6" w:themeFillTint="33"/>
            <w:noWrap/>
            <w:vAlign w:val="center"/>
            <w:hideMark/>
          </w:tcPr>
          <w:p w14:paraId="2D8B49E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158</w:t>
            </w:r>
          </w:p>
        </w:tc>
        <w:tc>
          <w:tcPr>
            <w:tcW w:w="7089" w:type="dxa"/>
            <w:shd w:val="clear" w:color="auto" w:fill="F3F7E8" w:themeFill="accent6" w:themeFillTint="33"/>
            <w:noWrap/>
            <w:vAlign w:val="center"/>
            <w:hideMark/>
          </w:tcPr>
          <w:p w14:paraId="539E61B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NIZZA-MOMBARUZZO-INCISA-NIZZA</w:t>
            </w:r>
          </w:p>
        </w:tc>
        <w:tc>
          <w:tcPr>
            <w:tcW w:w="1129" w:type="dxa"/>
            <w:shd w:val="clear" w:color="auto" w:fill="F3F7E8" w:themeFill="accent6" w:themeFillTint="33"/>
            <w:noWrap/>
            <w:vAlign w:val="center"/>
            <w:hideMark/>
          </w:tcPr>
          <w:p w14:paraId="7E181BB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C15A175" w14:textId="77777777" w:rsidTr="002A21C0">
        <w:trPr>
          <w:trHeight w:val="288"/>
        </w:trPr>
        <w:tc>
          <w:tcPr>
            <w:tcW w:w="844" w:type="dxa"/>
            <w:noWrap/>
            <w:vAlign w:val="center"/>
            <w:hideMark/>
          </w:tcPr>
          <w:p w14:paraId="71E187D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w:t>
            </w:r>
          </w:p>
        </w:tc>
        <w:tc>
          <w:tcPr>
            <w:tcW w:w="7089" w:type="dxa"/>
            <w:noWrap/>
            <w:vAlign w:val="center"/>
            <w:hideMark/>
          </w:tcPr>
          <w:p w14:paraId="742618B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CASALE M.TO-VALLECERRINA-TORINO CON DEV.NI</w:t>
            </w:r>
          </w:p>
        </w:tc>
        <w:tc>
          <w:tcPr>
            <w:tcW w:w="1129" w:type="dxa"/>
            <w:noWrap/>
            <w:vAlign w:val="center"/>
            <w:hideMark/>
          </w:tcPr>
          <w:p w14:paraId="748E8F1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12.936</w:t>
            </w:r>
          </w:p>
        </w:tc>
      </w:tr>
      <w:tr w:rsidR="00872434" w:rsidRPr="00166862" w14:paraId="4F5EED55" w14:textId="77777777" w:rsidTr="002A21C0">
        <w:trPr>
          <w:trHeight w:val="288"/>
        </w:trPr>
        <w:tc>
          <w:tcPr>
            <w:tcW w:w="844" w:type="dxa"/>
            <w:shd w:val="clear" w:color="auto" w:fill="F3F7E8" w:themeFill="accent6" w:themeFillTint="33"/>
            <w:noWrap/>
            <w:vAlign w:val="center"/>
            <w:hideMark/>
          </w:tcPr>
          <w:p w14:paraId="04DFCF7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76</w:t>
            </w:r>
          </w:p>
        </w:tc>
        <w:tc>
          <w:tcPr>
            <w:tcW w:w="7089" w:type="dxa"/>
            <w:shd w:val="clear" w:color="auto" w:fill="F3F7E8" w:themeFill="accent6" w:themeFillTint="33"/>
            <w:noWrap/>
            <w:vAlign w:val="center"/>
            <w:hideMark/>
          </w:tcPr>
          <w:p w14:paraId="1926A00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CABELLA L.-BORGHETTO B.-ARQUATA S.-NOVI L. CON DIR.NI</w:t>
            </w:r>
          </w:p>
        </w:tc>
        <w:tc>
          <w:tcPr>
            <w:tcW w:w="1129" w:type="dxa"/>
            <w:shd w:val="clear" w:color="auto" w:fill="F3F7E8" w:themeFill="accent6" w:themeFillTint="33"/>
            <w:noWrap/>
            <w:vAlign w:val="center"/>
            <w:hideMark/>
          </w:tcPr>
          <w:p w14:paraId="79D7302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13E7400" w14:textId="77777777" w:rsidTr="002A21C0">
        <w:trPr>
          <w:trHeight w:val="288"/>
        </w:trPr>
        <w:tc>
          <w:tcPr>
            <w:tcW w:w="844" w:type="dxa"/>
            <w:noWrap/>
            <w:vAlign w:val="center"/>
            <w:hideMark/>
          </w:tcPr>
          <w:p w14:paraId="07C3B35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95</w:t>
            </w:r>
          </w:p>
        </w:tc>
        <w:tc>
          <w:tcPr>
            <w:tcW w:w="7089" w:type="dxa"/>
            <w:noWrap/>
            <w:vAlign w:val="center"/>
            <w:hideMark/>
          </w:tcPr>
          <w:p w14:paraId="79C2F14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VALENZA-BOZZOLE-TICINETO-FRASSINETO-CASALE CON DEV.NI</w:t>
            </w:r>
          </w:p>
        </w:tc>
        <w:tc>
          <w:tcPr>
            <w:tcW w:w="1129" w:type="dxa"/>
            <w:noWrap/>
            <w:vAlign w:val="center"/>
            <w:hideMark/>
          </w:tcPr>
          <w:p w14:paraId="46B0371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DC8A354" w14:textId="77777777" w:rsidTr="002A21C0">
        <w:trPr>
          <w:trHeight w:val="288"/>
        </w:trPr>
        <w:tc>
          <w:tcPr>
            <w:tcW w:w="844" w:type="dxa"/>
            <w:shd w:val="clear" w:color="auto" w:fill="F3F7E8" w:themeFill="accent6" w:themeFillTint="33"/>
            <w:noWrap/>
            <w:vAlign w:val="center"/>
            <w:hideMark/>
          </w:tcPr>
          <w:p w14:paraId="03F50D8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123</w:t>
            </w:r>
          </w:p>
        </w:tc>
        <w:tc>
          <w:tcPr>
            <w:tcW w:w="7089" w:type="dxa"/>
            <w:shd w:val="clear" w:color="auto" w:fill="F3F7E8" w:themeFill="accent6" w:themeFillTint="33"/>
            <w:noWrap/>
            <w:vAlign w:val="center"/>
            <w:hideMark/>
          </w:tcPr>
          <w:p w14:paraId="6B13B7B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FS-ROCCAGRIMALDA-PIRIA-SAN GIACOMO-OVADA FS</w:t>
            </w:r>
          </w:p>
        </w:tc>
        <w:tc>
          <w:tcPr>
            <w:tcW w:w="1129" w:type="dxa"/>
            <w:shd w:val="clear" w:color="auto" w:fill="F3F7E8" w:themeFill="accent6" w:themeFillTint="33"/>
            <w:noWrap/>
            <w:vAlign w:val="center"/>
            <w:hideMark/>
          </w:tcPr>
          <w:p w14:paraId="6E7D08D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A3884E9" w14:textId="77777777" w:rsidTr="002A21C0">
        <w:trPr>
          <w:trHeight w:val="288"/>
        </w:trPr>
        <w:tc>
          <w:tcPr>
            <w:tcW w:w="844" w:type="dxa"/>
            <w:noWrap/>
            <w:vAlign w:val="center"/>
            <w:hideMark/>
          </w:tcPr>
          <w:p w14:paraId="252EA02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124</w:t>
            </w:r>
          </w:p>
        </w:tc>
        <w:tc>
          <w:tcPr>
            <w:tcW w:w="7089" w:type="dxa"/>
            <w:noWrap/>
            <w:vAlign w:val="center"/>
            <w:hideMark/>
          </w:tcPr>
          <w:p w14:paraId="08C32C2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T.-CREMOLINO-OVADA P.ZZA XX SETTEMBRE CON DEV. NE E DIR.NE</w:t>
            </w:r>
          </w:p>
        </w:tc>
        <w:tc>
          <w:tcPr>
            <w:tcW w:w="1129" w:type="dxa"/>
            <w:noWrap/>
            <w:vAlign w:val="center"/>
            <w:hideMark/>
          </w:tcPr>
          <w:p w14:paraId="42816CD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54E8E24" w14:textId="77777777" w:rsidTr="002A21C0">
        <w:trPr>
          <w:trHeight w:val="288"/>
        </w:trPr>
        <w:tc>
          <w:tcPr>
            <w:tcW w:w="844" w:type="dxa"/>
            <w:shd w:val="clear" w:color="auto" w:fill="F3F7E8" w:themeFill="accent6" w:themeFillTint="33"/>
            <w:noWrap/>
            <w:vAlign w:val="center"/>
            <w:hideMark/>
          </w:tcPr>
          <w:p w14:paraId="654FC99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125</w:t>
            </w:r>
          </w:p>
        </w:tc>
        <w:tc>
          <w:tcPr>
            <w:tcW w:w="7089" w:type="dxa"/>
            <w:shd w:val="clear" w:color="auto" w:fill="F3F7E8" w:themeFill="accent6" w:themeFillTint="33"/>
            <w:noWrap/>
            <w:vAlign w:val="center"/>
            <w:hideMark/>
          </w:tcPr>
          <w:p w14:paraId="40F4A14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T.-MONTALDO B.-OVADA FS CON CON DEV.NI E DIR.NI</w:t>
            </w:r>
          </w:p>
        </w:tc>
        <w:tc>
          <w:tcPr>
            <w:tcW w:w="1129" w:type="dxa"/>
            <w:shd w:val="clear" w:color="auto" w:fill="F3F7E8" w:themeFill="accent6" w:themeFillTint="33"/>
            <w:noWrap/>
            <w:vAlign w:val="center"/>
            <w:hideMark/>
          </w:tcPr>
          <w:p w14:paraId="03DD212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2735633" w14:textId="77777777" w:rsidTr="002A21C0">
        <w:trPr>
          <w:trHeight w:val="288"/>
        </w:trPr>
        <w:tc>
          <w:tcPr>
            <w:tcW w:w="844" w:type="dxa"/>
            <w:noWrap/>
            <w:vAlign w:val="center"/>
            <w:hideMark/>
          </w:tcPr>
          <w:p w14:paraId="41AFF04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126</w:t>
            </w:r>
          </w:p>
        </w:tc>
        <w:tc>
          <w:tcPr>
            <w:tcW w:w="7089" w:type="dxa"/>
            <w:noWrap/>
            <w:vAlign w:val="center"/>
            <w:hideMark/>
          </w:tcPr>
          <w:p w14:paraId="15A13DD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MONTALDEO-CASTELLETTO-OVADA FS D</w:t>
            </w:r>
          </w:p>
        </w:tc>
        <w:tc>
          <w:tcPr>
            <w:tcW w:w="1129" w:type="dxa"/>
            <w:noWrap/>
            <w:vAlign w:val="center"/>
            <w:hideMark/>
          </w:tcPr>
          <w:p w14:paraId="65CE327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DEAB69E" w14:textId="77777777" w:rsidTr="002A21C0">
        <w:trPr>
          <w:trHeight w:val="288"/>
        </w:trPr>
        <w:tc>
          <w:tcPr>
            <w:tcW w:w="844" w:type="dxa"/>
            <w:shd w:val="clear" w:color="auto" w:fill="F3F7E8" w:themeFill="accent6" w:themeFillTint="33"/>
            <w:noWrap/>
            <w:vAlign w:val="center"/>
            <w:hideMark/>
          </w:tcPr>
          <w:p w14:paraId="0DBEC13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167</w:t>
            </w:r>
          </w:p>
        </w:tc>
        <w:tc>
          <w:tcPr>
            <w:tcW w:w="7089" w:type="dxa"/>
            <w:shd w:val="clear" w:color="auto" w:fill="F3F7E8" w:themeFill="accent6" w:themeFillTint="33"/>
            <w:noWrap/>
            <w:vAlign w:val="center"/>
            <w:hideMark/>
          </w:tcPr>
          <w:p w14:paraId="6A080B6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OVADA-ROSSIGLIONE-CAMPO LIGURE-MASONE</w:t>
            </w:r>
          </w:p>
        </w:tc>
        <w:tc>
          <w:tcPr>
            <w:tcW w:w="1129" w:type="dxa"/>
            <w:shd w:val="clear" w:color="auto" w:fill="F3F7E8" w:themeFill="accent6" w:themeFillTint="33"/>
            <w:noWrap/>
            <w:vAlign w:val="center"/>
            <w:hideMark/>
          </w:tcPr>
          <w:p w14:paraId="51AABB9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2B18B45" w14:textId="77777777" w:rsidTr="002A21C0">
        <w:trPr>
          <w:trHeight w:val="288"/>
        </w:trPr>
        <w:tc>
          <w:tcPr>
            <w:tcW w:w="844" w:type="dxa"/>
            <w:noWrap/>
            <w:vAlign w:val="center"/>
            <w:hideMark/>
          </w:tcPr>
          <w:p w14:paraId="506C986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203</w:t>
            </w:r>
          </w:p>
        </w:tc>
        <w:tc>
          <w:tcPr>
            <w:tcW w:w="7089" w:type="dxa"/>
            <w:noWrap/>
            <w:vAlign w:val="center"/>
            <w:hideMark/>
          </w:tcPr>
          <w:p w14:paraId="71205CF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MURISENGO-POZZO-MONCALVO</w:t>
            </w:r>
          </w:p>
        </w:tc>
        <w:tc>
          <w:tcPr>
            <w:tcW w:w="1129" w:type="dxa"/>
            <w:noWrap/>
            <w:vAlign w:val="center"/>
            <w:hideMark/>
          </w:tcPr>
          <w:p w14:paraId="019A977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6593979" w14:textId="77777777" w:rsidTr="002A21C0">
        <w:trPr>
          <w:trHeight w:val="288"/>
        </w:trPr>
        <w:tc>
          <w:tcPr>
            <w:tcW w:w="844" w:type="dxa"/>
            <w:shd w:val="clear" w:color="auto" w:fill="F3F7E8" w:themeFill="accent6" w:themeFillTint="33"/>
            <w:noWrap/>
            <w:vAlign w:val="center"/>
            <w:hideMark/>
          </w:tcPr>
          <w:p w14:paraId="1038A42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205</w:t>
            </w:r>
          </w:p>
        </w:tc>
        <w:tc>
          <w:tcPr>
            <w:tcW w:w="7089" w:type="dxa"/>
            <w:shd w:val="clear" w:color="auto" w:fill="F3F7E8" w:themeFill="accent6" w:themeFillTint="33"/>
            <w:noWrap/>
            <w:vAlign w:val="center"/>
            <w:hideMark/>
          </w:tcPr>
          <w:p w14:paraId="67FDE8C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CERRINA VALLE-CANTAVENNA-GABIANO-CRESCENTINO</w:t>
            </w:r>
          </w:p>
        </w:tc>
        <w:tc>
          <w:tcPr>
            <w:tcW w:w="1129" w:type="dxa"/>
            <w:shd w:val="clear" w:color="auto" w:fill="F3F7E8" w:themeFill="accent6" w:themeFillTint="33"/>
            <w:noWrap/>
            <w:vAlign w:val="center"/>
            <w:hideMark/>
          </w:tcPr>
          <w:p w14:paraId="12D73D5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9E2F28A" w14:textId="77777777" w:rsidTr="002A21C0">
        <w:trPr>
          <w:trHeight w:val="288"/>
        </w:trPr>
        <w:tc>
          <w:tcPr>
            <w:tcW w:w="844" w:type="dxa"/>
            <w:noWrap/>
            <w:vAlign w:val="center"/>
            <w:hideMark/>
          </w:tcPr>
          <w:p w14:paraId="07FED55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222</w:t>
            </w:r>
          </w:p>
        </w:tc>
        <w:tc>
          <w:tcPr>
            <w:tcW w:w="7089" w:type="dxa"/>
            <w:noWrap/>
            <w:vAlign w:val="center"/>
            <w:hideMark/>
          </w:tcPr>
          <w:p w14:paraId="564C14A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MONTALDEO-MORNESE-TAGLIOLO-OVADA FS. CON DEV.NI E DIR.</w:t>
            </w:r>
          </w:p>
        </w:tc>
        <w:tc>
          <w:tcPr>
            <w:tcW w:w="1129" w:type="dxa"/>
            <w:noWrap/>
            <w:vAlign w:val="center"/>
            <w:hideMark/>
          </w:tcPr>
          <w:p w14:paraId="3FC1D3B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245449D" w14:textId="77777777" w:rsidTr="002A21C0">
        <w:trPr>
          <w:trHeight w:val="288"/>
        </w:trPr>
        <w:tc>
          <w:tcPr>
            <w:tcW w:w="844" w:type="dxa"/>
            <w:shd w:val="clear" w:color="auto" w:fill="F3F7E8" w:themeFill="accent6" w:themeFillTint="33"/>
            <w:noWrap/>
            <w:vAlign w:val="center"/>
            <w:hideMark/>
          </w:tcPr>
          <w:p w14:paraId="627F455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223</w:t>
            </w:r>
          </w:p>
        </w:tc>
        <w:tc>
          <w:tcPr>
            <w:tcW w:w="7089" w:type="dxa"/>
            <w:shd w:val="clear" w:color="auto" w:fill="F3F7E8" w:themeFill="accent6" w:themeFillTint="33"/>
            <w:noWrap/>
            <w:vAlign w:val="center"/>
            <w:hideMark/>
          </w:tcPr>
          <w:p w14:paraId="4792FC3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BANDITA-MOLARE-OVADA FS CON DIR.NI</w:t>
            </w:r>
          </w:p>
        </w:tc>
        <w:tc>
          <w:tcPr>
            <w:tcW w:w="1129" w:type="dxa"/>
            <w:shd w:val="clear" w:color="auto" w:fill="F3F7E8" w:themeFill="accent6" w:themeFillTint="33"/>
            <w:noWrap/>
            <w:vAlign w:val="center"/>
            <w:hideMark/>
          </w:tcPr>
          <w:p w14:paraId="6CE2578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F978767" w14:textId="77777777" w:rsidTr="002A21C0">
        <w:trPr>
          <w:trHeight w:val="288"/>
        </w:trPr>
        <w:tc>
          <w:tcPr>
            <w:tcW w:w="844" w:type="dxa"/>
            <w:noWrap/>
            <w:vAlign w:val="center"/>
            <w:hideMark/>
          </w:tcPr>
          <w:p w14:paraId="7666220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276</w:t>
            </w:r>
          </w:p>
        </w:tc>
        <w:tc>
          <w:tcPr>
            <w:tcW w:w="7089" w:type="dxa"/>
            <w:noWrap/>
            <w:vAlign w:val="center"/>
            <w:hideMark/>
          </w:tcPr>
          <w:p w14:paraId="4735904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CABELLA L.-BORGHETTO B.-ARQUATA S.-NOVI L. CON DIR.NI</w:t>
            </w:r>
          </w:p>
        </w:tc>
        <w:tc>
          <w:tcPr>
            <w:tcW w:w="1129" w:type="dxa"/>
            <w:noWrap/>
            <w:vAlign w:val="center"/>
            <w:hideMark/>
          </w:tcPr>
          <w:p w14:paraId="6CED1DA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2ED0C78" w14:textId="77777777" w:rsidTr="002A21C0">
        <w:trPr>
          <w:trHeight w:val="288"/>
        </w:trPr>
        <w:tc>
          <w:tcPr>
            <w:tcW w:w="844" w:type="dxa"/>
            <w:shd w:val="clear" w:color="auto" w:fill="F3F7E8" w:themeFill="accent6" w:themeFillTint="33"/>
            <w:noWrap/>
            <w:vAlign w:val="center"/>
            <w:hideMark/>
          </w:tcPr>
          <w:p w14:paraId="53325E7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S002</w:t>
            </w:r>
          </w:p>
        </w:tc>
        <w:tc>
          <w:tcPr>
            <w:tcW w:w="7089" w:type="dxa"/>
            <w:shd w:val="clear" w:color="auto" w:fill="F3F7E8" w:themeFill="accent6" w:themeFillTint="33"/>
            <w:noWrap/>
            <w:vAlign w:val="center"/>
            <w:hideMark/>
          </w:tcPr>
          <w:p w14:paraId="4E5E280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CASALE MONFERRATO</w:t>
            </w:r>
          </w:p>
        </w:tc>
        <w:tc>
          <w:tcPr>
            <w:tcW w:w="1129" w:type="dxa"/>
            <w:shd w:val="clear" w:color="auto" w:fill="F3F7E8" w:themeFill="accent6" w:themeFillTint="33"/>
            <w:noWrap/>
            <w:vAlign w:val="center"/>
            <w:hideMark/>
          </w:tcPr>
          <w:p w14:paraId="0D33AFD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w:t>
            </w:r>
          </w:p>
        </w:tc>
      </w:tr>
      <w:tr w:rsidR="00872434" w:rsidRPr="00166862" w14:paraId="4865525D" w14:textId="77777777" w:rsidTr="002A21C0">
        <w:trPr>
          <w:trHeight w:val="288"/>
        </w:trPr>
        <w:tc>
          <w:tcPr>
            <w:tcW w:w="844" w:type="dxa"/>
            <w:noWrap/>
            <w:vAlign w:val="center"/>
            <w:hideMark/>
          </w:tcPr>
          <w:p w14:paraId="2B0410C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S002C</w:t>
            </w:r>
          </w:p>
        </w:tc>
        <w:tc>
          <w:tcPr>
            <w:tcW w:w="7089" w:type="dxa"/>
            <w:noWrap/>
            <w:vAlign w:val="center"/>
            <w:hideMark/>
          </w:tcPr>
          <w:p w14:paraId="5603F96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MIRABELLO MONFERRATO </w:t>
            </w:r>
            <w:r>
              <w:rPr>
                <w:rFonts w:cstheme="minorHAnsi"/>
                <w:sz w:val="18"/>
                <w:szCs w:val="18"/>
              </w:rPr>
              <w:t>–</w:t>
            </w:r>
            <w:r w:rsidRPr="00166862">
              <w:rPr>
                <w:rFonts w:cstheme="minorHAnsi"/>
                <w:sz w:val="18"/>
                <w:szCs w:val="18"/>
              </w:rPr>
              <w:t xml:space="preserve"> VALENZA</w:t>
            </w:r>
          </w:p>
        </w:tc>
        <w:tc>
          <w:tcPr>
            <w:tcW w:w="1129" w:type="dxa"/>
            <w:noWrap/>
            <w:vAlign w:val="center"/>
            <w:hideMark/>
          </w:tcPr>
          <w:p w14:paraId="7182F7B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45CB9C7" w14:textId="77777777" w:rsidTr="002A21C0">
        <w:trPr>
          <w:trHeight w:val="288"/>
        </w:trPr>
        <w:tc>
          <w:tcPr>
            <w:tcW w:w="844" w:type="dxa"/>
            <w:shd w:val="clear" w:color="auto" w:fill="F3F7E8" w:themeFill="accent6" w:themeFillTint="33"/>
            <w:noWrap/>
            <w:vAlign w:val="center"/>
            <w:hideMark/>
          </w:tcPr>
          <w:p w14:paraId="7215866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S007</w:t>
            </w:r>
          </w:p>
        </w:tc>
        <w:tc>
          <w:tcPr>
            <w:tcW w:w="7089" w:type="dxa"/>
            <w:shd w:val="clear" w:color="auto" w:fill="F3F7E8" w:themeFill="accent6" w:themeFillTint="33"/>
            <w:noWrap/>
            <w:vAlign w:val="center"/>
            <w:hideMark/>
          </w:tcPr>
          <w:p w14:paraId="3ED3498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SALE </w:t>
            </w:r>
            <w:r>
              <w:rPr>
                <w:rFonts w:cstheme="minorHAnsi"/>
                <w:sz w:val="18"/>
                <w:szCs w:val="18"/>
              </w:rPr>
              <w:t>–</w:t>
            </w:r>
            <w:r w:rsidRPr="00166862">
              <w:rPr>
                <w:rFonts w:cstheme="minorHAnsi"/>
                <w:sz w:val="18"/>
                <w:szCs w:val="18"/>
              </w:rPr>
              <w:t xml:space="preserve"> VALENZA</w:t>
            </w:r>
          </w:p>
        </w:tc>
        <w:tc>
          <w:tcPr>
            <w:tcW w:w="1129" w:type="dxa"/>
            <w:shd w:val="clear" w:color="auto" w:fill="F3F7E8" w:themeFill="accent6" w:themeFillTint="33"/>
            <w:noWrap/>
            <w:vAlign w:val="center"/>
            <w:hideMark/>
          </w:tcPr>
          <w:p w14:paraId="4AB9C8E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44494CE1" w14:textId="77777777" w:rsidTr="002A21C0">
        <w:trPr>
          <w:trHeight w:val="288"/>
        </w:trPr>
        <w:tc>
          <w:tcPr>
            <w:tcW w:w="844" w:type="dxa"/>
            <w:noWrap/>
            <w:vAlign w:val="center"/>
            <w:hideMark/>
          </w:tcPr>
          <w:p w14:paraId="044FF72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S008</w:t>
            </w:r>
          </w:p>
        </w:tc>
        <w:tc>
          <w:tcPr>
            <w:tcW w:w="7089" w:type="dxa"/>
            <w:noWrap/>
            <w:vAlign w:val="center"/>
            <w:hideMark/>
          </w:tcPr>
          <w:p w14:paraId="0AC9C10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BASSIGNANA </w:t>
            </w:r>
            <w:r>
              <w:rPr>
                <w:rFonts w:cstheme="minorHAnsi"/>
                <w:sz w:val="18"/>
                <w:szCs w:val="18"/>
              </w:rPr>
              <w:t>–</w:t>
            </w:r>
            <w:r w:rsidRPr="00166862">
              <w:rPr>
                <w:rFonts w:cstheme="minorHAnsi"/>
                <w:sz w:val="18"/>
                <w:szCs w:val="18"/>
              </w:rPr>
              <w:t xml:space="preserve"> ALESSANDRIA</w:t>
            </w:r>
          </w:p>
        </w:tc>
        <w:tc>
          <w:tcPr>
            <w:tcW w:w="1129" w:type="dxa"/>
            <w:noWrap/>
            <w:vAlign w:val="center"/>
            <w:hideMark/>
          </w:tcPr>
          <w:p w14:paraId="78FE066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8905AFF" w14:textId="77777777" w:rsidTr="002A21C0">
        <w:trPr>
          <w:trHeight w:val="288"/>
        </w:trPr>
        <w:tc>
          <w:tcPr>
            <w:tcW w:w="844" w:type="dxa"/>
            <w:shd w:val="clear" w:color="auto" w:fill="F3F7E8" w:themeFill="accent6" w:themeFillTint="33"/>
            <w:noWrap/>
            <w:vAlign w:val="center"/>
            <w:hideMark/>
          </w:tcPr>
          <w:p w14:paraId="4B17201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S009</w:t>
            </w:r>
          </w:p>
        </w:tc>
        <w:tc>
          <w:tcPr>
            <w:tcW w:w="7089" w:type="dxa"/>
            <w:shd w:val="clear" w:color="auto" w:fill="F3F7E8" w:themeFill="accent6" w:themeFillTint="33"/>
            <w:noWrap/>
            <w:vAlign w:val="center"/>
            <w:hideMark/>
          </w:tcPr>
          <w:p w14:paraId="5136EFB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VOGHERA - SALE </w:t>
            </w:r>
            <w:r>
              <w:rPr>
                <w:rFonts w:cstheme="minorHAnsi"/>
                <w:sz w:val="18"/>
                <w:szCs w:val="18"/>
              </w:rPr>
              <w:t>–</w:t>
            </w:r>
            <w:r w:rsidRPr="00166862">
              <w:rPr>
                <w:rFonts w:cstheme="minorHAnsi"/>
                <w:sz w:val="18"/>
                <w:szCs w:val="18"/>
              </w:rPr>
              <w:t xml:space="preserve"> ALESSANDRIA</w:t>
            </w:r>
          </w:p>
        </w:tc>
        <w:tc>
          <w:tcPr>
            <w:tcW w:w="1129" w:type="dxa"/>
            <w:shd w:val="clear" w:color="auto" w:fill="F3F7E8" w:themeFill="accent6" w:themeFillTint="33"/>
            <w:noWrap/>
            <w:vAlign w:val="center"/>
            <w:hideMark/>
          </w:tcPr>
          <w:p w14:paraId="439725C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0E7C021" w14:textId="77777777" w:rsidTr="002A21C0">
        <w:trPr>
          <w:trHeight w:val="288"/>
        </w:trPr>
        <w:tc>
          <w:tcPr>
            <w:tcW w:w="844" w:type="dxa"/>
            <w:noWrap/>
            <w:vAlign w:val="center"/>
            <w:hideMark/>
          </w:tcPr>
          <w:p w14:paraId="74FFA21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S011</w:t>
            </w:r>
          </w:p>
        </w:tc>
        <w:tc>
          <w:tcPr>
            <w:tcW w:w="7089" w:type="dxa"/>
            <w:noWrap/>
            <w:vAlign w:val="center"/>
            <w:hideMark/>
          </w:tcPr>
          <w:p w14:paraId="0DFACBD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TORTONA </w:t>
            </w:r>
            <w:r>
              <w:rPr>
                <w:rFonts w:cstheme="minorHAnsi"/>
                <w:sz w:val="18"/>
                <w:szCs w:val="18"/>
              </w:rPr>
              <w:t>–</w:t>
            </w:r>
            <w:r w:rsidRPr="00166862">
              <w:rPr>
                <w:rFonts w:cstheme="minorHAnsi"/>
                <w:sz w:val="18"/>
                <w:szCs w:val="18"/>
              </w:rPr>
              <w:t xml:space="preserve"> VOGHERA</w:t>
            </w:r>
          </w:p>
        </w:tc>
        <w:tc>
          <w:tcPr>
            <w:tcW w:w="1129" w:type="dxa"/>
            <w:noWrap/>
            <w:vAlign w:val="center"/>
            <w:hideMark/>
          </w:tcPr>
          <w:p w14:paraId="696BA00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D477E73" w14:textId="77777777" w:rsidTr="002A21C0">
        <w:trPr>
          <w:trHeight w:val="288"/>
        </w:trPr>
        <w:tc>
          <w:tcPr>
            <w:tcW w:w="844" w:type="dxa"/>
            <w:shd w:val="clear" w:color="auto" w:fill="F3F7E8" w:themeFill="accent6" w:themeFillTint="33"/>
            <w:noWrap/>
            <w:vAlign w:val="center"/>
            <w:hideMark/>
          </w:tcPr>
          <w:p w14:paraId="35C28EA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S019</w:t>
            </w:r>
          </w:p>
        </w:tc>
        <w:tc>
          <w:tcPr>
            <w:tcW w:w="7089" w:type="dxa"/>
            <w:shd w:val="clear" w:color="auto" w:fill="F3F7E8" w:themeFill="accent6" w:themeFillTint="33"/>
            <w:noWrap/>
            <w:vAlign w:val="center"/>
            <w:hideMark/>
          </w:tcPr>
          <w:p w14:paraId="03E850C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NOVI LIGURE - CASSANO SPINOLA - SANT'AGATA FOSSILI</w:t>
            </w:r>
          </w:p>
        </w:tc>
        <w:tc>
          <w:tcPr>
            <w:tcW w:w="1129" w:type="dxa"/>
            <w:shd w:val="clear" w:color="auto" w:fill="F3F7E8" w:themeFill="accent6" w:themeFillTint="33"/>
            <w:noWrap/>
            <w:vAlign w:val="center"/>
            <w:hideMark/>
          </w:tcPr>
          <w:p w14:paraId="026F922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F07EC14" w14:textId="77777777" w:rsidTr="002A21C0">
        <w:trPr>
          <w:trHeight w:val="288"/>
        </w:trPr>
        <w:tc>
          <w:tcPr>
            <w:tcW w:w="844" w:type="dxa"/>
            <w:noWrap/>
            <w:vAlign w:val="center"/>
            <w:hideMark/>
          </w:tcPr>
          <w:p w14:paraId="0ACABAC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S020</w:t>
            </w:r>
          </w:p>
        </w:tc>
        <w:tc>
          <w:tcPr>
            <w:tcW w:w="7089" w:type="dxa"/>
            <w:noWrap/>
            <w:vAlign w:val="center"/>
            <w:hideMark/>
          </w:tcPr>
          <w:p w14:paraId="1E6D1DB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ALTAVILLA MORETTA - SAN SALVATORE</w:t>
            </w:r>
          </w:p>
        </w:tc>
        <w:tc>
          <w:tcPr>
            <w:tcW w:w="1129" w:type="dxa"/>
            <w:noWrap/>
            <w:vAlign w:val="center"/>
            <w:hideMark/>
          </w:tcPr>
          <w:p w14:paraId="5B19922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0255335" w14:textId="77777777" w:rsidTr="002A21C0">
        <w:trPr>
          <w:trHeight w:val="288"/>
        </w:trPr>
        <w:tc>
          <w:tcPr>
            <w:tcW w:w="844" w:type="dxa"/>
            <w:shd w:val="clear" w:color="auto" w:fill="F3F7E8" w:themeFill="accent6" w:themeFillTint="33"/>
            <w:noWrap/>
            <w:vAlign w:val="center"/>
            <w:hideMark/>
          </w:tcPr>
          <w:p w14:paraId="6DF8B14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lastRenderedPageBreak/>
              <w:t>S021</w:t>
            </w:r>
          </w:p>
        </w:tc>
        <w:tc>
          <w:tcPr>
            <w:tcW w:w="7089" w:type="dxa"/>
            <w:shd w:val="clear" w:color="auto" w:fill="F3F7E8" w:themeFill="accent6" w:themeFillTint="33"/>
            <w:noWrap/>
            <w:vAlign w:val="center"/>
            <w:hideMark/>
          </w:tcPr>
          <w:p w14:paraId="78B5CDE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TERME - SPINETTA MARENGO</w:t>
            </w:r>
          </w:p>
        </w:tc>
        <w:tc>
          <w:tcPr>
            <w:tcW w:w="1129" w:type="dxa"/>
            <w:shd w:val="clear" w:color="auto" w:fill="F3F7E8" w:themeFill="accent6" w:themeFillTint="33"/>
            <w:noWrap/>
            <w:vAlign w:val="center"/>
            <w:hideMark/>
          </w:tcPr>
          <w:p w14:paraId="71A9F4E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245E358" w14:textId="77777777" w:rsidTr="002A21C0">
        <w:trPr>
          <w:trHeight w:val="288"/>
        </w:trPr>
        <w:tc>
          <w:tcPr>
            <w:tcW w:w="844" w:type="dxa"/>
            <w:noWrap/>
            <w:vAlign w:val="center"/>
            <w:hideMark/>
          </w:tcPr>
          <w:p w14:paraId="52F5D38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S022</w:t>
            </w:r>
          </w:p>
        </w:tc>
        <w:tc>
          <w:tcPr>
            <w:tcW w:w="7089" w:type="dxa"/>
            <w:noWrap/>
            <w:vAlign w:val="center"/>
            <w:hideMark/>
          </w:tcPr>
          <w:p w14:paraId="3BC0892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ACQUI TERME</w:t>
            </w:r>
          </w:p>
        </w:tc>
        <w:tc>
          <w:tcPr>
            <w:tcW w:w="1129" w:type="dxa"/>
            <w:noWrap/>
            <w:vAlign w:val="center"/>
            <w:hideMark/>
          </w:tcPr>
          <w:p w14:paraId="645A965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98</w:t>
            </w:r>
          </w:p>
        </w:tc>
      </w:tr>
      <w:tr w:rsidR="00872434" w:rsidRPr="00166862" w14:paraId="5449510B" w14:textId="77777777" w:rsidTr="002A21C0">
        <w:trPr>
          <w:trHeight w:val="288"/>
        </w:trPr>
        <w:tc>
          <w:tcPr>
            <w:tcW w:w="844" w:type="dxa"/>
            <w:shd w:val="clear" w:color="auto" w:fill="F3F7E8" w:themeFill="accent6" w:themeFillTint="33"/>
            <w:noWrap/>
            <w:vAlign w:val="center"/>
            <w:hideMark/>
          </w:tcPr>
          <w:p w14:paraId="4E2F5DB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S023</w:t>
            </w:r>
          </w:p>
        </w:tc>
        <w:tc>
          <w:tcPr>
            <w:tcW w:w="7089" w:type="dxa"/>
            <w:shd w:val="clear" w:color="auto" w:fill="F3F7E8" w:themeFill="accent6" w:themeFillTint="33"/>
            <w:noWrap/>
            <w:vAlign w:val="center"/>
            <w:hideMark/>
          </w:tcPr>
          <w:p w14:paraId="0A2C136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CASAL CERMELLI </w:t>
            </w:r>
            <w:r>
              <w:rPr>
                <w:rFonts w:cstheme="minorHAnsi"/>
                <w:sz w:val="18"/>
                <w:szCs w:val="18"/>
              </w:rPr>
              <w:t>–</w:t>
            </w:r>
            <w:r w:rsidRPr="00166862">
              <w:rPr>
                <w:rFonts w:cstheme="minorHAnsi"/>
                <w:sz w:val="18"/>
                <w:szCs w:val="18"/>
              </w:rPr>
              <w:t xml:space="preserve"> ALESSANDRIA</w:t>
            </w:r>
          </w:p>
        </w:tc>
        <w:tc>
          <w:tcPr>
            <w:tcW w:w="1129" w:type="dxa"/>
            <w:shd w:val="clear" w:color="auto" w:fill="F3F7E8" w:themeFill="accent6" w:themeFillTint="33"/>
            <w:noWrap/>
            <w:vAlign w:val="center"/>
            <w:hideMark/>
          </w:tcPr>
          <w:p w14:paraId="57F1049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50FBBA7" w14:textId="77777777" w:rsidTr="002A21C0">
        <w:trPr>
          <w:trHeight w:val="288"/>
        </w:trPr>
        <w:tc>
          <w:tcPr>
            <w:tcW w:w="844" w:type="dxa"/>
            <w:noWrap/>
            <w:vAlign w:val="center"/>
            <w:hideMark/>
          </w:tcPr>
          <w:p w14:paraId="1BB7047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S032</w:t>
            </w:r>
          </w:p>
        </w:tc>
        <w:tc>
          <w:tcPr>
            <w:tcW w:w="7089" w:type="dxa"/>
            <w:noWrap/>
            <w:vAlign w:val="center"/>
            <w:hideMark/>
          </w:tcPr>
          <w:p w14:paraId="573216A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MONTALDO BORMIDA - PREDOSA - NOVI LIGURE</w:t>
            </w:r>
          </w:p>
        </w:tc>
        <w:tc>
          <w:tcPr>
            <w:tcW w:w="1129" w:type="dxa"/>
            <w:noWrap/>
            <w:vAlign w:val="center"/>
            <w:hideMark/>
          </w:tcPr>
          <w:p w14:paraId="379CCA7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0516BBE" w14:textId="77777777" w:rsidTr="002A21C0">
        <w:trPr>
          <w:trHeight w:val="288"/>
        </w:trPr>
        <w:tc>
          <w:tcPr>
            <w:tcW w:w="844" w:type="dxa"/>
            <w:shd w:val="clear" w:color="auto" w:fill="F3F7E8" w:themeFill="accent6" w:themeFillTint="33"/>
            <w:noWrap/>
            <w:vAlign w:val="center"/>
            <w:hideMark/>
          </w:tcPr>
          <w:p w14:paraId="179EC4A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S033</w:t>
            </w:r>
          </w:p>
        </w:tc>
        <w:tc>
          <w:tcPr>
            <w:tcW w:w="7089" w:type="dxa"/>
            <w:shd w:val="clear" w:color="auto" w:fill="F3F7E8" w:themeFill="accent6" w:themeFillTint="33"/>
            <w:noWrap/>
            <w:vAlign w:val="center"/>
            <w:hideMark/>
          </w:tcPr>
          <w:p w14:paraId="40EAB2A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GRONDONA - ARQUATA SCRIVIA</w:t>
            </w:r>
          </w:p>
        </w:tc>
        <w:tc>
          <w:tcPr>
            <w:tcW w:w="1129" w:type="dxa"/>
            <w:shd w:val="clear" w:color="auto" w:fill="F3F7E8" w:themeFill="accent6" w:themeFillTint="33"/>
            <w:noWrap/>
            <w:vAlign w:val="center"/>
            <w:hideMark/>
          </w:tcPr>
          <w:p w14:paraId="06D479C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B223F17" w14:textId="77777777" w:rsidTr="002A21C0">
        <w:trPr>
          <w:trHeight w:val="288"/>
        </w:trPr>
        <w:tc>
          <w:tcPr>
            <w:tcW w:w="844" w:type="dxa"/>
            <w:noWrap/>
            <w:vAlign w:val="center"/>
            <w:hideMark/>
          </w:tcPr>
          <w:p w14:paraId="6E9F095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S034</w:t>
            </w:r>
          </w:p>
        </w:tc>
        <w:tc>
          <w:tcPr>
            <w:tcW w:w="7089" w:type="dxa"/>
            <w:noWrap/>
            <w:vAlign w:val="center"/>
            <w:hideMark/>
          </w:tcPr>
          <w:p w14:paraId="6635A2E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STAZZANO -</w:t>
            </w:r>
            <w:r>
              <w:rPr>
                <w:rFonts w:cstheme="minorHAnsi"/>
                <w:sz w:val="18"/>
                <w:szCs w:val="18"/>
              </w:rPr>
              <w:t xml:space="preserve"> </w:t>
            </w:r>
            <w:r w:rsidRPr="00166862">
              <w:rPr>
                <w:rFonts w:cstheme="minorHAnsi"/>
                <w:sz w:val="18"/>
                <w:szCs w:val="18"/>
              </w:rPr>
              <w:t>SERRAVALLE SCRIVIA</w:t>
            </w:r>
          </w:p>
        </w:tc>
        <w:tc>
          <w:tcPr>
            <w:tcW w:w="1129" w:type="dxa"/>
            <w:noWrap/>
            <w:vAlign w:val="center"/>
            <w:hideMark/>
          </w:tcPr>
          <w:p w14:paraId="32B8159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9284B0C" w14:textId="77777777" w:rsidTr="002A21C0">
        <w:trPr>
          <w:trHeight w:val="288"/>
        </w:trPr>
        <w:tc>
          <w:tcPr>
            <w:tcW w:w="844" w:type="dxa"/>
            <w:shd w:val="clear" w:color="auto" w:fill="F3F7E8" w:themeFill="accent6" w:themeFillTint="33"/>
            <w:noWrap/>
            <w:vAlign w:val="center"/>
            <w:hideMark/>
          </w:tcPr>
          <w:p w14:paraId="4BDB366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S035</w:t>
            </w:r>
          </w:p>
        </w:tc>
        <w:tc>
          <w:tcPr>
            <w:tcW w:w="7089" w:type="dxa"/>
            <w:shd w:val="clear" w:color="auto" w:fill="F3F7E8" w:themeFill="accent6" w:themeFillTint="33"/>
            <w:noWrap/>
            <w:vAlign w:val="center"/>
            <w:hideMark/>
          </w:tcPr>
          <w:p w14:paraId="33C2566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MORNESE TRAMONTANA - GAVI </w:t>
            </w:r>
          </w:p>
        </w:tc>
        <w:tc>
          <w:tcPr>
            <w:tcW w:w="1129" w:type="dxa"/>
            <w:shd w:val="clear" w:color="auto" w:fill="F3F7E8" w:themeFill="accent6" w:themeFillTint="33"/>
            <w:noWrap/>
            <w:vAlign w:val="center"/>
            <w:hideMark/>
          </w:tcPr>
          <w:p w14:paraId="417A3AA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75C5332" w14:textId="77777777" w:rsidTr="002A21C0">
        <w:trPr>
          <w:trHeight w:val="288"/>
        </w:trPr>
        <w:tc>
          <w:tcPr>
            <w:tcW w:w="844" w:type="dxa"/>
            <w:noWrap/>
            <w:vAlign w:val="center"/>
            <w:hideMark/>
          </w:tcPr>
          <w:p w14:paraId="69D3B7F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S036</w:t>
            </w:r>
          </w:p>
        </w:tc>
        <w:tc>
          <w:tcPr>
            <w:tcW w:w="7089" w:type="dxa"/>
            <w:noWrap/>
            <w:vAlign w:val="center"/>
            <w:hideMark/>
          </w:tcPr>
          <w:p w14:paraId="7A44754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GAVI - ARQUATA SCRIVIA - NOVI LIGURE</w:t>
            </w:r>
          </w:p>
        </w:tc>
        <w:tc>
          <w:tcPr>
            <w:tcW w:w="1129" w:type="dxa"/>
            <w:noWrap/>
            <w:vAlign w:val="center"/>
            <w:hideMark/>
          </w:tcPr>
          <w:p w14:paraId="2F5552F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E319168" w14:textId="77777777" w:rsidTr="002A21C0">
        <w:trPr>
          <w:trHeight w:val="288"/>
        </w:trPr>
        <w:tc>
          <w:tcPr>
            <w:tcW w:w="844" w:type="dxa"/>
            <w:shd w:val="clear" w:color="auto" w:fill="F3F7E8" w:themeFill="accent6" w:themeFillTint="33"/>
            <w:noWrap/>
            <w:vAlign w:val="center"/>
            <w:hideMark/>
          </w:tcPr>
          <w:p w14:paraId="2BF0AF5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S037</w:t>
            </w:r>
          </w:p>
        </w:tc>
        <w:tc>
          <w:tcPr>
            <w:tcW w:w="7089" w:type="dxa"/>
            <w:shd w:val="clear" w:color="auto" w:fill="F3F7E8" w:themeFill="accent6" w:themeFillTint="33"/>
            <w:noWrap/>
            <w:vAlign w:val="center"/>
            <w:hideMark/>
          </w:tcPr>
          <w:p w14:paraId="4B83279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ISOLA SANT'ANTONIO </w:t>
            </w:r>
            <w:r>
              <w:rPr>
                <w:rFonts w:cstheme="minorHAnsi"/>
                <w:sz w:val="18"/>
                <w:szCs w:val="18"/>
              </w:rPr>
              <w:t>–</w:t>
            </w:r>
            <w:r w:rsidRPr="00166862">
              <w:rPr>
                <w:rFonts w:cstheme="minorHAnsi"/>
                <w:sz w:val="18"/>
                <w:szCs w:val="18"/>
              </w:rPr>
              <w:t xml:space="preserve"> TORTONA</w:t>
            </w:r>
          </w:p>
        </w:tc>
        <w:tc>
          <w:tcPr>
            <w:tcW w:w="1129" w:type="dxa"/>
            <w:shd w:val="clear" w:color="auto" w:fill="F3F7E8" w:themeFill="accent6" w:themeFillTint="33"/>
            <w:noWrap/>
            <w:vAlign w:val="center"/>
            <w:hideMark/>
          </w:tcPr>
          <w:p w14:paraId="0193CD2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31764EA" w14:textId="77777777" w:rsidTr="002A21C0">
        <w:trPr>
          <w:trHeight w:val="288"/>
        </w:trPr>
        <w:tc>
          <w:tcPr>
            <w:tcW w:w="844" w:type="dxa"/>
            <w:noWrap/>
            <w:vAlign w:val="center"/>
            <w:hideMark/>
          </w:tcPr>
          <w:p w14:paraId="6EA4068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S037P</w:t>
            </w:r>
          </w:p>
        </w:tc>
        <w:tc>
          <w:tcPr>
            <w:tcW w:w="7089" w:type="dxa"/>
            <w:noWrap/>
            <w:vAlign w:val="center"/>
            <w:hideMark/>
          </w:tcPr>
          <w:p w14:paraId="259AE31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SALE - PONTECURONE </w:t>
            </w:r>
            <w:r>
              <w:rPr>
                <w:rFonts w:cstheme="minorHAnsi"/>
                <w:sz w:val="18"/>
                <w:szCs w:val="18"/>
              </w:rPr>
              <w:t>–</w:t>
            </w:r>
            <w:r w:rsidRPr="00166862">
              <w:rPr>
                <w:rFonts w:cstheme="minorHAnsi"/>
                <w:sz w:val="18"/>
                <w:szCs w:val="18"/>
              </w:rPr>
              <w:t xml:space="preserve"> TORTONA</w:t>
            </w:r>
          </w:p>
        </w:tc>
        <w:tc>
          <w:tcPr>
            <w:tcW w:w="1129" w:type="dxa"/>
            <w:noWrap/>
            <w:vAlign w:val="center"/>
            <w:hideMark/>
          </w:tcPr>
          <w:p w14:paraId="42069F3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335EF48" w14:textId="77777777" w:rsidTr="002A21C0">
        <w:trPr>
          <w:trHeight w:val="288"/>
        </w:trPr>
        <w:tc>
          <w:tcPr>
            <w:tcW w:w="844" w:type="dxa"/>
            <w:shd w:val="clear" w:color="auto" w:fill="F3F7E8" w:themeFill="accent6" w:themeFillTint="33"/>
            <w:noWrap/>
            <w:vAlign w:val="center"/>
            <w:hideMark/>
          </w:tcPr>
          <w:p w14:paraId="03872D9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S038</w:t>
            </w:r>
          </w:p>
        </w:tc>
        <w:tc>
          <w:tcPr>
            <w:tcW w:w="7089" w:type="dxa"/>
            <w:shd w:val="clear" w:color="auto" w:fill="F3F7E8" w:themeFill="accent6" w:themeFillTint="33"/>
            <w:noWrap/>
            <w:vAlign w:val="center"/>
            <w:hideMark/>
          </w:tcPr>
          <w:p w14:paraId="73EDBA3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BUSALLA MOLINI FRANCONALTO </w:t>
            </w:r>
            <w:r>
              <w:rPr>
                <w:rFonts w:cstheme="minorHAnsi"/>
                <w:sz w:val="18"/>
                <w:szCs w:val="18"/>
              </w:rPr>
              <w:t>–</w:t>
            </w:r>
            <w:r w:rsidRPr="00166862">
              <w:rPr>
                <w:rFonts w:cstheme="minorHAnsi"/>
                <w:sz w:val="18"/>
                <w:szCs w:val="18"/>
              </w:rPr>
              <w:t xml:space="preserve"> GAVI</w:t>
            </w:r>
          </w:p>
        </w:tc>
        <w:tc>
          <w:tcPr>
            <w:tcW w:w="1129" w:type="dxa"/>
            <w:shd w:val="clear" w:color="auto" w:fill="F3F7E8" w:themeFill="accent6" w:themeFillTint="33"/>
            <w:noWrap/>
            <w:vAlign w:val="center"/>
            <w:hideMark/>
          </w:tcPr>
          <w:p w14:paraId="020EF76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2E9C3B2" w14:textId="77777777" w:rsidTr="002A21C0">
        <w:trPr>
          <w:trHeight w:val="288"/>
        </w:trPr>
        <w:tc>
          <w:tcPr>
            <w:tcW w:w="844" w:type="dxa"/>
            <w:noWrap/>
            <w:vAlign w:val="center"/>
            <w:hideMark/>
          </w:tcPr>
          <w:p w14:paraId="17294DD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S039</w:t>
            </w:r>
          </w:p>
        </w:tc>
        <w:tc>
          <w:tcPr>
            <w:tcW w:w="7089" w:type="dxa"/>
            <w:noWrap/>
            <w:vAlign w:val="center"/>
            <w:hideMark/>
          </w:tcPr>
          <w:p w14:paraId="269CE45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NOVI LIGURE - GAVI - FRANCAVILLA BISIO</w:t>
            </w:r>
          </w:p>
        </w:tc>
        <w:tc>
          <w:tcPr>
            <w:tcW w:w="1129" w:type="dxa"/>
            <w:noWrap/>
            <w:vAlign w:val="center"/>
            <w:hideMark/>
          </w:tcPr>
          <w:p w14:paraId="6BEFA06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A6CDA5E" w14:textId="77777777" w:rsidTr="002A21C0">
        <w:trPr>
          <w:trHeight w:val="288"/>
        </w:trPr>
        <w:tc>
          <w:tcPr>
            <w:tcW w:w="844" w:type="dxa"/>
            <w:shd w:val="clear" w:color="auto" w:fill="F3F7E8" w:themeFill="accent6" w:themeFillTint="33"/>
            <w:noWrap/>
            <w:vAlign w:val="center"/>
            <w:hideMark/>
          </w:tcPr>
          <w:p w14:paraId="3D055EB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S040</w:t>
            </w:r>
          </w:p>
        </w:tc>
        <w:tc>
          <w:tcPr>
            <w:tcW w:w="7089" w:type="dxa"/>
            <w:shd w:val="clear" w:color="auto" w:fill="F3F7E8" w:themeFill="accent6" w:themeFillTint="33"/>
            <w:noWrap/>
            <w:vAlign w:val="center"/>
            <w:hideMark/>
          </w:tcPr>
          <w:p w14:paraId="120EED7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FABBRICA CURONE - TORTONA - ALESSANDRIA</w:t>
            </w:r>
          </w:p>
        </w:tc>
        <w:tc>
          <w:tcPr>
            <w:tcW w:w="1129" w:type="dxa"/>
            <w:shd w:val="clear" w:color="auto" w:fill="F3F7E8" w:themeFill="accent6" w:themeFillTint="33"/>
            <w:noWrap/>
            <w:vAlign w:val="center"/>
            <w:hideMark/>
          </w:tcPr>
          <w:p w14:paraId="61B8D26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DB676C3" w14:textId="77777777" w:rsidTr="002A21C0">
        <w:trPr>
          <w:trHeight w:val="288"/>
        </w:trPr>
        <w:tc>
          <w:tcPr>
            <w:tcW w:w="844" w:type="dxa"/>
            <w:noWrap/>
            <w:vAlign w:val="center"/>
            <w:hideMark/>
          </w:tcPr>
          <w:p w14:paraId="0D0201E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S040C</w:t>
            </w:r>
          </w:p>
        </w:tc>
        <w:tc>
          <w:tcPr>
            <w:tcW w:w="7089" w:type="dxa"/>
            <w:noWrap/>
            <w:vAlign w:val="center"/>
            <w:hideMark/>
          </w:tcPr>
          <w:p w14:paraId="21106FF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SALOGNI - SAN SEBASTIANO CURONE</w:t>
            </w:r>
          </w:p>
        </w:tc>
        <w:tc>
          <w:tcPr>
            <w:tcW w:w="1129" w:type="dxa"/>
            <w:noWrap/>
            <w:vAlign w:val="center"/>
            <w:hideMark/>
          </w:tcPr>
          <w:p w14:paraId="0EA2FC5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8EAAED1" w14:textId="77777777" w:rsidTr="002A21C0">
        <w:trPr>
          <w:trHeight w:val="288"/>
        </w:trPr>
        <w:tc>
          <w:tcPr>
            <w:tcW w:w="844" w:type="dxa"/>
            <w:shd w:val="clear" w:color="auto" w:fill="F3F7E8" w:themeFill="accent6" w:themeFillTint="33"/>
            <w:noWrap/>
            <w:vAlign w:val="center"/>
            <w:hideMark/>
          </w:tcPr>
          <w:p w14:paraId="7BF6C75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S041</w:t>
            </w:r>
          </w:p>
        </w:tc>
        <w:tc>
          <w:tcPr>
            <w:tcW w:w="7089" w:type="dxa"/>
            <w:shd w:val="clear" w:color="auto" w:fill="F3F7E8" w:themeFill="accent6" w:themeFillTint="33"/>
            <w:noWrap/>
            <w:vAlign w:val="center"/>
            <w:hideMark/>
          </w:tcPr>
          <w:p w14:paraId="45495C4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AVOLASCA </w:t>
            </w:r>
            <w:r>
              <w:rPr>
                <w:rFonts w:cstheme="minorHAnsi"/>
                <w:sz w:val="18"/>
                <w:szCs w:val="18"/>
              </w:rPr>
              <w:t>–</w:t>
            </w:r>
            <w:r w:rsidRPr="00166862">
              <w:rPr>
                <w:rFonts w:cstheme="minorHAnsi"/>
                <w:sz w:val="18"/>
                <w:szCs w:val="18"/>
              </w:rPr>
              <w:t xml:space="preserve"> TORTONA</w:t>
            </w:r>
          </w:p>
        </w:tc>
        <w:tc>
          <w:tcPr>
            <w:tcW w:w="1129" w:type="dxa"/>
            <w:shd w:val="clear" w:color="auto" w:fill="F3F7E8" w:themeFill="accent6" w:themeFillTint="33"/>
            <w:noWrap/>
            <w:vAlign w:val="center"/>
            <w:hideMark/>
          </w:tcPr>
          <w:p w14:paraId="2A65A7F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57745F1" w14:textId="77777777" w:rsidTr="002A21C0">
        <w:trPr>
          <w:trHeight w:val="288"/>
        </w:trPr>
        <w:tc>
          <w:tcPr>
            <w:tcW w:w="844" w:type="dxa"/>
            <w:noWrap/>
            <w:vAlign w:val="center"/>
            <w:hideMark/>
          </w:tcPr>
          <w:p w14:paraId="7E413ED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S042</w:t>
            </w:r>
          </w:p>
        </w:tc>
        <w:tc>
          <w:tcPr>
            <w:tcW w:w="7089" w:type="dxa"/>
            <w:noWrap/>
            <w:vAlign w:val="center"/>
            <w:hideMark/>
          </w:tcPr>
          <w:p w14:paraId="2814EA2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SARIZZOLA </w:t>
            </w:r>
            <w:r>
              <w:rPr>
                <w:rFonts w:cstheme="minorHAnsi"/>
                <w:sz w:val="18"/>
                <w:szCs w:val="18"/>
              </w:rPr>
              <w:t>–</w:t>
            </w:r>
            <w:r w:rsidRPr="00166862">
              <w:rPr>
                <w:rFonts w:cstheme="minorHAnsi"/>
                <w:sz w:val="18"/>
                <w:szCs w:val="18"/>
              </w:rPr>
              <w:t xml:space="preserve"> TORTONA</w:t>
            </w:r>
          </w:p>
        </w:tc>
        <w:tc>
          <w:tcPr>
            <w:tcW w:w="1129" w:type="dxa"/>
            <w:noWrap/>
            <w:vAlign w:val="center"/>
            <w:hideMark/>
          </w:tcPr>
          <w:p w14:paraId="456742B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5EFE852" w14:textId="77777777" w:rsidTr="002A21C0">
        <w:trPr>
          <w:trHeight w:val="288"/>
        </w:trPr>
        <w:tc>
          <w:tcPr>
            <w:tcW w:w="844" w:type="dxa"/>
            <w:shd w:val="clear" w:color="auto" w:fill="F3F7E8" w:themeFill="accent6" w:themeFillTint="33"/>
            <w:noWrap/>
            <w:vAlign w:val="center"/>
            <w:hideMark/>
          </w:tcPr>
          <w:p w14:paraId="6BC2F1C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S044</w:t>
            </w:r>
          </w:p>
        </w:tc>
        <w:tc>
          <w:tcPr>
            <w:tcW w:w="7089" w:type="dxa"/>
            <w:shd w:val="clear" w:color="auto" w:fill="F3F7E8" w:themeFill="accent6" w:themeFillTint="33"/>
            <w:noWrap/>
            <w:vAlign w:val="center"/>
            <w:hideMark/>
          </w:tcPr>
          <w:p w14:paraId="30C19D0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ALTAVILLA MORETTA </w:t>
            </w:r>
            <w:r>
              <w:rPr>
                <w:rFonts w:cstheme="minorHAnsi"/>
                <w:sz w:val="18"/>
                <w:szCs w:val="18"/>
              </w:rPr>
              <w:t>–</w:t>
            </w:r>
            <w:r w:rsidRPr="00166862">
              <w:rPr>
                <w:rFonts w:cstheme="minorHAnsi"/>
                <w:sz w:val="18"/>
                <w:szCs w:val="18"/>
              </w:rPr>
              <w:t xml:space="preserve"> FRANCHINI</w:t>
            </w:r>
          </w:p>
        </w:tc>
        <w:tc>
          <w:tcPr>
            <w:tcW w:w="1129" w:type="dxa"/>
            <w:shd w:val="clear" w:color="auto" w:fill="F3F7E8" w:themeFill="accent6" w:themeFillTint="33"/>
            <w:noWrap/>
            <w:vAlign w:val="center"/>
            <w:hideMark/>
          </w:tcPr>
          <w:p w14:paraId="0EB30C6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A08BAD6" w14:textId="77777777" w:rsidTr="002A21C0">
        <w:trPr>
          <w:trHeight w:val="288"/>
        </w:trPr>
        <w:tc>
          <w:tcPr>
            <w:tcW w:w="844" w:type="dxa"/>
            <w:noWrap/>
            <w:vAlign w:val="center"/>
            <w:hideMark/>
          </w:tcPr>
          <w:p w14:paraId="5FB052E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S045</w:t>
            </w:r>
          </w:p>
        </w:tc>
        <w:tc>
          <w:tcPr>
            <w:tcW w:w="7089" w:type="dxa"/>
            <w:noWrap/>
            <w:vAlign w:val="center"/>
            <w:hideMark/>
          </w:tcPr>
          <w:p w14:paraId="0A693BD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ALTAVILLA MORETTA </w:t>
            </w:r>
            <w:r>
              <w:rPr>
                <w:rFonts w:cstheme="minorHAnsi"/>
                <w:sz w:val="18"/>
                <w:szCs w:val="18"/>
              </w:rPr>
              <w:t>–</w:t>
            </w:r>
            <w:r w:rsidRPr="00166862">
              <w:rPr>
                <w:rFonts w:cstheme="minorHAnsi"/>
                <w:sz w:val="18"/>
                <w:szCs w:val="18"/>
              </w:rPr>
              <w:t xml:space="preserve"> ALESSANDRIA</w:t>
            </w:r>
          </w:p>
        </w:tc>
        <w:tc>
          <w:tcPr>
            <w:tcW w:w="1129" w:type="dxa"/>
            <w:noWrap/>
            <w:vAlign w:val="center"/>
            <w:hideMark/>
          </w:tcPr>
          <w:p w14:paraId="02296B5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C92F732" w14:textId="77777777" w:rsidTr="002A21C0">
        <w:trPr>
          <w:trHeight w:val="288"/>
        </w:trPr>
        <w:tc>
          <w:tcPr>
            <w:tcW w:w="844" w:type="dxa"/>
            <w:shd w:val="clear" w:color="auto" w:fill="F3F7E8" w:themeFill="accent6" w:themeFillTint="33"/>
            <w:noWrap/>
            <w:vAlign w:val="center"/>
            <w:hideMark/>
          </w:tcPr>
          <w:p w14:paraId="0BF4546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S049</w:t>
            </w:r>
          </w:p>
        </w:tc>
        <w:tc>
          <w:tcPr>
            <w:tcW w:w="7089" w:type="dxa"/>
            <w:shd w:val="clear" w:color="auto" w:fill="F3F7E8" w:themeFill="accent6" w:themeFillTint="33"/>
            <w:noWrap/>
            <w:vAlign w:val="center"/>
            <w:hideMark/>
          </w:tcPr>
          <w:p w14:paraId="3755ACE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ALTAVILLA MORETTA - CASALE MONFERRATO</w:t>
            </w:r>
          </w:p>
        </w:tc>
        <w:tc>
          <w:tcPr>
            <w:tcW w:w="1129" w:type="dxa"/>
            <w:shd w:val="clear" w:color="auto" w:fill="F3F7E8" w:themeFill="accent6" w:themeFillTint="33"/>
            <w:noWrap/>
            <w:vAlign w:val="center"/>
            <w:hideMark/>
          </w:tcPr>
          <w:p w14:paraId="6CD7C44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6E5E43E" w14:textId="77777777" w:rsidTr="002A21C0">
        <w:trPr>
          <w:trHeight w:val="288"/>
        </w:trPr>
        <w:tc>
          <w:tcPr>
            <w:tcW w:w="844" w:type="dxa"/>
            <w:noWrap/>
            <w:vAlign w:val="center"/>
            <w:hideMark/>
          </w:tcPr>
          <w:p w14:paraId="1D22139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S058</w:t>
            </w:r>
          </w:p>
        </w:tc>
        <w:tc>
          <w:tcPr>
            <w:tcW w:w="7089" w:type="dxa"/>
            <w:noWrap/>
            <w:vAlign w:val="center"/>
            <w:hideMark/>
          </w:tcPr>
          <w:p w14:paraId="3F56DE0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ARQUATA SCRIVIA - SPINETTA MARENGO STABILIMENTI</w:t>
            </w:r>
          </w:p>
        </w:tc>
        <w:tc>
          <w:tcPr>
            <w:tcW w:w="1129" w:type="dxa"/>
            <w:noWrap/>
            <w:vAlign w:val="center"/>
            <w:hideMark/>
          </w:tcPr>
          <w:p w14:paraId="028F84C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2076F4F" w14:textId="77777777" w:rsidTr="002A21C0">
        <w:trPr>
          <w:trHeight w:val="288"/>
        </w:trPr>
        <w:tc>
          <w:tcPr>
            <w:tcW w:w="844" w:type="dxa"/>
            <w:shd w:val="clear" w:color="auto" w:fill="F3F7E8" w:themeFill="accent6" w:themeFillTint="33"/>
            <w:noWrap/>
            <w:vAlign w:val="center"/>
            <w:hideMark/>
          </w:tcPr>
          <w:p w14:paraId="4C71F47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S059</w:t>
            </w:r>
          </w:p>
        </w:tc>
        <w:tc>
          <w:tcPr>
            <w:tcW w:w="7089" w:type="dxa"/>
            <w:shd w:val="clear" w:color="auto" w:fill="F3F7E8" w:themeFill="accent6" w:themeFillTint="33"/>
            <w:noWrap/>
            <w:vAlign w:val="center"/>
            <w:hideMark/>
          </w:tcPr>
          <w:p w14:paraId="4ABC772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LERMA </w:t>
            </w:r>
            <w:r>
              <w:rPr>
                <w:rFonts w:cstheme="minorHAnsi"/>
                <w:sz w:val="18"/>
                <w:szCs w:val="18"/>
              </w:rPr>
              <w:t>–</w:t>
            </w:r>
            <w:r w:rsidRPr="00166862">
              <w:rPr>
                <w:rFonts w:cstheme="minorHAnsi"/>
                <w:sz w:val="18"/>
                <w:szCs w:val="18"/>
              </w:rPr>
              <w:t xml:space="preserve"> CASTELLETTO</w:t>
            </w:r>
          </w:p>
        </w:tc>
        <w:tc>
          <w:tcPr>
            <w:tcW w:w="1129" w:type="dxa"/>
            <w:shd w:val="clear" w:color="auto" w:fill="F3F7E8" w:themeFill="accent6" w:themeFillTint="33"/>
            <w:noWrap/>
            <w:vAlign w:val="center"/>
            <w:hideMark/>
          </w:tcPr>
          <w:p w14:paraId="3B352CE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3C9407D3" w14:textId="77777777" w:rsidTr="002A21C0">
        <w:trPr>
          <w:trHeight w:val="288"/>
        </w:trPr>
        <w:tc>
          <w:tcPr>
            <w:tcW w:w="844" w:type="dxa"/>
            <w:noWrap/>
            <w:vAlign w:val="center"/>
            <w:hideMark/>
          </w:tcPr>
          <w:p w14:paraId="7245ECA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S060</w:t>
            </w:r>
          </w:p>
        </w:tc>
        <w:tc>
          <w:tcPr>
            <w:tcW w:w="7089" w:type="dxa"/>
            <w:noWrap/>
            <w:vAlign w:val="center"/>
            <w:hideMark/>
          </w:tcPr>
          <w:p w14:paraId="7F95DE3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 ACQUI TERME</w:t>
            </w:r>
          </w:p>
        </w:tc>
        <w:tc>
          <w:tcPr>
            <w:tcW w:w="1129" w:type="dxa"/>
            <w:noWrap/>
            <w:vAlign w:val="center"/>
            <w:hideMark/>
          </w:tcPr>
          <w:p w14:paraId="337C249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F5C1BD4" w14:textId="77777777" w:rsidTr="002A21C0">
        <w:trPr>
          <w:trHeight w:val="288"/>
        </w:trPr>
        <w:tc>
          <w:tcPr>
            <w:tcW w:w="844" w:type="dxa"/>
            <w:shd w:val="clear" w:color="auto" w:fill="F3F7E8" w:themeFill="accent6" w:themeFillTint="33"/>
            <w:noWrap/>
            <w:vAlign w:val="center"/>
            <w:hideMark/>
          </w:tcPr>
          <w:p w14:paraId="15FCFD2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S061</w:t>
            </w:r>
          </w:p>
        </w:tc>
        <w:tc>
          <w:tcPr>
            <w:tcW w:w="7089" w:type="dxa"/>
            <w:shd w:val="clear" w:color="auto" w:fill="F3F7E8" w:themeFill="accent6" w:themeFillTint="33"/>
            <w:noWrap/>
            <w:vAlign w:val="center"/>
            <w:hideMark/>
          </w:tcPr>
          <w:p w14:paraId="2587757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NOVI LIGURE </w:t>
            </w:r>
            <w:r>
              <w:rPr>
                <w:rFonts w:cstheme="minorHAnsi"/>
                <w:sz w:val="18"/>
                <w:szCs w:val="18"/>
              </w:rPr>
              <w:t>–</w:t>
            </w:r>
            <w:r w:rsidRPr="00166862">
              <w:rPr>
                <w:rFonts w:cstheme="minorHAnsi"/>
                <w:sz w:val="18"/>
                <w:szCs w:val="18"/>
              </w:rPr>
              <w:t xml:space="preserve"> ALESSANDRIA</w:t>
            </w:r>
          </w:p>
        </w:tc>
        <w:tc>
          <w:tcPr>
            <w:tcW w:w="1129" w:type="dxa"/>
            <w:shd w:val="clear" w:color="auto" w:fill="F3F7E8" w:themeFill="accent6" w:themeFillTint="33"/>
            <w:noWrap/>
            <w:vAlign w:val="center"/>
            <w:hideMark/>
          </w:tcPr>
          <w:p w14:paraId="58B1281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C90EE47" w14:textId="77777777" w:rsidTr="002A21C0">
        <w:trPr>
          <w:trHeight w:val="288"/>
        </w:trPr>
        <w:tc>
          <w:tcPr>
            <w:tcW w:w="844" w:type="dxa"/>
            <w:noWrap/>
            <w:vAlign w:val="center"/>
            <w:hideMark/>
          </w:tcPr>
          <w:p w14:paraId="2BA4583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S062</w:t>
            </w:r>
          </w:p>
        </w:tc>
        <w:tc>
          <w:tcPr>
            <w:tcW w:w="7089" w:type="dxa"/>
            <w:noWrap/>
            <w:vAlign w:val="center"/>
            <w:hideMark/>
          </w:tcPr>
          <w:p w14:paraId="5AD8819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PREDOSA - OVADA</w:t>
            </w:r>
            <w:r>
              <w:rPr>
                <w:rFonts w:cstheme="minorHAnsi"/>
                <w:sz w:val="18"/>
                <w:szCs w:val="18"/>
              </w:rPr>
              <w:t xml:space="preserve"> </w:t>
            </w:r>
            <w:r w:rsidRPr="00166862">
              <w:rPr>
                <w:rFonts w:cstheme="minorHAnsi"/>
                <w:sz w:val="18"/>
                <w:szCs w:val="18"/>
              </w:rPr>
              <w:t>(EX 175)</w:t>
            </w:r>
          </w:p>
        </w:tc>
        <w:tc>
          <w:tcPr>
            <w:tcW w:w="1129" w:type="dxa"/>
            <w:noWrap/>
            <w:vAlign w:val="center"/>
            <w:hideMark/>
          </w:tcPr>
          <w:p w14:paraId="3EF0F26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0218E97" w14:textId="77777777" w:rsidTr="002A21C0">
        <w:trPr>
          <w:trHeight w:val="288"/>
        </w:trPr>
        <w:tc>
          <w:tcPr>
            <w:tcW w:w="844" w:type="dxa"/>
            <w:shd w:val="clear" w:color="auto" w:fill="F3F7E8" w:themeFill="accent6" w:themeFillTint="33"/>
            <w:noWrap/>
            <w:vAlign w:val="center"/>
            <w:hideMark/>
          </w:tcPr>
          <w:p w14:paraId="1F11F9D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S063</w:t>
            </w:r>
          </w:p>
        </w:tc>
        <w:tc>
          <w:tcPr>
            <w:tcW w:w="7089" w:type="dxa"/>
            <w:shd w:val="clear" w:color="auto" w:fill="F3F7E8" w:themeFill="accent6" w:themeFillTint="33"/>
            <w:noWrap/>
            <w:vAlign w:val="center"/>
            <w:hideMark/>
          </w:tcPr>
          <w:p w14:paraId="0FAAF4C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 NOVI LIGURE</w:t>
            </w:r>
          </w:p>
        </w:tc>
        <w:tc>
          <w:tcPr>
            <w:tcW w:w="1129" w:type="dxa"/>
            <w:shd w:val="clear" w:color="auto" w:fill="F3F7E8" w:themeFill="accent6" w:themeFillTint="33"/>
            <w:noWrap/>
            <w:vAlign w:val="center"/>
            <w:hideMark/>
          </w:tcPr>
          <w:p w14:paraId="2C7DC5F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63A0C18" w14:textId="77777777" w:rsidTr="002A21C0">
        <w:trPr>
          <w:trHeight w:val="288"/>
        </w:trPr>
        <w:tc>
          <w:tcPr>
            <w:tcW w:w="844" w:type="dxa"/>
            <w:noWrap/>
            <w:vAlign w:val="center"/>
            <w:hideMark/>
          </w:tcPr>
          <w:p w14:paraId="5268379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S064</w:t>
            </w:r>
          </w:p>
        </w:tc>
        <w:tc>
          <w:tcPr>
            <w:tcW w:w="7089" w:type="dxa"/>
            <w:noWrap/>
            <w:vAlign w:val="center"/>
            <w:hideMark/>
          </w:tcPr>
          <w:p w14:paraId="03292B5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ARQUATA SCRIVIA F.S.-</w:t>
            </w:r>
            <w:r>
              <w:rPr>
                <w:rFonts w:cstheme="minorHAnsi"/>
                <w:sz w:val="18"/>
                <w:szCs w:val="18"/>
              </w:rPr>
              <w:t xml:space="preserve"> </w:t>
            </w:r>
            <w:r w:rsidRPr="00166862">
              <w:rPr>
                <w:rFonts w:cstheme="minorHAnsi"/>
                <w:sz w:val="18"/>
                <w:szCs w:val="18"/>
              </w:rPr>
              <w:t>CASSANO SPINOLA-TORTONA F.S. (EX 174)</w:t>
            </w:r>
          </w:p>
        </w:tc>
        <w:tc>
          <w:tcPr>
            <w:tcW w:w="1129" w:type="dxa"/>
            <w:noWrap/>
            <w:vAlign w:val="center"/>
            <w:hideMark/>
          </w:tcPr>
          <w:p w14:paraId="5D717FA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C15BBBC" w14:textId="77777777" w:rsidTr="002A21C0">
        <w:trPr>
          <w:trHeight w:val="288"/>
        </w:trPr>
        <w:tc>
          <w:tcPr>
            <w:tcW w:w="844" w:type="dxa"/>
            <w:shd w:val="clear" w:color="auto" w:fill="F3F7E8" w:themeFill="accent6" w:themeFillTint="33"/>
            <w:noWrap/>
            <w:vAlign w:val="center"/>
            <w:hideMark/>
          </w:tcPr>
          <w:p w14:paraId="5BEEE5E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S077</w:t>
            </w:r>
          </w:p>
        </w:tc>
        <w:tc>
          <w:tcPr>
            <w:tcW w:w="7089" w:type="dxa"/>
            <w:shd w:val="clear" w:color="auto" w:fill="F3F7E8" w:themeFill="accent6" w:themeFillTint="33"/>
            <w:noWrap/>
            <w:vAlign w:val="center"/>
            <w:hideMark/>
          </w:tcPr>
          <w:p w14:paraId="76F7ED4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w:t>
            </w:r>
            <w:r>
              <w:rPr>
                <w:rFonts w:cstheme="minorHAnsi"/>
                <w:sz w:val="18"/>
                <w:szCs w:val="18"/>
              </w:rPr>
              <w:t xml:space="preserve"> </w:t>
            </w:r>
            <w:r w:rsidRPr="00166862">
              <w:rPr>
                <w:rFonts w:cstheme="minorHAnsi"/>
                <w:sz w:val="18"/>
                <w:szCs w:val="18"/>
              </w:rPr>
              <w:t>MOMBARUZZO CON DEV.NE</w:t>
            </w:r>
          </w:p>
        </w:tc>
        <w:tc>
          <w:tcPr>
            <w:tcW w:w="1129" w:type="dxa"/>
            <w:shd w:val="clear" w:color="auto" w:fill="F3F7E8" w:themeFill="accent6" w:themeFillTint="33"/>
            <w:noWrap/>
            <w:vAlign w:val="center"/>
            <w:hideMark/>
          </w:tcPr>
          <w:p w14:paraId="20565C0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680D783" w14:textId="77777777" w:rsidTr="002A21C0">
        <w:trPr>
          <w:trHeight w:val="288"/>
        </w:trPr>
        <w:tc>
          <w:tcPr>
            <w:tcW w:w="844" w:type="dxa"/>
            <w:noWrap/>
            <w:vAlign w:val="center"/>
            <w:hideMark/>
          </w:tcPr>
          <w:p w14:paraId="58CFD57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S081</w:t>
            </w:r>
          </w:p>
        </w:tc>
        <w:tc>
          <w:tcPr>
            <w:tcW w:w="7089" w:type="dxa"/>
            <w:noWrap/>
            <w:vAlign w:val="center"/>
            <w:hideMark/>
          </w:tcPr>
          <w:p w14:paraId="383C281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NOVI LIGURE </w:t>
            </w:r>
            <w:r>
              <w:rPr>
                <w:rFonts w:cstheme="minorHAnsi"/>
                <w:sz w:val="18"/>
                <w:szCs w:val="18"/>
              </w:rPr>
              <w:t>–</w:t>
            </w:r>
            <w:r w:rsidRPr="00166862">
              <w:rPr>
                <w:rFonts w:cstheme="minorHAnsi"/>
                <w:sz w:val="18"/>
                <w:szCs w:val="18"/>
              </w:rPr>
              <w:t xml:space="preserve"> TORTONA</w:t>
            </w:r>
          </w:p>
        </w:tc>
        <w:tc>
          <w:tcPr>
            <w:tcW w:w="1129" w:type="dxa"/>
            <w:noWrap/>
            <w:vAlign w:val="center"/>
            <w:hideMark/>
          </w:tcPr>
          <w:p w14:paraId="76DAE49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88AAC01" w14:textId="77777777" w:rsidTr="002A21C0">
        <w:trPr>
          <w:trHeight w:val="288"/>
        </w:trPr>
        <w:tc>
          <w:tcPr>
            <w:tcW w:w="844" w:type="dxa"/>
            <w:shd w:val="clear" w:color="auto" w:fill="F3F7E8" w:themeFill="accent6" w:themeFillTint="33"/>
            <w:noWrap/>
            <w:vAlign w:val="center"/>
            <w:hideMark/>
          </w:tcPr>
          <w:p w14:paraId="57D8A84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S082</w:t>
            </w:r>
          </w:p>
        </w:tc>
        <w:tc>
          <w:tcPr>
            <w:tcW w:w="7089" w:type="dxa"/>
            <w:shd w:val="clear" w:color="auto" w:fill="F3F7E8" w:themeFill="accent6" w:themeFillTint="33"/>
            <w:noWrap/>
            <w:vAlign w:val="center"/>
            <w:hideMark/>
          </w:tcPr>
          <w:p w14:paraId="2DBBECD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CASTAGNOLE LANZE</w:t>
            </w:r>
          </w:p>
        </w:tc>
        <w:tc>
          <w:tcPr>
            <w:tcW w:w="1129" w:type="dxa"/>
            <w:shd w:val="clear" w:color="auto" w:fill="F3F7E8" w:themeFill="accent6" w:themeFillTint="33"/>
            <w:noWrap/>
            <w:vAlign w:val="center"/>
            <w:hideMark/>
          </w:tcPr>
          <w:p w14:paraId="1D7A513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0FC83E3" w14:textId="77777777" w:rsidTr="002A21C0">
        <w:trPr>
          <w:trHeight w:val="288"/>
        </w:trPr>
        <w:tc>
          <w:tcPr>
            <w:tcW w:w="844" w:type="dxa"/>
            <w:noWrap/>
            <w:vAlign w:val="center"/>
            <w:hideMark/>
          </w:tcPr>
          <w:p w14:paraId="7AF59A5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S083</w:t>
            </w:r>
          </w:p>
        </w:tc>
        <w:tc>
          <w:tcPr>
            <w:tcW w:w="7089" w:type="dxa"/>
            <w:noWrap/>
            <w:vAlign w:val="center"/>
            <w:hideMark/>
          </w:tcPr>
          <w:p w14:paraId="3B2E34A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MOMBARUZZO-QUATTORDIO STAB.TI IND.LI CON DIR.NI</w:t>
            </w:r>
          </w:p>
        </w:tc>
        <w:tc>
          <w:tcPr>
            <w:tcW w:w="1129" w:type="dxa"/>
            <w:noWrap/>
            <w:vAlign w:val="center"/>
            <w:hideMark/>
          </w:tcPr>
          <w:p w14:paraId="76A69DB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FC661B6" w14:textId="77777777" w:rsidTr="002A21C0">
        <w:trPr>
          <w:trHeight w:val="288"/>
        </w:trPr>
        <w:tc>
          <w:tcPr>
            <w:tcW w:w="844" w:type="dxa"/>
            <w:shd w:val="clear" w:color="auto" w:fill="F3F7E8" w:themeFill="accent6" w:themeFillTint="33"/>
            <w:noWrap/>
            <w:vAlign w:val="center"/>
            <w:hideMark/>
          </w:tcPr>
          <w:p w14:paraId="225C8D9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S085</w:t>
            </w:r>
          </w:p>
        </w:tc>
        <w:tc>
          <w:tcPr>
            <w:tcW w:w="7089" w:type="dxa"/>
            <w:shd w:val="clear" w:color="auto" w:fill="F3F7E8" w:themeFill="accent6" w:themeFillTint="33"/>
            <w:noWrap/>
            <w:vAlign w:val="center"/>
            <w:hideMark/>
          </w:tcPr>
          <w:p w14:paraId="53B0592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REFRANCORE </w:t>
            </w:r>
            <w:r>
              <w:rPr>
                <w:rFonts w:cstheme="minorHAnsi"/>
                <w:sz w:val="18"/>
                <w:szCs w:val="18"/>
              </w:rPr>
              <w:t>–</w:t>
            </w:r>
            <w:r w:rsidRPr="00166862">
              <w:rPr>
                <w:rFonts w:cstheme="minorHAnsi"/>
                <w:sz w:val="18"/>
                <w:szCs w:val="18"/>
              </w:rPr>
              <w:t xml:space="preserve"> ALESSANDRIA</w:t>
            </w:r>
          </w:p>
        </w:tc>
        <w:tc>
          <w:tcPr>
            <w:tcW w:w="1129" w:type="dxa"/>
            <w:shd w:val="clear" w:color="auto" w:fill="F3F7E8" w:themeFill="accent6" w:themeFillTint="33"/>
            <w:noWrap/>
            <w:vAlign w:val="center"/>
            <w:hideMark/>
          </w:tcPr>
          <w:p w14:paraId="2F5A219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w:t>
            </w:r>
          </w:p>
        </w:tc>
      </w:tr>
      <w:tr w:rsidR="00872434" w:rsidRPr="00166862" w14:paraId="53A47A0B" w14:textId="77777777" w:rsidTr="002A21C0">
        <w:trPr>
          <w:trHeight w:val="288"/>
        </w:trPr>
        <w:tc>
          <w:tcPr>
            <w:tcW w:w="844" w:type="dxa"/>
            <w:noWrap/>
            <w:vAlign w:val="center"/>
            <w:hideMark/>
          </w:tcPr>
          <w:p w14:paraId="689F592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S088</w:t>
            </w:r>
          </w:p>
        </w:tc>
        <w:tc>
          <w:tcPr>
            <w:tcW w:w="7089" w:type="dxa"/>
            <w:noWrap/>
            <w:vAlign w:val="center"/>
            <w:hideMark/>
          </w:tcPr>
          <w:p w14:paraId="442B5B4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MASIO </w:t>
            </w:r>
            <w:r>
              <w:rPr>
                <w:rFonts w:cstheme="minorHAnsi"/>
                <w:sz w:val="18"/>
                <w:szCs w:val="18"/>
              </w:rPr>
              <w:t>–</w:t>
            </w:r>
            <w:r w:rsidRPr="00166862">
              <w:rPr>
                <w:rFonts w:cstheme="minorHAnsi"/>
                <w:sz w:val="18"/>
                <w:szCs w:val="18"/>
              </w:rPr>
              <w:t xml:space="preserve"> ALESSANDRIA</w:t>
            </w:r>
          </w:p>
        </w:tc>
        <w:tc>
          <w:tcPr>
            <w:tcW w:w="1129" w:type="dxa"/>
            <w:noWrap/>
            <w:vAlign w:val="center"/>
            <w:hideMark/>
          </w:tcPr>
          <w:p w14:paraId="4E5951D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012F56C" w14:textId="77777777" w:rsidTr="002A21C0">
        <w:trPr>
          <w:trHeight w:val="288"/>
        </w:trPr>
        <w:tc>
          <w:tcPr>
            <w:tcW w:w="844" w:type="dxa"/>
            <w:shd w:val="clear" w:color="auto" w:fill="F3F7E8" w:themeFill="accent6" w:themeFillTint="33"/>
            <w:noWrap/>
            <w:vAlign w:val="center"/>
            <w:hideMark/>
          </w:tcPr>
          <w:p w14:paraId="67EADDE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S091</w:t>
            </w:r>
          </w:p>
        </w:tc>
        <w:tc>
          <w:tcPr>
            <w:tcW w:w="7089" w:type="dxa"/>
            <w:shd w:val="clear" w:color="auto" w:fill="F3F7E8" w:themeFill="accent6" w:themeFillTint="33"/>
            <w:noWrap/>
            <w:vAlign w:val="center"/>
            <w:hideMark/>
          </w:tcPr>
          <w:p w14:paraId="384F9B9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GARBAGNA </w:t>
            </w:r>
            <w:r>
              <w:rPr>
                <w:rFonts w:cstheme="minorHAnsi"/>
                <w:sz w:val="18"/>
                <w:szCs w:val="18"/>
              </w:rPr>
              <w:t>–</w:t>
            </w:r>
            <w:r w:rsidRPr="00166862">
              <w:rPr>
                <w:rFonts w:cstheme="minorHAnsi"/>
                <w:sz w:val="18"/>
                <w:szCs w:val="18"/>
              </w:rPr>
              <w:t xml:space="preserve"> TORTONA</w:t>
            </w:r>
          </w:p>
        </w:tc>
        <w:tc>
          <w:tcPr>
            <w:tcW w:w="1129" w:type="dxa"/>
            <w:shd w:val="clear" w:color="auto" w:fill="F3F7E8" w:themeFill="accent6" w:themeFillTint="33"/>
            <w:noWrap/>
            <w:vAlign w:val="center"/>
            <w:hideMark/>
          </w:tcPr>
          <w:p w14:paraId="6110E44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CD02E95" w14:textId="77777777" w:rsidTr="002A21C0">
        <w:trPr>
          <w:trHeight w:val="288"/>
        </w:trPr>
        <w:tc>
          <w:tcPr>
            <w:tcW w:w="844" w:type="dxa"/>
            <w:noWrap/>
            <w:vAlign w:val="center"/>
            <w:hideMark/>
          </w:tcPr>
          <w:p w14:paraId="525E2AD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S092</w:t>
            </w:r>
          </w:p>
        </w:tc>
        <w:tc>
          <w:tcPr>
            <w:tcW w:w="7089" w:type="dxa"/>
            <w:noWrap/>
            <w:vAlign w:val="center"/>
            <w:hideMark/>
          </w:tcPr>
          <w:p w14:paraId="019D741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CAREZZANO MAGGIORE </w:t>
            </w:r>
            <w:r>
              <w:rPr>
                <w:rFonts w:cstheme="minorHAnsi"/>
                <w:sz w:val="18"/>
                <w:szCs w:val="18"/>
              </w:rPr>
              <w:t>–</w:t>
            </w:r>
            <w:r w:rsidRPr="00166862">
              <w:rPr>
                <w:rFonts w:cstheme="minorHAnsi"/>
                <w:sz w:val="18"/>
                <w:szCs w:val="18"/>
              </w:rPr>
              <w:t xml:space="preserve"> TORTONA</w:t>
            </w:r>
          </w:p>
        </w:tc>
        <w:tc>
          <w:tcPr>
            <w:tcW w:w="1129" w:type="dxa"/>
            <w:noWrap/>
            <w:vAlign w:val="center"/>
            <w:hideMark/>
          </w:tcPr>
          <w:p w14:paraId="107A3F0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A23EF9D" w14:textId="77777777" w:rsidTr="002A21C0">
        <w:trPr>
          <w:trHeight w:val="288"/>
        </w:trPr>
        <w:tc>
          <w:tcPr>
            <w:tcW w:w="844" w:type="dxa"/>
            <w:shd w:val="clear" w:color="auto" w:fill="F3F7E8" w:themeFill="accent6" w:themeFillTint="33"/>
            <w:noWrap/>
            <w:vAlign w:val="center"/>
            <w:hideMark/>
          </w:tcPr>
          <w:p w14:paraId="1997DCF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S095</w:t>
            </w:r>
          </w:p>
        </w:tc>
        <w:tc>
          <w:tcPr>
            <w:tcW w:w="7089" w:type="dxa"/>
            <w:shd w:val="clear" w:color="auto" w:fill="F3F7E8" w:themeFill="accent6" w:themeFillTint="33"/>
            <w:noWrap/>
            <w:vAlign w:val="center"/>
            <w:hideMark/>
          </w:tcPr>
          <w:p w14:paraId="7204AED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FONTANILE</w:t>
            </w:r>
            <w:r>
              <w:rPr>
                <w:rFonts w:cstheme="minorHAnsi"/>
                <w:sz w:val="18"/>
                <w:szCs w:val="18"/>
              </w:rPr>
              <w:t xml:space="preserve"> </w:t>
            </w:r>
            <w:r w:rsidRPr="00166862">
              <w:rPr>
                <w:rFonts w:cstheme="minorHAnsi"/>
                <w:sz w:val="18"/>
                <w:szCs w:val="18"/>
              </w:rPr>
              <w:t>-</w:t>
            </w:r>
            <w:r>
              <w:rPr>
                <w:rFonts w:cstheme="minorHAnsi"/>
                <w:sz w:val="18"/>
                <w:szCs w:val="18"/>
              </w:rPr>
              <w:t xml:space="preserve"> </w:t>
            </w:r>
            <w:r w:rsidRPr="00166862">
              <w:rPr>
                <w:rFonts w:cstheme="minorHAnsi"/>
                <w:sz w:val="18"/>
                <w:szCs w:val="18"/>
              </w:rPr>
              <w:t>ALESSANDRIA</w:t>
            </w:r>
          </w:p>
        </w:tc>
        <w:tc>
          <w:tcPr>
            <w:tcW w:w="1129" w:type="dxa"/>
            <w:shd w:val="clear" w:color="auto" w:fill="F3F7E8" w:themeFill="accent6" w:themeFillTint="33"/>
            <w:noWrap/>
            <w:vAlign w:val="center"/>
            <w:hideMark/>
          </w:tcPr>
          <w:p w14:paraId="38B385E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59C37E2" w14:textId="77777777" w:rsidTr="002A21C0">
        <w:trPr>
          <w:trHeight w:val="288"/>
        </w:trPr>
        <w:tc>
          <w:tcPr>
            <w:tcW w:w="844" w:type="dxa"/>
            <w:noWrap/>
            <w:vAlign w:val="center"/>
            <w:hideMark/>
          </w:tcPr>
          <w:p w14:paraId="2FAC42F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S099</w:t>
            </w:r>
          </w:p>
        </w:tc>
        <w:tc>
          <w:tcPr>
            <w:tcW w:w="7089" w:type="dxa"/>
            <w:noWrap/>
            <w:vAlign w:val="center"/>
            <w:hideMark/>
          </w:tcPr>
          <w:p w14:paraId="7E90B00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SERVIZI SCOLASTICI ALESSANDRIA</w:t>
            </w:r>
          </w:p>
        </w:tc>
        <w:tc>
          <w:tcPr>
            <w:tcW w:w="1129" w:type="dxa"/>
            <w:noWrap/>
            <w:vAlign w:val="center"/>
            <w:hideMark/>
          </w:tcPr>
          <w:p w14:paraId="0FBECBC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33A5E2EF" w14:textId="77777777" w:rsidTr="002A21C0">
        <w:trPr>
          <w:trHeight w:val="288"/>
        </w:trPr>
        <w:tc>
          <w:tcPr>
            <w:tcW w:w="844" w:type="dxa"/>
            <w:shd w:val="clear" w:color="auto" w:fill="F3F7E8" w:themeFill="accent6" w:themeFillTint="33"/>
            <w:noWrap/>
            <w:vAlign w:val="center"/>
            <w:hideMark/>
          </w:tcPr>
          <w:p w14:paraId="7518A17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S120</w:t>
            </w:r>
          </w:p>
        </w:tc>
        <w:tc>
          <w:tcPr>
            <w:tcW w:w="7089" w:type="dxa"/>
            <w:shd w:val="clear" w:color="auto" w:fill="F3F7E8" w:themeFill="accent6" w:themeFillTint="33"/>
            <w:noWrap/>
            <w:vAlign w:val="center"/>
            <w:hideMark/>
          </w:tcPr>
          <w:p w14:paraId="4CF7D75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CASALE MONFERRATO - VALENZA - MILANO</w:t>
            </w:r>
          </w:p>
        </w:tc>
        <w:tc>
          <w:tcPr>
            <w:tcW w:w="1129" w:type="dxa"/>
            <w:shd w:val="clear" w:color="auto" w:fill="F3F7E8" w:themeFill="accent6" w:themeFillTint="33"/>
            <w:noWrap/>
            <w:vAlign w:val="center"/>
            <w:hideMark/>
          </w:tcPr>
          <w:p w14:paraId="5B0D98A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CD6D9BE" w14:textId="77777777" w:rsidTr="002A21C0">
        <w:trPr>
          <w:trHeight w:val="288"/>
        </w:trPr>
        <w:tc>
          <w:tcPr>
            <w:tcW w:w="844" w:type="dxa"/>
            <w:noWrap/>
            <w:vAlign w:val="center"/>
            <w:hideMark/>
          </w:tcPr>
          <w:p w14:paraId="7DFFC15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S121</w:t>
            </w:r>
          </w:p>
        </w:tc>
        <w:tc>
          <w:tcPr>
            <w:tcW w:w="7089" w:type="dxa"/>
            <w:noWrap/>
            <w:vAlign w:val="center"/>
            <w:hideMark/>
          </w:tcPr>
          <w:p w14:paraId="57AA051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MONCALVO - GRAZZANO - ROSIGNANO - CASALE MONFERRATO</w:t>
            </w:r>
          </w:p>
        </w:tc>
        <w:tc>
          <w:tcPr>
            <w:tcW w:w="1129" w:type="dxa"/>
            <w:noWrap/>
            <w:vAlign w:val="center"/>
            <w:hideMark/>
          </w:tcPr>
          <w:p w14:paraId="3093455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6B6928C" w14:textId="77777777" w:rsidTr="002A21C0">
        <w:trPr>
          <w:trHeight w:val="288"/>
        </w:trPr>
        <w:tc>
          <w:tcPr>
            <w:tcW w:w="844" w:type="dxa"/>
            <w:shd w:val="clear" w:color="auto" w:fill="F3F7E8" w:themeFill="accent6" w:themeFillTint="33"/>
            <w:noWrap/>
            <w:vAlign w:val="center"/>
            <w:hideMark/>
          </w:tcPr>
          <w:p w14:paraId="796C130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S122</w:t>
            </w:r>
          </w:p>
        </w:tc>
        <w:tc>
          <w:tcPr>
            <w:tcW w:w="7089" w:type="dxa"/>
            <w:shd w:val="clear" w:color="auto" w:fill="F3F7E8" w:themeFill="accent6" w:themeFillTint="33"/>
            <w:noWrap/>
            <w:vAlign w:val="center"/>
            <w:hideMark/>
          </w:tcPr>
          <w:p w14:paraId="4222FEE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MONCALVO - OTTIGLIO - OZZANO - CASALE MONFERRATO</w:t>
            </w:r>
          </w:p>
        </w:tc>
        <w:tc>
          <w:tcPr>
            <w:tcW w:w="1129" w:type="dxa"/>
            <w:shd w:val="clear" w:color="auto" w:fill="F3F7E8" w:themeFill="accent6" w:themeFillTint="33"/>
            <w:noWrap/>
            <w:vAlign w:val="center"/>
            <w:hideMark/>
          </w:tcPr>
          <w:p w14:paraId="539A04C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0096DCEB" w14:textId="77777777" w:rsidTr="002A21C0">
        <w:trPr>
          <w:trHeight w:val="288"/>
        </w:trPr>
        <w:tc>
          <w:tcPr>
            <w:tcW w:w="844" w:type="dxa"/>
            <w:noWrap/>
            <w:vAlign w:val="center"/>
            <w:hideMark/>
          </w:tcPr>
          <w:p w14:paraId="3520E48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S125</w:t>
            </w:r>
          </w:p>
        </w:tc>
        <w:tc>
          <w:tcPr>
            <w:tcW w:w="7089" w:type="dxa"/>
            <w:noWrap/>
            <w:vAlign w:val="center"/>
            <w:hideMark/>
          </w:tcPr>
          <w:p w14:paraId="49EC809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PONZANO MONFERRATO - PONTESTURA </w:t>
            </w:r>
          </w:p>
        </w:tc>
        <w:tc>
          <w:tcPr>
            <w:tcW w:w="1129" w:type="dxa"/>
            <w:noWrap/>
            <w:vAlign w:val="center"/>
            <w:hideMark/>
          </w:tcPr>
          <w:p w14:paraId="110ED1E4"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3F5A2B4E" w14:textId="77777777" w:rsidTr="002A21C0">
        <w:trPr>
          <w:trHeight w:val="288"/>
        </w:trPr>
        <w:tc>
          <w:tcPr>
            <w:tcW w:w="844" w:type="dxa"/>
            <w:shd w:val="clear" w:color="auto" w:fill="F3F7E8" w:themeFill="accent6" w:themeFillTint="33"/>
            <w:noWrap/>
            <w:vAlign w:val="center"/>
            <w:hideMark/>
          </w:tcPr>
          <w:p w14:paraId="36A5C29E"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S126</w:t>
            </w:r>
          </w:p>
        </w:tc>
        <w:tc>
          <w:tcPr>
            <w:tcW w:w="7089" w:type="dxa"/>
            <w:shd w:val="clear" w:color="auto" w:fill="F3F7E8" w:themeFill="accent6" w:themeFillTint="33"/>
            <w:noWrap/>
            <w:vAlign w:val="center"/>
            <w:hideMark/>
          </w:tcPr>
          <w:p w14:paraId="1027F76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MORTARA - CASALE MONFERRATO </w:t>
            </w:r>
            <w:r>
              <w:rPr>
                <w:rFonts w:cstheme="minorHAnsi"/>
                <w:sz w:val="18"/>
                <w:szCs w:val="18"/>
              </w:rPr>
              <w:t>–</w:t>
            </w:r>
            <w:r w:rsidRPr="00166862">
              <w:rPr>
                <w:rFonts w:cstheme="minorHAnsi"/>
                <w:sz w:val="18"/>
                <w:szCs w:val="18"/>
              </w:rPr>
              <w:t xml:space="preserve"> ASTI</w:t>
            </w:r>
          </w:p>
        </w:tc>
        <w:tc>
          <w:tcPr>
            <w:tcW w:w="1129" w:type="dxa"/>
            <w:shd w:val="clear" w:color="auto" w:fill="F3F7E8" w:themeFill="accent6" w:themeFillTint="33"/>
            <w:noWrap/>
            <w:vAlign w:val="center"/>
            <w:hideMark/>
          </w:tcPr>
          <w:p w14:paraId="684BCF3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4AED6B31" w14:textId="77777777" w:rsidTr="002A21C0">
        <w:trPr>
          <w:trHeight w:val="288"/>
        </w:trPr>
        <w:tc>
          <w:tcPr>
            <w:tcW w:w="844" w:type="dxa"/>
            <w:noWrap/>
            <w:vAlign w:val="center"/>
            <w:hideMark/>
          </w:tcPr>
          <w:p w14:paraId="013C288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S128</w:t>
            </w:r>
          </w:p>
        </w:tc>
        <w:tc>
          <w:tcPr>
            <w:tcW w:w="7089" w:type="dxa"/>
            <w:noWrap/>
            <w:vAlign w:val="center"/>
            <w:hideMark/>
          </w:tcPr>
          <w:p w14:paraId="7BEA962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TRINO - PONTESTURA - CASALE MONFERRATO</w:t>
            </w:r>
          </w:p>
        </w:tc>
        <w:tc>
          <w:tcPr>
            <w:tcW w:w="1129" w:type="dxa"/>
            <w:noWrap/>
            <w:vAlign w:val="center"/>
            <w:hideMark/>
          </w:tcPr>
          <w:p w14:paraId="7190613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2C953BD2" w14:textId="77777777" w:rsidTr="002A21C0">
        <w:trPr>
          <w:trHeight w:val="288"/>
        </w:trPr>
        <w:tc>
          <w:tcPr>
            <w:tcW w:w="844" w:type="dxa"/>
            <w:shd w:val="clear" w:color="auto" w:fill="F3F7E8" w:themeFill="accent6" w:themeFillTint="33"/>
            <w:noWrap/>
            <w:vAlign w:val="center"/>
            <w:hideMark/>
          </w:tcPr>
          <w:p w14:paraId="1136214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S129</w:t>
            </w:r>
          </w:p>
        </w:tc>
        <w:tc>
          <w:tcPr>
            <w:tcW w:w="7089" w:type="dxa"/>
            <w:shd w:val="clear" w:color="auto" w:fill="F3F7E8" w:themeFill="accent6" w:themeFillTint="33"/>
            <w:noWrap/>
            <w:vAlign w:val="center"/>
            <w:hideMark/>
          </w:tcPr>
          <w:p w14:paraId="64A7588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BALZOLA - CASALE MONFERRATO</w:t>
            </w:r>
          </w:p>
        </w:tc>
        <w:tc>
          <w:tcPr>
            <w:tcW w:w="1129" w:type="dxa"/>
            <w:shd w:val="clear" w:color="auto" w:fill="F3F7E8" w:themeFill="accent6" w:themeFillTint="33"/>
            <w:noWrap/>
            <w:vAlign w:val="center"/>
            <w:hideMark/>
          </w:tcPr>
          <w:p w14:paraId="02FC855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E8DF817" w14:textId="77777777" w:rsidTr="002A21C0">
        <w:trPr>
          <w:trHeight w:val="288"/>
        </w:trPr>
        <w:tc>
          <w:tcPr>
            <w:tcW w:w="844" w:type="dxa"/>
            <w:noWrap/>
            <w:vAlign w:val="center"/>
            <w:hideMark/>
          </w:tcPr>
          <w:p w14:paraId="7424A48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S130</w:t>
            </w:r>
          </w:p>
        </w:tc>
        <w:tc>
          <w:tcPr>
            <w:tcW w:w="7089" w:type="dxa"/>
            <w:noWrap/>
            <w:vAlign w:val="center"/>
            <w:hideMark/>
          </w:tcPr>
          <w:p w14:paraId="3CC7E91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GABIANO - CASALE MONFERRATO</w:t>
            </w:r>
          </w:p>
        </w:tc>
        <w:tc>
          <w:tcPr>
            <w:tcW w:w="1129" w:type="dxa"/>
            <w:noWrap/>
            <w:vAlign w:val="center"/>
            <w:hideMark/>
          </w:tcPr>
          <w:p w14:paraId="5C4502E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2F1DDE2" w14:textId="77777777" w:rsidTr="002A21C0">
        <w:trPr>
          <w:trHeight w:val="288"/>
        </w:trPr>
        <w:tc>
          <w:tcPr>
            <w:tcW w:w="844" w:type="dxa"/>
            <w:shd w:val="clear" w:color="auto" w:fill="F3F7E8" w:themeFill="accent6" w:themeFillTint="33"/>
            <w:noWrap/>
            <w:vAlign w:val="center"/>
            <w:hideMark/>
          </w:tcPr>
          <w:p w14:paraId="07737AD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S131</w:t>
            </w:r>
          </w:p>
        </w:tc>
        <w:tc>
          <w:tcPr>
            <w:tcW w:w="7089" w:type="dxa"/>
            <w:shd w:val="clear" w:color="auto" w:fill="F3F7E8" w:themeFill="accent6" w:themeFillTint="33"/>
            <w:noWrap/>
            <w:vAlign w:val="center"/>
            <w:hideMark/>
          </w:tcPr>
          <w:p w14:paraId="743BBCC7"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CASALE MONFERRATO - VERCELLI</w:t>
            </w:r>
          </w:p>
        </w:tc>
        <w:tc>
          <w:tcPr>
            <w:tcW w:w="1129" w:type="dxa"/>
            <w:shd w:val="clear" w:color="auto" w:fill="F3F7E8" w:themeFill="accent6" w:themeFillTint="33"/>
            <w:noWrap/>
            <w:vAlign w:val="center"/>
            <w:hideMark/>
          </w:tcPr>
          <w:p w14:paraId="32C60D1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1CFE7D70" w14:textId="77777777" w:rsidTr="002A21C0">
        <w:trPr>
          <w:trHeight w:val="288"/>
        </w:trPr>
        <w:tc>
          <w:tcPr>
            <w:tcW w:w="844" w:type="dxa"/>
            <w:noWrap/>
            <w:vAlign w:val="center"/>
            <w:hideMark/>
          </w:tcPr>
          <w:p w14:paraId="43DA2AD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lastRenderedPageBreak/>
              <w:t>S157</w:t>
            </w:r>
          </w:p>
        </w:tc>
        <w:tc>
          <w:tcPr>
            <w:tcW w:w="7089" w:type="dxa"/>
            <w:noWrap/>
            <w:vAlign w:val="center"/>
            <w:hideMark/>
          </w:tcPr>
          <w:p w14:paraId="23A9C715"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VALENZA - SPINETTA MARENGO STABILIMENTI</w:t>
            </w:r>
          </w:p>
        </w:tc>
        <w:tc>
          <w:tcPr>
            <w:tcW w:w="1129" w:type="dxa"/>
            <w:noWrap/>
            <w:vAlign w:val="center"/>
            <w:hideMark/>
          </w:tcPr>
          <w:p w14:paraId="43472FB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000B880" w14:textId="77777777" w:rsidTr="002A21C0">
        <w:trPr>
          <w:trHeight w:val="288"/>
        </w:trPr>
        <w:tc>
          <w:tcPr>
            <w:tcW w:w="844" w:type="dxa"/>
            <w:shd w:val="clear" w:color="auto" w:fill="F3F7E8" w:themeFill="accent6" w:themeFillTint="33"/>
            <w:noWrap/>
            <w:vAlign w:val="center"/>
            <w:hideMark/>
          </w:tcPr>
          <w:p w14:paraId="6A1EF22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S192</w:t>
            </w:r>
          </w:p>
        </w:tc>
        <w:tc>
          <w:tcPr>
            <w:tcW w:w="7089" w:type="dxa"/>
            <w:shd w:val="clear" w:color="auto" w:fill="F3F7E8" w:themeFill="accent6" w:themeFillTint="33"/>
            <w:noWrap/>
            <w:vAlign w:val="center"/>
            <w:hideMark/>
          </w:tcPr>
          <w:p w14:paraId="403B978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TERME - MONTECHIARO D'ACQUIDIR.</w:t>
            </w:r>
          </w:p>
        </w:tc>
        <w:tc>
          <w:tcPr>
            <w:tcW w:w="1129" w:type="dxa"/>
            <w:shd w:val="clear" w:color="auto" w:fill="F3F7E8" w:themeFill="accent6" w:themeFillTint="33"/>
            <w:noWrap/>
            <w:vAlign w:val="center"/>
            <w:hideMark/>
          </w:tcPr>
          <w:p w14:paraId="49320BE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FC8CB8D" w14:textId="77777777" w:rsidTr="002A21C0">
        <w:trPr>
          <w:trHeight w:val="288"/>
        </w:trPr>
        <w:tc>
          <w:tcPr>
            <w:tcW w:w="844" w:type="dxa"/>
            <w:noWrap/>
            <w:vAlign w:val="center"/>
            <w:hideMark/>
          </w:tcPr>
          <w:p w14:paraId="56B2D6D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S193</w:t>
            </w:r>
          </w:p>
        </w:tc>
        <w:tc>
          <w:tcPr>
            <w:tcW w:w="7089" w:type="dxa"/>
            <w:noWrap/>
            <w:vAlign w:val="center"/>
            <w:hideMark/>
          </w:tcPr>
          <w:p w14:paraId="25E82BB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ACQUI TERME - COSTA DI MORBELLO</w:t>
            </w:r>
          </w:p>
        </w:tc>
        <w:tc>
          <w:tcPr>
            <w:tcW w:w="1129" w:type="dxa"/>
            <w:noWrap/>
            <w:vAlign w:val="center"/>
            <w:hideMark/>
          </w:tcPr>
          <w:p w14:paraId="56E1641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793842F" w14:textId="77777777" w:rsidTr="002A21C0">
        <w:trPr>
          <w:trHeight w:val="288"/>
        </w:trPr>
        <w:tc>
          <w:tcPr>
            <w:tcW w:w="844" w:type="dxa"/>
            <w:shd w:val="clear" w:color="auto" w:fill="F3F7E8" w:themeFill="accent6" w:themeFillTint="33"/>
            <w:noWrap/>
            <w:vAlign w:val="center"/>
            <w:hideMark/>
          </w:tcPr>
          <w:p w14:paraId="75359ED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320</w:t>
            </w:r>
          </w:p>
        </w:tc>
        <w:tc>
          <w:tcPr>
            <w:tcW w:w="7089" w:type="dxa"/>
            <w:shd w:val="clear" w:color="auto" w:fill="F3F7E8" w:themeFill="accent6" w:themeFillTint="33"/>
            <w:noWrap/>
            <w:vAlign w:val="center"/>
            <w:hideMark/>
          </w:tcPr>
          <w:p w14:paraId="251C586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PARETO - SPIGNO M.TO - ACQUI TERME</w:t>
            </w:r>
          </w:p>
        </w:tc>
        <w:tc>
          <w:tcPr>
            <w:tcW w:w="1129" w:type="dxa"/>
            <w:shd w:val="clear" w:color="auto" w:fill="F3F7E8" w:themeFill="accent6" w:themeFillTint="33"/>
            <w:noWrap/>
            <w:vAlign w:val="center"/>
            <w:hideMark/>
          </w:tcPr>
          <w:p w14:paraId="4B794D3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CEF7089" w14:textId="77777777" w:rsidTr="002A21C0">
        <w:trPr>
          <w:trHeight w:val="288"/>
        </w:trPr>
        <w:tc>
          <w:tcPr>
            <w:tcW w:w="844" w:type="dxa"/>
            <w:noWrap/>
            <w:vAlign w:val="center"/>
            <w:hideMark/>
          </w:tcPr>
          <w:p w14:paraId="4142ACB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321</w:t>
            </w:r>
          </w:p>
        </w:tc>
        <w:tc>
          <w:tcPr>
            <w:tcW w:w="7089" w:type="dxa"/>
            <w:noWrap/>
            <w:vAlign w:val="center"/>
            <w:hideMark/>
          </w:tcPr>
          <w:p w14:paraId="35E866F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MIOGLIA (SV) - MIOGLIOLA - PONTE ERRO</w:t>
            </w:r>
          </w:p>
        </w:tc>
        <w:tc>
          <w:tcPr>
            <w:tcW w:w="1129" w:type="dxa"/>
            <w:noWrap/>
            <w:vAlign w:val="center"/>
            <w:hideMark/>
          </w:tcPr>
          <w:p w14:paraId="2FC3931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34820FDD" w14:textId="77777777" w:rsidTr="002A21C0">
        <w:trPr>
          <w:trHeight w:val="288"/>
        </w:trPr>
        <w:tc>
          <w:tcPr>
            <w:tcW w:w="844" w:type="dxa"/>
            <w:shd w:val="clear" w:color="auto" w:fill="DDE8BC" w:themeFill="accent6" w:themeFillTint="99"/>
            <w:noWrap/>
            <w:vAlign w:val="center"/>
            <w:hideMark/>
          </w:tcPr>
          <w:p w14:paraId="08BD3008"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5CE86AE9"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EXTRURBANI BACINO SUD EST</w:t>
            </w:r>
          </w:p>
        </w:tc>
        <w:tc>
          <w:tcPr>
            <w:tcW w:w="1129" w:type="dxa"/>
            <w:shd w:val="clear" w:color="auto" w:fill="DDE8BC" w:themeFill="accent6" w:themeFillTint="99"/>
            <w:noWrap/>
            <w:vAlign w:val="center"/>
            <w:hideMark/>
          </w:tcPr>
          <w:p w14:paraId="5B5A5BD6"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385.387</w:t>
            </w:r>
          </w:p>
        </w:tc>
      </w:tr>
      <w:tr w:rsidR="00872434" w:rsidRPr="00166862" w14:paraId="39D5A202" w14:textId="77777777" w:rsidTr="002A21C0">
        <w:trPr>
          <w:trHeight w:val="300"/>
        </w:trPr>
        <w:tc>
          <w:tcPr>
            <w:tcW w:w="844" w:type="dxa"/>
            <w:noWrap/>
            <w:vAlign w:val="center"/>
            <w:hideMark/>
          </w:tcPr>
          <w:p w14:paraId="7CA7531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a002</w:t>
            </w:r>
          </w:p>
        </w:tc>
        <w:tc>
          <w:tcPr>
            <w:tcW w:w="7089" w:type="dxa"/>
            <w:noWrap/>
            <w:vAlign w:val="center"/>
            <w:hideMark/>
          </w:tcPr>
          <w:p w14:paraId="3A2AC5D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SPALTO MARENGO - CABANETTE - CANTALUPO</w:t>
            </w:r>
          </w:p>
        </w:tc>
        <w:tc>
          <w:tcPr>
            <w:tcW w:w="1129" w:type="dxa"/>
            <w:noWrap/>
            <w:vAlign w:val="center"/>
            <w:hideMark/>
          </w:tcPr>
          <w:p w14:paraId="15F3822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26.483</w:t>
            </w:r>
          </w:p>
        </w:tc>
      </w:tr>
      <w:tr w:rsidR="00872434" w:rsidRPr="00166862" w14:paraId="177945A0" w14:textId="77777777" w:rsidTr="002A21C0">
        <w:trPr>
          <w:trHeight w:val="288"/>
        </w:trPr>
        <w:tc>
          <w:tcPr>
            <w:tcW w:w="844" w:type="dxa"/>
            <w:shd w:val="clear" w:color="auto" w:fill="F3F7E8" w:themeFill="accent6" w:themeFillTint="33"/>
            <w:noWrap/>
            <w:vAlign w:val="center"/>
            <w:hideMark/>
          </w:tcPr>
          <w:p w14:paraId="53B5004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a003</w:t>
            </w:r>
          </w:p>
        </w:tc>
        <w:tc>
          <w:tcPr>
            <w:tcW w:w="7089" w:type="dxa"/>
            <w:shd w:val="clear" w:color="auto" w:fill="F3F7E8" w:themeFill="accent6" w:themeFillTint="33"/>
            <w:noWrap/>
            <w:vAlign w:val="center"/>
            <w:hideMark/>
          </w:tcPr>
          <w:p w14:paraId="61D80CD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CASALBAGLIANO - STAZIONE FS - CIMITERO</w:t>
            </w:r>
          </w:p>
        </w:tc>
        <w:tc>
          <w:tcPr>
            <w:tcW w:w="1129" w:type="dxa"/>
            <w:shd w:val="clear" w:color="auto" w:fill="F3F7E8" w:themeFill="accent6" w:themeFillTint="33"/>
            <w:noWrap/>
            <w:vAlign w:val="center"/>
            <w:hideMark/>
          </w:tcPr>
          <w:p w14:paraId="3872642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22.767</w:t>
            </w:r>
          </w:p>
        </w:tc>
      </w:tr>
      <w:tr w:rsidR="00872434" w:rsidRPr="00166862" w14:paraId="6837449B" w14:textId="77777777" w:rsidTr="002A21C0">
        <w:trPr>
          <w:trHeight w:val="288"/>
        </w:trPr>
        <w:tc>
          <w:tcPr>
            <w:tcW w:w="844" w:type="dxa"/>
            <w:noWrap/>
            <w:vAlign w:val="center"/>
            <w:hideMark/>
          </w:tcPr>
          <w:p w14:paraId="2270BE9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a004</w:t>
            </w:r>
          </w:p>
        </w:tc>
        <w:tc>
          <w:tcPr>
            <w:tcW w:w="7089" w:type="dxa"/>
            <w:noWrap/>
            <w:vAlign w:val="center"/>
            <w:hideMark/>
          </w:tcPr>
          <w:p w14:paraId="5A4CEB9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DONIZETTI - STAZIONE FS - DE GASPERI</w:t>
            </w:r>
          </w:p>
        </w:tc>
        <w:tc>
          <w:tcPr>
            <w:tcW w:w="1129" w:type="dxa"/>
            <w:noWrap/>
            <w:vAlign w:val="center"/>
            <w:hideMark/>
          </w:tcPr>
          <w:p w14:paraId="53F7E5C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1.551</w:t>
            </w:r>
          </w:p>
        </w:tc>
      </w:tr>
      <w:tr w:rsidR="00872434" w:rsidRPr="00166862" w14:paraId="6F015609" w14:textId="77777777" w:rsidTr="002A21C0">
        <w:trPr>
          <w:trHeight w:val="288"/>
        </w:trPr>
        <w:tc>
          <w:tcPr>
            <w:tcW w:w="844" w:type="dxa"/>
            <w:shd w:val="clear" w:color="auto" w:fill="F3F7E8" w:themeFill="accent6" w:themeFillTint="33"/>
            <w:noWrap/>
            <w:vAlign w:val="center"/>
            <w:hideMark/>
          </w:tcPr>
          <w:p w14:paraId="2B4FE06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a005</w:t>
            </w:r>
          </w:p>
        </w:tc>
        <w:tc>
          <w:tcPr>
            <w:tcW w:w="7089" w:type="dxa"/>
            <w:shd w:val="clear" w:color="auto" w:fill="F3F7E8" w:themeFill="accent6" w:themeFillTint="33"/>
            <w:noWrap/>
            <w:vAlign w:val="center"/>
            <w:hideMark/>
          </w:tcPr>
          <w:p w14:paraId="3261819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STAZIONE FS - MARENGO - PERFUMO - BETTALE</w:t>
            </w:r>
          </w:p>
        </w:tc>
        <w:tc>
          <w:tcPr>
            <w:tcW w:w="1129" w:type="dxa"/>
            <w:shd w:val="clear" w:color="auto" w:fill="F3F7E8" w:themeFill="accent6" w:themeFillTint="33"/>
            <w:noWrap/>
            <w:vAlign w:val="center"/>
            <w:hideMark/>
          </w:tcPr>
          <w:p w14:paraId="61B4C54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15.592</w:t>
            </w:r>
          </w:p>
        </w:tc>
      </w:tr>
      <w:tr w:rsidR="00872434" w:rsidRPr="00166862" w14:paraId="1D5C9780" w14:textId="77777777" w:rsidTr="002A21C0">
        <w:trPr>
          <w:trHeight w:val="288"/>
        </w:trPr>
        <w:tc>
          <w:tcPr>
            <w:tcW w:w="844" w:type="dxa"/>
            <w:noWrap/>
            <w:vAlign w:val="center"/>
            <w:hideMark/>
          </w:tcPr>
          <w:p w14:paraId="214E934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a006</w:t>
            </w:r>
          </w:p>
        </w:tc>
        <w:tc>
          <w:tcPr>
            <w:tcW w:w="7089" w:type="dxa"/>
            <w:noWrap/>
            <w:vAlign w:val="center"/>
            <w:hideMark/>
          </w:tcPr>
          <w:p w14:paraId="5E74D5F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DE GASPERI - STAZIONE FS - GUALA AGV</w:t>
            </w:r>
          </w:p>
        </w:tc>
        <w:tc>
          <w:tcPr>
            <w:tcW w:w="1129" w:type="dxa"/>
            <w:noWrap/>
            <w:vAlign w:val="center"/>
            <w:hideMark/>
          </w:tcPr>
          <w:p w14:paraId="434085D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4.381</w:t>
            </w:r>
          </w:p>
        </w:tc>
      </w:tr>
      <w:tr w:rsidR="00872434" w:rsidRPr="00166862" w14:paraId="0347DDCC" w14:textId="77777777" w:rsidTr="002A21C0">
        <w:trPr>
          <w:trHeight w:val="288"/>
        </w:trPr>
        <w:tc>
          <w:tcPr>
            <w:tcW w:w="844" w:type="dxa"/>
            <w:shd w:val="clear" w:color="auto" w:fill="F3F7E8" w:themeFill="accent6" w:themeFillTint="33"/>
            <w:noWrap/>
            <w:vAlign w:val="center"/>
            <w:hideMark/>
          </w:tcPr>
          <w:p w14:paraId="042CDB0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a010</w:t>
            </w:r>
          </w:p>
        </w:tc>
        <w:tc>
          <w:tcPr>
            <w:tcW w:w="7089" w:type="dxa"/>
            <w:shd w:val="clear" w:color="auto" w:fill="F3F7E8" w:themeFill="accent6" w:themeFillTint="33"/>
            <w:noWrap/>
            <w:vAlign w:val="center"/>
            <w:hideMark/>
          </w:tcPr>
          <w:p w14:paraId="47DB40A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VALLE S. BARTOLOMEO - PECETTO - PELLIZZARI</w:t>
            </w:r>
          </w:p>
        </w:tc>
        <w:tc>
          <w:tcPr>
            <w:tcW w:w="1129" w:type="dxa"/>
            <w:shd w:val="clear" w:color="auto" w:fill="F3F7E8" w:themeFill="accent6" w:themeFillTint="33"/>
            <w:noWrap/>
            <w:vAlign w:val="center"/>
            <w:hideMark/>
          </w:tcPr>
          <w:p w14:paraId="414B5D5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264</w:t>
            </w:r>
          </w:p>
        </w:tc>
      </w:tr>
      <w:tr w:rsidR="00872434" w:rsidRPr="00166862" w14:paraId="1DED2A61" w14:textId="77777777" w:rsidTr="002A21C0">
        <w:trPr>
          <w:trHeight w:val="288"/>
        </w:trPr>
        <w:tc>
          <w:tcPr>
            <w:tcW w:w="844" w:type="dxa"/>
            <w:noWrap/>
            <w:vAlign w:val="center"/>
            <w:hideMark/>
          </w:tcPr>
          <w:p w14:paraId="771487C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a011</w:t>
            </w:r>
          </w:p>
        </w:tc>
        <w:tc>
          <w:tcPr>
            <w:tcW w:w="7089" w:type="dxa"/>
            <w:noWrap/>
            <w:vAlign w:val="center"/>
            <w:hideMark/>
          </w:tcPr>
          <w:p w14:paraId="69A94DE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S. MICHELE GIARDINETTO</w:t>
            </w:r>
          </w:p>
        </w:tc>
        <w:tc>
          <w:tcPr>
            <w:tcW w:w="1129" w:type="dxa"/>
            <w:noWrap/>
            <w:vAlign w:val="center"/>
            <w:hideMark/>
          </w:tcPr>
          <w:p w14:paraId="1F1FB19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180</w:t>
            </w:r>
          </w:p>
        </w:tc>
      </w:tr>
      <w:tr w:rsidR="00872434" w:rsidRPr="00166862" w14:paraId="6BAFEE0F" w14:textId="77777777" w:rsidTr="002A21C0">
        <w:trPr>
          <w:trHeight w:val="288"/>
        </w:trPr>
        <w:tc>
          <w:tcPr>
            <w:tcW w:w="844" w:type="dxa"/>
            <w:shd w:val="clear" w:color="auto" w:fill="F3F7E8" w:themeFill="accent6" w:themeFillTint="33"/>
            <w:noWrap/>
            <w:vAlign w:val="center"/>
            <w:hideMark/>
          </w:tcPr>
          <w:p w14:paraId="2E7F7F0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a013</w:t>
            </w:r>
          </w:p>
        </w:tc>
        <w:tc>
          <w:tcPr>
            <w:tcW w:w="7089" w:type="dxa"/>
            <w:shd w:val="clear" w:color="auto" w:fill="F3F7E8" w:themeFill="accent6" w:themeFillTint="33"/>
            <w:noWrap/>
            <w:vAlign w:val="center"/>
            <w:hideMark/>
          </w:tcPr>
          <w:p w14:paraId="6C3883A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MANDROGNE - S. GIULIANO V. - RIVALTA S.</w:t>
            </w:r>
          </w:p>
        </w:tc>
        <w:tc>
          <w:tcPr>
            <w:tcW w:w="1129" w:type="dxa"/>
            <w:shd w:val="clear" w:color="auto" w:fill="F3F7E8" w:themeFill="accent6" w:themeFillTint="33"/>
            <w:noWrap/>
            <w:vAlign w:val="center"/>
            <w:hideMark/>
          </w:tcPr>
          <w:p w14:paraId="4F1ECD1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27.023</w:t>
            </w:r>
          </w:p>
        </w:tc>
      </w:tr>
      <w:tr w:rsidR="00872434" w:rsidRPr="00166862" w14:paraId="5FDF967A" w14:textId="77777777" w:rsidTr="002A21C0">
        <w:trPr>
          <w:trHeight w:val="288"/>
        </w:trPr>
        <w:tc>
          <w:tcPr>
            <w:tcW w:w="844" w:type="dxa"/>
            <w:noWrap/>
            <w:vAlign w:val="center"/>
            <w:hideMark/>
          </w:tcPr>
          <w:p w14:paraId="574CA07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a014</w:t>
            </w:r>
          </w:p>
        </w:tc>
        <w:tc>
          <w:tcPr>
            <w:tcW w:w="7089" w:type="dxa"/>
            <w:noWrap/>
            <w:vAlign w:val="center"/>
            <w:hideMark/>
          </w:tcPr>
          <w:p w14:paraId="31B41DF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ALESSANDRIA - CASTELCERIOLO - LOBBI - SAN GIULIANO NUOVO</w:t>
            </w:r>
          </w:p>
        </w:tc>
        <w:tc>
          <w:tcPr>
            <w:tcW w:w="1129" w:type="dxa"/>
            <w:noWrap/>
            <w:vAlign w:val="center"/>
            <w:hideMark/>
          </w:tcPr>
          <w:p w14:paraId="65ED68E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12.707</w:t>
            </w:r>
          </w:p>
        </w:tc>
      </w:tr>
      <w:tr w:rsidR="00872434" w:rsidRPr="00166862" w14:paraId="477573DE" w14:textId="77777777" w:rsidTr="002A21C0">
        <w:trPr>
          <w:trHeight w:val="288"/>
        </w:trPr>
        <w:tc>
          <w:tcPr>
            <w:tcW w:w="844" w:type="dxa"/>
            <w:shd w:val="clear" w:color="auto" w:fill="F3F7E8" w:themeFill="accent6" w:themeFillTint="33"/>
            <w:noWrap/>
            <w:vAlign w:val="center"/>
            <w:hideMark/>
          </w:tcPr>
          <w:p w14:paraId="1F9CB79D"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a016</w:t>
            </w:r>
          </w:p>
        </w:tc>
        <w:tc>
          <w:tcPr>
            <w:tcW w:w="7089" w:type="dxa"/>
            <w:shd w:val="clear" w:color="auto" w:fill="F3F7E8" w:themeFill="accent6" w:themeFillTint="33"/>
            <w:noWrap/>
            <w:vAlign w:val="center"/>
            <w:hideMark/>
          </w:tcPr>
          <w:p w14:paraId="5A3CCE1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VALENZA URBANO CORTO</w:t>
            </w:r>
          </w:p>
        </w:tc>
        <w:tc>
          <w:tcPr>
            <w:tcW w:w="1129" w:type="dxa"/>
            <w:shd w:val="clear" w:color="auto" w:fill="F3F7E8" w:themeFill="accent6" w:themeFillTint="33"/>
            <w:noWrap/>
            <w:vAlign w:val="center"/>
            <w:hideMark/>
          </w:tcPr>
          <w:p w14:paraId="69BB09D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40</w:t>
            </w:r>
          </w:p>
        </w:tc>
      </w:tr>
      <w:tr w:rsidR="00872434" w:rsidRPr="00166862" w14:paraId="32E344A6" w14:textId="77777777" w:rsidTr="002A21C0">
        <w:trPr>
          <w:trHeight w:val="288"/>
        </w:trPr>
        <w:tc>
          <w:tcPr>
            <w:tcW w:w="844" w:type="dxa"/>
            <w:noWrap/>
            <w:vAlign w:val="center"/>
            <w:hideMark/>
          </w:tcPr>
          <w:p w14:paraId="7FEAE1A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aAC</w:t>
            </w:r>
          </w:p>
        </w:tc>
        <w:tc>
          <w:tcPr>
            <w:tcW w:w="7089" w:type="dxa"/>
            <w:noWrap/>
            <w:vAlign w:val="center"/>
            <w:hideMark/>
          </w:tcPr>
          <w:p w14:paraId="70E024A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MICHEL - STAZIONE FS - DE GASPERI</w:t>
            </w:r>
          </w:p>
        </w:tc>
        <w:tc>
          <w:tcPr>
            <w:tcW w:w="1129" w:type="dxa"/>
            <w:noWrap/>
            <w:vAlign w:val="center"/>
            <w:hideMark/>
          </w:tcPr>
          <w:p w14:paraId="61EBECA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467</w:t>
            </w:r>
          </w:p>
        </w:tc>
      </w:tr>
      <w:tr w:rsidR="00872434" w:rsidRPr="00166862" w14:paraId="736E3ADB" w14:textId="77777777" w:rsidTr="002A21C0">
        <w:trPr>
          <w:trHeight w:val="288"/>
        </w:trPr>
        <w:tc>
          <w:tcPr>
            <w:tcW w:w="844" w:type="dxa"/>
            <w:shd w:val="clear" w:color="auto" w:fill="F3F7E8" w:themeFill="accent6" w:themeFillTint="33"/>
            <w:noWrap/>
            <w:vAlign w:val="center"/>
            <w:hideMark/>
          </w:tcPr>
          <w:p w14:paraId="53CD56B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aB</w:t>
            </w:r>
          </w:p>
        </w:tc>
        <w:tc>
          <w:tcPr>
            <w:tcW w:w="7089" w:type="dxa"/>
            <w:shd w:val="clear" w:color="auto" w:fill="F3F7E8" w:themeFill="accent6" w:themeFillTint="33"/>
            <w:noWrap/>
            <w:vAlign w:val="center"/>
            <w:hideMark/>
          </w:tcPr>
          <w:p w14:paraId="07839B9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CERIANA - MAZZINI (LIBERTÀ) - STAZIONE FS</w:t>
            </w:r>
          </w:p>
        </w:tc>
        <w:tc>
          <w:tcPr>
            <w:tcW w:w="1129" w:type="dxa"/>
            <w:shd w:val="clear" w:color="auto" w:fill="F3F7E8" w:themeFill="accent6" w:themeFillTint="33"/>
            <w:noWrap/>
            <w:vAlign w:val="center"/>
            <w:hideMark/>
          </w:tcPr>
          <w:p w14:paraId="5EF4E12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12.487</w:t>
            </w:r>
          </w:p>
        </w:tc>
      </w:tr>
      <w:tr w:rsidR="00872434" w:rsidRPr="00166862" w14:paraId="34AA084B" w14:textId="77777777" w:rsidTr="002A21C0">
        <w:trPr>
          <w:trHeight w:val="288"/>
        </w:trPr>
        <w:tc>
          <w:tcPr>
            <w:tcW w:w="844" w:type="dxa"/>
            <w:noWrap/>
            <w:vAlign w:val="center"/>
            <w:hideMark/>
          </w:tcPr>
          <w:p w14:paraId="66D4CB6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aF</w:t>
            </w:r>
          </w:p>
        </w:tc>
        <w:tc>
          <w:tcPr>
            <w:tcW w:w="7089" w:type="dxa"/>
            <w:noWrap/>
            <w:vAlign w:val="center"/>
            <w:hideMark/>
          </w:tcPr>
          <w:p w14:paraId="0C8C4BB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 xml:space="preserve">CIMITERO - VOLTA - PISTA </w:t>
            </w:r>
            <w:r>
              <w:rPr>
                <w:rFonts w:cstheme="minorHAnsi"/>
                <w:sz w:val="18"/>
                <w:szCs w:val="18"/>
              </w:rPr>
              <w:t>–</w:t>
            </w:r>
            <w:r w:rsidRPr="00166862">
              <w:rPr>
                <w:rFonts w:cstheme="minorHAnsi"/>
                <w:sz w:val="18"/>
                <w:szCs w:val="18"/>
              </w:rPr>
              <w:t xml:space="preserve"> CASARMETTE</w:t>
            </w:r>
          </w:p>
        </w:tc>
        <w:tc>
          <w:tcPr>
            <w:tcW w:w="1129" w:type="dxa"/>
            <w:noWrap/>
            <w:vAlign w:val="center"/>
            <w:hideMark/>
          </w:tcPr>
          <w:p w14:paraId="7D40A94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80</w:t>
            </w:r>
          </w:p>
        </w:tc>
      </w:tr>
      <w:tr w:rsidR="00872434" w:rsidRPr="00166862" w14:paraId="46BF51E8" w14:textId="77777777" w:rsidTr="002A21C0">
        <w:trPr>
          <w:trHeight w:val="288"/>
        </w:trPr>
        <w:tc>
          <w:tcPr>
            <w:tcW w:w="844" w:type="dxa"/>
            <w:shd w:val="clear" w:color="auto" w:fill="DDE8BC" w:themeFill="accent6" w:themeFillTint="99"/>
            <w:noWrap/>
            <w:vAlign w:val="center"/>
            <w:hideMark/>
          </w:tcPr>
          <w:p w14:paraId="7A0CEB73"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5CB1A28C"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ALESSANDRIA</w:t>
            </w:r>
          </w:p>
        </w:tc>
        <w:tc>
          <w:tcPr>
            <w:tcW w:w="1129" w:type="dxa"/>
            <w:shd w:val="clear" w:color="auto" w:fill="DDE8BC" w:themeFill="accent6" w:themeFillTint="99"/>
            <w:noWrap/>
            <w:vAlign w:val="center"/>
            <w:hideMark/>
          </w:tcPr>
          <w:p w14:paraId="25B5B3CC"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124.022</w:t>
            </w:r>
          </w:p>
        </w:tc>
      </w:tr>
      <w:tr w:rsidR="00872434" w:rsidRPr="00166862" w14:paraId="1EADEA5C" w14:textId="77777777" w:rsidTr="002A21C0">
        <w:trPr>
          <w:trHeight w:val="300"/>
        </w:trPr>
        <w:tc>
          <w:tcPr>
            <w:tcW w:w="844" w:type="dxa"/>
            <w:noWrap/>
            <w:vAlign w:val="center"/>
            <w:hideMark/>
          </w:tcPr>
          <w:p w14:paraId="34B5FEF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w:t>
            </w:r>
          </w:p>
        </w:tc>
        <w:tc>
          <w:tcPr>
            <w:tcW w:w="7089" w:type="dxa"/>
            <w:noWrap/>
            <w:vAlign w:val="center"/>
            <w:hideMark/>
          </w:tcPr>
          <w:p w14:paraId="4503CAE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 BELLA TRINCERE CON ESTENSIONE AL TORRAZZO - SAN MARZANOTTO</w:t>
            </w:r>
          </w:p>
        </w:tc>
        <w:tc>
          <w:tcPr>
            <w:tcW w:w="1129" w:type="dxa"/>
            <w:noWrap/>
            <w:vAlign w:val="center"/>
            <w:hideMark/>
          </w:tcPr>
          <w:p w14:paraId="3D8B28E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0E23A7B" w14:textId="77777777" w:rsidTr="002A21C0">
        <w:trPr>
          <w:trHeight w:val="288"/>
        </w:trPr>
        <w:tc>
          <w:tcPr>
            <w:tcW w:w="844" w:type="dxa"/>
            <w:shd w:val="clear" w:color="auto" w:fill="F3F7E8" w:themeFill="accent6" w:themeFillTint="33"/>
            <w:noWrap/>
            <w:vAlign w:val="center"/>
            <w:hideMark/>
          </w:tcPr>
          <w:p w14:paraId="1104923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w:t>
            </w:r>
          </w:p>
        </w:tc>
        <w:tc>
          <w:tcPr>
            <w:tcW w:w="7089" w:type="dxa"/>
            <w:shd w:val="clear" w:color="auto" w:fill="F3F7E8" w:themeFill="accent6" w:themeFillTint="33"/>
            <w:noWrap/>
            <w:vAlign w:val="center"/>
            <w:hideMark/>
          </w:tcPr>
          <w:p w14:paraId="776AADD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VAL BELLA</w:t>
            </w:r>
            <w:r>
              <w:rPr>
                <w:rFonts w:cstheme="minorHAnsi"/>
                <w:sz w:val="18"/>
                <w:szCs w:val="18"/>
              </w:rPr>
              <w:t xml:space="preserve"> </w:t>
            </w:r>
            <w:r w:rsidRPr="00166862">
              <w:rPr>
                <w:rFonts w:cstheme="minorHAnsi"/>
                <w:sz w:val="18"/>
                <w:szCs w:val="18"/>
              </w:rPr>
              <w:t>PIAZZA MARCONI</w:t>
            </w:r>
            <w:r>
              <w:rPr>
                <w:rFonts w:cstheme="minorHAnsi"/>
                <w:sz w:val="18"/>
                <w:szCs w:val="18"/>
              </w:rPr>
              <w:t xml:space="preserve"> </w:t>
            </w:r>
            <w:r w:rsidRPr="00166862">
              <w:rPr>
                <w:rFonts w:cstheme="minorHAnsi"/>
                <w:sz w:val="18"/>
                <w:szCs w:val="18"/>
              </w:rPr>
              <w:t>SAN MARZANOTTO</w:t>
            </w:r>
          </w:p>
        </w:tc>
        <w:tc>
          <w:tcPr>
            <w:tcW w:w="1129" w:type="dxa"/>
            <w:shd w:val="clear" w:color="auto" w:fill="F3F7E8" w:themeFill="accent6" w:themeFillTint="33"/>
            <w:noWrap/>
            <w:vAlign w:val="center"/>
            <w:hideMark/>
          </w:tcPr>
          <w:p w14:paraId="529CB54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7E4ADCE" w14:textId="77777777" w:rsidTr="002A21C0">
        <w:trPr>
          <w:trHeight w:val="288"/>
        </w:trPr>
        <w:tc>
          <w:tcPr>
            <w:tcW w:w="844" w:type="dxa"/>
            <w:noWrap/>
            <w:vAlign w:val="center"/>
            <w:hideMark/>
          </w:tcPr>
          <w:p w14:paraId="61EA5F8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w:t>
            </w:r>
          </w:p>
        </w:tc>
        <w:tc>
          <w:tcPr>
            <w:tcW w:w="7089" w:type="dxa"/>
            <w:noWrap/>
            <w:vAlign w:val="center"/>
            <w:hideMark/>
          </w:tcPr>
          <w:p w14:paraId="77602FA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VIA SPANDRE CASA DI CURA SANT'ANNA</w:t>
            </w:r>
          </w:p>
        </w:tc>
        <w:tc>
          <w:tcPr>
            <w:tcW w:w="1129" w:type="dxa"/>
            <w:noWrap/>
            <w:vAlign w:val="center"/>
            <w:hideMark/>
          </w:tcPr>
          <w:p w14:paraId="401244C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2333640" w14:textId="77777777" w:rsidTr="002A21C0">
        <w:trPr>
          <w:trHeight w:val="288"/>
        </w:trPr>
        <w:tc>
          <w:tcPr>
            <w:tcW w:w="844" w:type="dxa"/>
            <w:shd w:val="clear" w:color="auto" w:fill="F3F7E8" w:themeFill="accent6" w:themeFillTint="33"/>
            <w:noWrap/>
            <w:vAlign w:val="center"/>
            <w:hideMark/>
          </w:tcPr>
          <w:p w14:paraId="3AEC7DD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w:t>
            </w:r>
          </w:p>
        </w:tc>
        <w:tc>
          <w:tcPr>
            <w:tcW w:w="7089" w:type="dxa"/>
            <w:shd w:val="clear" w:color="auto" w:fill="F3F7E8" w:themeFill="accent6" w:themeFillTint="33"/>
            <w:noWrap/>
            <w:vAlign w:val="center"/>
            <w:hideMark/>
          </w:tcPr>
          <w:p w14:paraId="1DA3ADC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VARIGLIE VIA SPANDRE</w:t>
            </w:r>
          </w:p>
        </w:tc>
        <w:tc>
          <w:tcPr>
            <w:tcW w:w="1129" w:type="dxa"/>
            <w:shd w:val="clear" w:color="auto" w:fill="F3F7E8" w:themeFill="accent6" w:themeFillTint="33"/>
            <w:noWrap/>
            <w:vAlign w:val="center"/>
            <w:hideMark/>
          </w:tcPr>
          <w:p w14:paraId="2B4F09A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89282FB" w14:textId="77777777" w:rsidTr="002A21C0">
        <w:trPr>
          <w:trHeight w:val="288"/>
        </w:trPr>
        <w:tc>
          <w:tcPr>
            <w:tcW w:w="844" w:type="dxa"/>
            <w:noWrap/>
            <w:vAlign w:val="center"/>
            <w:hideMark/>
          </w:tcPr>
          <w:p w14:paraId="51B4E72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w:t>
            </w:r>
          </w:p>
        </w:tc>
        <w:tc>
          <w:tcPr>
            <w:tcW w:w="7089" w:type="dxa"/>
            <w:noWrap/>
            <w:vAlign w:val="center"/>
            <w:hideMark/>
          </w:tcPr>
          <w:p w14:paraId="24149BF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CORSO TORINO CANOCA CORSO ALESSANDRIA DISTIBUTORE ENI</w:t>
            </w:r>
          </w:p>
        </w:tc>
        <w:tc>
          <w:tcPr>
            <w:tcW w:w="1129" w:type="dxa"/>
            <w:noWrap/>
            <w:vAlign w:val="center"/>
            <w:hideMark/>
          </w:tcPr>
          <w:p w14:paraId="45AFE93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0525B26" w14:textId="77777777" w:rsidTr="002A21C0">
        <w:trPr>
          <w:trHeight w:val="288"/>
        </w:trPr>
        <w:tc>
          <w:tcPr>
            <w:tcW w:w="844" w:type="dxa"/>
            <w:shd w:val="clear" w:color="auto" w:fill="F3F7E8" w:themeFill="accent6" w:themeFillTint="33"/>
            <w:noWrap/>
            <w:vAlign w:val="center"/>
            <w:hideMark/>
          </w:tcPr>
          <w:p w14:paraId="77B779C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w:t>
            </w:r>
          </w:p>
        </w:tc>
        <w:tc>
          <w:tcPr>
            <w:tcW w:w="7089" w:type="dxa"/>
            <w:shd w:val="clear" w:color="auto" w:fill="F3F7E8" w:themeFill="accent6" w:themeFillTint="33"/>
            <w:noWrap/>
            <w:vAlign w:val="center"/>
            <w:hideMark/>
          </w:tcPr>
          <w:p w14:paraId="54C8842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TORRETTA N.S. LOURDES VIA TORCHIO</w:t>
            </w:r>
          </w:p>
        </w:tc>
        <w:tc>
          <w:tcPr>
            <w:tcW w:w="1129" w:type="dxa"/>
            <w:shd w:val="clear" w:color="auto" w:fill="F3F7E8" w:themeFill="accent6" w:themeFillTint="33"/>
            <w:noWrap/>
            <w:vAlign w:val="center"/>
            <w:hideMark/>
          </w:tcPr>
          <w:p w14:paraId="2B831F3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4E7FB7B" w14:textId="77777777" w:rsidTr="002A21C0">
        <w:trPr>
          <w:trHeight w:val="288"/>
        </w:trPr>
        <w:tc>
          <w:tcPr>
            <w:tcW w:w="844" w:type="dxa"/>
            <w:noWrap/>
            <w:vAlign w:val="center"/>
            <w:hideMark/>
          </w:tcPr>
          <w:p w14:paraId="527FA18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w:t>
            </w:r>
          </w:p>
        </w:tc>
        <w:tc>
          <w:tcPr>
            <w:tcW w:w="7089" w:type="dxa"/>
            <w:noWrap/>
            <w:vAlign w:val="center"/>
            <w:hideMark/>
          </w:tcPr>
          <w:p w14:paraId="0564F1B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CIRCOLARE PIAZZA MARCONI SAN FEDELE</w:t>
            </w:r>
          </w:p>
        </w:tc>
        <w:tc>
          <w:tcPr>
            <w:tcW w:w="1129" w:type="dxa"/>
            <w:noWrap/>
            <w:vAlign w:val="center"/>
            <w:hideMark/>
          </w:tcPr>
          <w:p w14:paraId="0C99D75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3842ECF1" w14:textId="77777777" w:rsidTr="002A21C0">
        <w:trPr>
          <w:trHeight w:val="288"/>
        </w:trPr>
        <w:tc>
          <w:tcPr>
            <w:tcW w:w="844" w:type="dxa"/>
            <w:shd w:val="clear" w:color="auto" w:fill="F3F7E8" w:themeFill="accent6" w:themeFillTint="33"/>
            <w:noWrap/>
            <w:vAlign w:val="center"/>
            <w:hideMark/>
          </w:tcPr>
          <w:p w14:paraId="52A7585A"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w:t>
            </w:r>
          </w:p>
        </w:tc>
        <w:tc>
          <w:tcPr>
            <w:tcW w:w="7089" w:type="dxa"/>
            <w:shd w:val="clear" w:color="auto" w:fill="F3F7E8" w:themeFill="accent6" w:themeFillTint="33"/>
            <w:noWrap/>
            <w:vAlign w:val="center"/>
            <w:hideMark/>
          </w:tcPr>
          <w:p w14:paraId="78F5572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VIA UGO FOSCOLO CORSO ALBA</w:t>
            </w:r>
          </w:p>
        </w:tc>
        <w:tc>
          <w:tcPr>
            <w:tcW w:w="1129" w:type="dxa"/>
            <w:shd w:val="clear" w:color="auto" w:fill="F3F7E8" w:themeFill="accent6" w:themeFillTint="33"/>
            <w:noWrap/>
            <w:vAlign w:val="center"/>
            <w:hideMark/>
          </w:tcPr>
          <w:p w14:paraId="771D409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9037CF6" w14:textId="77777777" w:rsidTr="002A21C0">
        <w:trPr>
          <w:trHeight w:val="288"/>
        </w:trPr>
        <w:tc>
          <w:tcPr>
            <w:tcW w:w="844" w:type="dxa"/>
            <w:noWrap/>
            <w:vAlign w:val="center"/>
            <w:hideMark/>
          </w:tcPr>
          <w:p w14:paraId="7A88B38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A - B</w:t>
            </w:r>
          </w:p>
        </w:tc>
        <w:tc>
          <w:tcPr>
            <w:tcW w:w="7089" w:type="dxa"/>
            <w:noWrap/>
            <w:vAlign w:val="center"/>
            <w:hideMark/>
          </w:tcPr>
          <w:p w14:paraId="695C94B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LINEA CIRCOLARE FESTIVA</w:t>
            </w:r>
          </w:p>
        </w:tc>
        <w:tc>
          <w:tcPr>
            <w:tcW w:w="1129" w:type="dxa"/>
            <w:noWrap/>
            <w:vAlign w:val="center"/>
            <w:hideMark/>
          </w:tcPr>
          <w:p w14:paraId="1FC30E2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2A21A74" w14:textId="77777777" w:rsidTr="002A21C0">
        <w:trPr>
          <w:trHeight w:val="288"/>
        </w:trPr>
        <w:tc>
          <w:tcPr>
            <w:tcW w:w="844" w:type="dxa"/>
            <w:shd w:val="clear" w:color="auto" w:fill="F3F7E8" w:themeFill="accent6" w:themeFillTint="33"/>
            <w:noWrap/>
            <w:vAlign w:val="center"/>
            <w:hideMark/>
          </w:tcPr>
          <w:p w14:paraId="35DDAE1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FR</w:t>
            </w:r>
          </w:p>
        </w:tc>
        <w:tc>
          <w:tcPr>
            <w:tcW w:w="7089" w:type="dxa"/>
            <w:shd w:val="clear" w:color="auto" w:fill="F3F7E8" w:themeFill="accent6" w:themeFillTint="33"/>
            <w:noWrap/>
            <w:vAlign w:val="center"/>
            <w:hideMark/>
          </w:tcPr>
          <w:p w14:paraId="146BFE6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LINEE FRAZIONALI E MERCATALI</w:t>
            </w:r>
          </w:p>
        </w:tc>
        <w:tc>
          <w:tcPr>
            <w:tcW w:w="1129" w:type="dxa"/>
            <w:shd w:val="clear" w:color="auto" w:fill="F3F7E8" w:themeFill="accent6" w:themeFillTint="33"/>
            <w:noWrap/>
            <w:vAlign w:val="center"/>
            <w:hideMark/>
          </w:tcPr>
          <w:p w14:paraId="0E0B4D5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C9A0F84" w14:textId="77777777" w:rsidTr="002A21C0">
        <w:trPr>
          <w:trHeight w:val="288"/>
        </w:trPr>
        <w:tc>
          <w:tcPr>
            <w:tcW w:w="844" w:type="dxa"/>
            <w:noWrap/>
            <w:vAlign w:val="center"/>
            <w:hideMark/>
          </w:tcPr>
          <w:p w14:paraId="7FDDC1E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R 1</w:t>
            </w:r>
          </w:p>
        </w:tc>
        <w:tc>
          <w:tcPr>
            <w:tcW w:w="7089" w:type="dxa"/>
            <w:noWrap/>
            <w:vAlign w:val="center"/>
            <w:hideMark/>
          </w:tcPr>
          <w:p w14:paraId="7964E57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PIAZZA MARCONI ISTITUTI VERCELLI E PENNA</w:t>
            </w:r>
          </w:p>
        </w:tc>
        <w:tc>
          <w:tcPr>
            <w:tcW w:w="1129" w:type="dxa"/>
            <w:noWrap/>
            <w:vAlign w:val="center"/>
            <w:hideMark/>
          </w:tcPr>
          <w:p w14:paraId="2EC37CD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753A6CE8" w14:textId="77777777" w:rsidTr="002A21C0">
        <w:trPr>
          <w:trHeight w:val="288"/>
        </w:trPr>
        <w:tc>
          <w:tcPr>
            <w:tcW w:w="844" w:type="dxa"/>
            <w:shd w:val="clear" w:color="auto" w:fill="F3F7E8" w:themeFill="accent6" w:themeFillTint="33"/>
            <w:noWrap/>
            <w:vAlign w:val="center"/>
            <w:hideMark/>
          </w:tcPr>
          <w:p w14:paraId="5D51FDA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R 2</w:t>
            </w:r>
          </w:p>
        </w:tc>
        <w:tc>
          <w:tcPr>
            <w:tcW w:w="7089" w:type="dxa"/>
            <w:shd w:val="clear" w:color="auto" w:fill="F3F7E8" w:themeFill="accent6" w:themeFillTint="33"/>
            <w:noWrap/>
            <w:vAlign w:val="center"/>
            <w:hideMark/>
          </w:tcPr>
          <w:p w14:paraId="2D7C496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RINFORZO DA QUARTIERE PRAIA</w:t>
            </w:r>
          </w:p>
        </w:tc>
        <w:tc>
          <w:tcPr>
            <w:tcW w:w="1129" w:type="dxa"/>
            <w:shd w:val="clear" w:color="auto" w:fill="F3F7E8" w:themeFill="accent6" w:themeFillTint="33"/>
            <w:noWrap/>
            <w:vAlign w:val="center"/>
            <w:hideMark/>
          </w:tcPr>
          <w:p w14:paraId="1417EF0C"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0137A19B" w14:textId="77777777" w:rsidTr="002A21C0">
        <w:trPr>
          <w:trHeight w:val="288"/>
        </w:trPr>
        <w:tc>
          <w:tcPr>
            <w:tcW w:w="844" w:type="dxa"/>
            <w:noWrap/>
            <w:vAlign w:val="center"/>
            <w:hideMark/>
          </w:tcPr>
          <w:p w14:paraId="5D710068"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R 4</w:t>
            </w:r>
          </w:p>
        </w:tc>
        <w:tc>
          <w:tcPr>
            <w:tcW w:w="7089" w:type="dxa"/>
            <w:noWrap/>
            <w:vAlign w:val="center"/>
            <w:hideMark/>
          </w:tcPr>
          <w:p w14:paraId="532986F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QUARTIERE TORRETTA - LICEO SCIENTIFICO - VIA MONTI</w:t>
            </w:r>
          </w:p>
        </w:tc>
        <w:tc>
          <w:tcPr>
            <w:tcW w:w="1129" w:type="dxa"/>
            <w:noWrap/>
            <w:vAlign w:val="center"/>
            <w:hideMark/>
          </w:tcPr>
          <w:p w14:paraId="7B2CD01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D796B62" w14:textId="77777777" w:rsidTr="002A21C0">
        <w:trPr>
          <w:trHeight w:val="288"/>
        </w:trPr>
        <w:tc>
          <w:tcPr>
            <w:tcW w:w="844" w:type="dxa"/>
            <w:shd w:val="clear" w:color="auto" w:fill="F3F7E8" w:themeFill="accent6" w:themeFillTint="33"/>
            <w:noWrap/>
            <w:vAlign w:val="center"/>
            <w:hideMark/>
          </w:tcPr>
          <w:p w14:paraId="4E3F610B"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R 7</w:t>
            </w:r>
          </w:p>
        </w:tc>
        <w:tc>
          <w:tcPr>
            <w:tcW w:w="7089" w:type="dxa"/>
            <w:shd w:val="clear" w:color="auto" w:fill="F3F7E8" w:themeFill="accent6" w:themeFillTint="33"/>
            <w:noWrap/>
            <w:vAlign w:val="center"/>
            <w:hideMark/>
          </w:tcPr>
          <w:p w14:paraId="707AC38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PIAZZA MARCONI - CORSO DANTE</w:t>
            </w:r>
          </w:p>
        </w:tc>
        <w:tc>
          <w:tcPr>
            <w:tcW w:w="1129" w:type="dxa"/>
            <w:shd w:val="clear" w:color="auto" w:fill="F3F7E8" w:themeFill="accent6" w:themeFillTint="33"/>
            <w:noWrap/>
            <w:vAlign w:val="center"/>
            <w:hideMark/>
          </w:tcPr>
          <w:p w14:paraId="30AB0F5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3C02394" w14:textId="77777777" w:rsidTr="002A21C0">
        <w:trPr>
          <w:trHeight w:val="288"/>
        </w:trPr>
        <w:tc>
          <w:tcPr>
            <w:tcW w:w="844" w:type="dxa"/>
            <w:noWrap/>
            <w:vAlign w:val="center"/>
            <w:hideMark/>
          </w:tcPr>
          <w:p w14:paraId="2619471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1</w:t>
            </w:r>
          </w:p>
        </w:tc>
        <w:tc>
          <w:tcPr>
            <w:tcW w:w="7089" w:type="dxa"/>
            <w:noWrap/>
            <w:vAlign w:val="center"/>
            <w:hideMark/>
          </w:tcPr>
          <w:p w14:paraId="32C9624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JONA</w:t>
            </w:r>
          </w:p>
        </w:tc>
        <w:tc>
          <w:tcPr>
            <w:tcW w:w="1129" w:type="dxa"/>
            <w:noWrap/>
            <w:vAlign w:val="center"/>
            <w:hideMark/>
          </w:tcPr>
          <w:p w14:paraId="72CBE94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BCD5719" w14:textId="77777777" w:rsidTr="002A21C0">
        <w:trPr>
          <w:trHeight w:val="288"/>
        </w:trPr>
        <w:tc>
          <w:tcPr>
            <w:tcW w:w="844" w:type="dxa"/>
            <w:shd w:val="clear" w:color="auto" w:fill="F3F7E8" w:themeFill="accent6" w:themeFillTint="33"/>
            <w:noWrap/>
            <w:vAlign w:val="center"/>
            <w:hideMark/>
          </w:tcPr>
          <w:p w14:paraId="4D21AAD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2</w:t>
            </w:r>
          </w:p>
        </w:tc>
        <w:tc>
          <w:tcPr>
            <w:tcW w:w="7089" w:type="dxa"/>
            <w:shd w:val="clear" w:color="auto" w:fill="F3F7E8" w:themeFill="accent6" w:themeFillTint="33"/>
            <w:noWrap/>
            <w:vAlign w:val="center"/>
            <w:hideMark/>
          </w:tcPr>
          <w:p w14:paraId="1FA3342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SESSANT</w:t>
            </w:r>
          </w:p>
        </w:tc>
        <w:tc>
          <w:tcPr>
            <w:tcW w:w="1129" w:type="dxa"/>
            <w:shd w:val="clear" w:color="auto" w:fill="F3F7E8" w:themeFill="accent6" w:themeFillTint="33"/>
            <w:noWrap/>
            <w:vAlign w:val="center"/>
            <w:hideMark/>
          </w:tcPr>
          <w:p w14:paraId="5313707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FE21129" w14:textId="77777777" w:rsidTr="002A21C0">
        <w:trPr>
          <w:trHeight w:val="288"/>
        </w:trPr>
        <w:tc>
          <w:tcPr>
            <w:tcW w:w="844" w:type="dxa"/>
            <w:noWrap/>
            <w:vAlign w:val="center"/>
            <w:hideMark/>
          </w:tcPr>
          <w:p w14:paraId="7F932ED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3</w:t>
            </w:r>
          </w:p>
        </w:tc>
        <w:tc>
          <w:tcPr>
            <w:tcW w:w="7089" w:type="dxa"/>
            <w:noWrap/>
            <w:vAlign w:val="center"/>
            <w:hideMark/>
          </w:tcPr>
          <w:p w14:paraId="4C783F3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MONTEMARZO</w:t>
            </w:r>
          </w:p>
        </w:tc>
        <w:tc>
          <w:tcPr>
            <w:tcW w:w="1129" w:type="dxa"/>
            <w:noWrap/>
            <w:vAlign w:val="center"/>
            <w:hideMark/>
          </w:tcPr>
          <w:p w14:paraId="3C1D6CC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20ABDACF" w14:textId="77777777" w:rsidTr="002A21C0">
        <w:trPr>
          <w:trHeight w:val="288"/>
        </w:trPr>
        <w:tc>
          <w:tcPr>
            <w:tcW w:w="844" w:type="dxa"/>
            <w:shd w:val="clear" w:color="auto" w:fill="F3F7E8" w:themeFill="accent6" w:themeFillTint="33"/>
            <w:noWrap/>
            <w:vAlign w:val="center"/>
            <w:hideMark/>
          </w:tcPr>
          <w:p w14:paraId="2EB9451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4</w:t>
            </w:r>
          </w:p>
        </w:tc>
        <w:tc>
          <w:tcPr>
            <w:tcW w:w="7089" w:type="dxa"/>
            <w:shd w:val="clear" w:color="auto" w:fill="F3F7E8" w:themeFill="accent6" w:themeFillTint="33"/>
            <w:noWrap/>
            <w:vAlign w:val="center"/>
            <w:hideMark/>
          </w:tcPr>
          <w:p w14:paraId="149B3142"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VALENZANI</w:t>
            </w:r>
          </w:p>
        </w:tc>
        <w:tc>
          <w:tcPr>
            <w:tcW w:w="1129" w:type="dxa"/>
            <w:shd w:val="clear" w:color="auto" w:fill="F3F7E8" w:themeFill="accent6" w:themeFillTint="33"/>
            <w:noWrap/>
            <w:vAlign w:val="center"/>
            <w:hideMark/>
          </w:tcPr>
          <w:p w14:paraId="20BD7E8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85217D6" w14:textId="77777777" w:rsidTr="002A21C0">
        <w:trPr>
          <w:trHeight w:val="288"/>
        </w:trPr>
        <w:tc>
          <w:tcPr>
            <w:tcW w:w="844" w:type="dxa"/>
            <w:noWrap/>
            <w:vAlign w:val="center"/>
            <w:hideMark/>
          </w:tcPr>
          <w:p w14:paraId="7BF601E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5</w:t>
            </w:r>
          </w:p>
        </w:tc>
        <w:tc>
          <w:tcPr>
            <w:tcW w:w="7089" w:type="dxa"/>
            <w:noWrap/>
            <w:vAlign w:val="center"/>
            <w:hideMark/>
          </w:tcPr>
          <w:p w14:paraId="27B3D86E"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VAGLIERANO BASSO</w:t>
            </w:r>
          </w:p>
        </w:tc>
        <w:tc>
          <w:tcPr>
            <w:tcW w:w="1129" w:type="dxa"/>
            <w:noWrap/>
            <w:vAlign w:val="center"/>
            <w:hideMark/>
          </w:tcPr>
          <w:p w14:paraId="3982C1D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90336C2" w14:textId="77777777" w:rsidTr="002A21C0">
        <w:trPr>
          <w:trHeight w:val="288"/>
        </w:trPr>
        <w:tc>
          <w:tcPr>
            <w:tcW w:w="844" w:type="dxa"/>
            <w:shd w:val="clear" w:color="auto" w:fill="F3F7E8" w:themeFill="accent6" w:themeFillTint="33"/>
            <w:noWrap/>
            <w:vAlign w:val="center"/>
            <w:hideMark/>
          </w:tcPr>
          <w:p w14:paraId="30694D5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SC 6</w:t>
            </w:r>
          </w:p>
        </w:tc>
        <w:tc>
          <w:tcPr>
            <w:tcW w:w="7089" w:type="dxa"/>
            <w:shd w:val="clear" w:color="auto" w:fill="F3F7E8" w:themeFill="accent6" w:themeFillTint="33"/>
            <w:noWrap/>
            <w:vAlign w:val="center"/>
            <w:hideMark/>
          </w:tcPr>
          <w:p w14:paraId="52C8482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SCUOLA PARINI</w:t>
            </w:r>
          </w:p>
        </w:tc>
        <w:tc>
          <w:tcPr>
            <w:tcW w:w="1129" w:type="dxa"/>
            <w:shd w:val="clear" w:color="auto" w:fill="F3F7E8" w:themeFill="accent6" w:themeFillTint="33"/>
            <w:noWrap/>
            <w:vAlign w:val="center"/>
            <w:hideMark/>
          </w:tcPr>
          <w:p w14:paraId="6885330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A5DBDB5" w14:textId="77777777" w:rsidTr="002A21C0">
        <w:trPr>
          <w:trHeight w:val="288"/>
        </w:trPr>
        <w:tc>
          <w:tcPr>
            <w:tcW w:w="844" w:type="dxa"/>
            <w:shd w:val="clear" w:color="auto" w:fill="DDE8BC" w:themeFill="accent6" w:themeFillTint="99"/>
            <w:noWrap/>
            <w:vAlign w:val="center"/>
            <w:hideMark/>
          </w:tcPr>
          <w:p w14:paraId="6B58988D"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40E13E87"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ASTI</w:t>
            </w:r>
          </w:p>
        </w:tc>
        <w:tc>
          <w:tcPr>
            <w:tcW w:w="1129" w:type="dxa"/>
            <w:shd w:val="clear" w:color="auto" w:fill="DDE8BC" w:themeFill="accent6" w:themeFillTint="99"/>
            <w:noWrap/>
            <w:vAlign w:val="center"/>
            <w:hideMark/>
          </w:tcPr>
          <w:p w14:paraId="1C288AB3"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n.d.</w:t>
            </w:r>
          </w:p>
        </w:tc>
      </w:tr>
      <w:tr w:rsidR="00872434" w:rsidRPr="00166862" w14:paraId="5204DC70" w14:textId="77777777" w:rsidTr="002A21C0">
        <w:trPr>
          <w:trHeight w:val="300"/>
        </w:trPr>
        <w:tc>
          <w:tcPr>
            <w:tcW w:w="844" w:type="dxa"/>
            <w:noWrap/>
            <w:vAlign w:val="center"/>
            <w:hideMark/>
          </w:tcPr>
          <w:p w14:paraId="5943A9E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1</w:t>
            </w:r>
          </w:p>
        </w:tc>
        <w:tc>
          <w:tcPr>
            <w:tcW w:w="7089" w:type="dxa"/>
            <w:noWrap/>
            <w:vAlign w:val="center"/>
            <w:hideMark/>
          </w:tcPr>
          <w:p w14:paraId="13DB263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ROSSA FERIALE</w:t>
            </w:r>
          </w:p>
        </w:tc>
        <w:tc>
          <w:tcPr>
            <w:tcW w:w="1129" w:type="dxa"/>
            <w:noWrap/>
            <w:vAlign w:val="center"/>
            <w:hideMark/>
          </w:tcPr>
          <w:p w14:paraId="5955F780"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16.841</w:t>
            </w:r>
          </w:p>
        </w:tc>
      </w:tr>
      <w:tr w:rsidR="00872434" w:rsidRPr="00166862" w14:paraId="6BA99E69" w14:textId="77777777" w:rsidTr="002A21C0">
        <w:trPr>
          <w:trHeight w:val="288"/>
        </w:trPr>
        <w:tc>
          <w:tcPr>
            <w:tcW w:w="844" w:type="dxa"/>
            <w:shd w:val="clear" w:color="auto" w:fill="F3F7E8" w:themeFill="accent6" w:themeFillTint="33"/>
            <w:noWrap/>
            <w:vAlign w:val="center"/>
            <w:hideMark/>
          </w:tcPr>
          <w:p w14:paraId="1F89A6F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2</w:t>
            </w:r>
          </w:p>
        </w:tc>
        <w:tc>
          <w:tcPr>
            <w:tcW w:w="7089" w:type="dxa"/>
            <w:shd w:val="clear" w:color="auto" w:fill="F3F7E8" w:themeFill="accent6" w:themeFillTint="33"/>
            <w:noWrap/>
            <w:vAlign w:val="center"/>
            <w:hideMark/>
          </w:tcPr>
          <w:p w14:paraId="7ED6B88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ROSSA FESTIVA</w:t>
            </w:r>
          </w:p>
        </w:tc>
        <w:tc>
          <w:tcPr>
            <w:tcW w:w="1129" w:type="dxa"/>
            <w:shd w:val="clear" w:color="auto" w:fill="F3F7E8" w:themeFill="accent6" w:themeFillTint="33"/>
            <w:noWrap/>
            <w:vAlign w:val="center"/>
            <w:hideMark/>
          </w:tcPr>
          <w:p w14:paraId="0E72F83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872</w:t>
            </w:r>
          </w:p>
        </w:tc>
      </w:tr>
      <w:tr w:rsidR="00872434" w:rsidRPr="00166862" w14:paraId="3ED86790" w14:textId="77777777" w:rsidTr="002A21C0">
        <w:trPr>
          <w:trHeight w:val="288"/>
        </w:trPr>
        <w:tc>
          <w:tcPr>
            <w:tcW w:w="844" w:type="dxa"/>
            <w:noWrap/>
            <w:vAlign w:val="center"/>
            <w:hideMark/>
          </w:tcPr>
          <w:p w14:paraId="652F1E1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w:t>
            </w:r>
          </w:p>
        </w:tc>
        <w:tc>
          <w:tcPr>
            <w:tcW w:w="7089" w:type="dxa"/>
            <w:noWrap/>
            <w:vAlign w:val="center"/>
            <w:hideMark/>
          </w:tcPr>
          <w:p w14:paraId="5BA1A986"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BLU E SPECIALE FERIALE</w:t>
            </w:r>
          </w:p>
        </w:tc>
        <w:tc>
          <w:tcPr>
            <w:tcW w:w="1129" w:type="dxa"/>
            <w:noWrap/>
            <w:vAlign w:val="center"/>
            <w:hideMark/>
          </w:tcPr>
          <w:p w14:paraId="63F165B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24.455</w:t>
            </w:r>
          </w:p>
        </w:tc>
      </w:tr>
      <w:tr w:rsidR="00872434" w:rsidRPr="00166862" w14:paraId="5F937566" w14:textId="77777777" w:rsidTr="002A21C0">
        <w:trPr>
          <w:trHeight w:val="288"/>
        </w:trPr>
        <w:tc>
          <w:tcPr>
            <w:tcW w:w="844" w:type="dxa"/>
            <w:shd w:val="clear" w:color="auto" w:fill="F3F7E8" w:themeFill="accent6" w:themeFillTint="33"/>
            <w:noWrap/>
            <w:vAlign w:val="center"/>
            <w:hideMark/>
          </w:tcPr>
          <w:p w14:paraId="0F09D4B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4</w:t>
            </w:r>
          </w:p>
        </w:tc>
        <w:tc>
          <w:tcPr>
            <w:tcW w:w="7089" w:type="dxa"/>
            <w:shd w:val="clear" w:color="auto" w:fill="F3F7E8" w:themeFill="accent6" w:themeFillTint="33"/>
            <w:noWrap/>
            <w:vAlign w:val="center"/>
            <w:hideMark/>
          </w:tcPr>
          <w:p w14:paraId="0732E67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VERDE FERIALE</w:t>
            </w:r>
          </w:p>
        </w:tc>
        <w:tc>
          <w:tcPr>
            <w:tcW w:w="1129" w:type="dxa"/>
            <w:shd w:val="clear" w:color="auto" w:fill="F3F7E8" w:themeFill="accent6" w:themeFillTint="33"/>
            <w:noWrap/>
            <w:vAlign w:val="center"/>
            <w:hideMark/>
          </w:tcPr>
          <w:p w14:paraId="46C06FF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2.236</w:t>
            </w:r>
          </w:p>
        </w:tc>
      </w:tr>
      <w:tr w:rsidR="00872434" w:rsidRPr="00166862" w14:paraId="25A52C25" w14:textId="77777777" w:rsidTr="002A21C0">
        <w:trPr>
          <w:trHeight w:val="288"/>
        </w:trPr>
        <w:tc>
          <w:tcPr>
            <w:tcW w:w="844" w:type="dxa"/>
            <w:noWrap/>
            <w:vAlign w:val="center"/>
            <w:hideMark/>
          </w:tcPr>
          <w:p w14:paraId="370BA5C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lastRenderedPageBreak/>
              <w:t>5</w:t>
            </w:r>
          </w:p>
        </w:tc>
        <w:tc>
          <w:tcPr>
            <w:tcW w:w="7089" w:type="dxa"/>
            <w:noWrap/>
            <w:vAlign w:val="center"/>
            <w:hideMark/>
          </w:tcPr>
          <w:p w14:paraId="54E336A1"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TERRANOVA FERIALE</w:t>
            </w:r>
          </w:p>
        </w:tc>
        <w:tc>
          <w:tcPr>
            <w:tcW w:w="1129" w:type="dxa"/>
            <w:noWrap/>
            <w:vAlign w:val="center"/>
            <w:hideMark/>
          </w:tcPr>
          <w:p w14:paraId="2BB3A3F1"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3.059</w:t>
            </w:r>
          </w:p>
        </w:tc>
      </w:tr>
      <w:tr w:rsidR="00872434" w:rsidRPr="00166862" w14:paraId="69802D6B" w14:textId="77777777" w:rsidTr="002A21C0">
        <w:trPr>
          <w:trHeight w:val="288"/>
        </w:trPr>
        <w:tc>
          <w:tcPr>
            <w:tcW w:w="844" w:type="dxa"/>
            <w:shd w:val="clear" w:color="auto" w:fill="F3F7E8" w:themeFill="accent6" w:themeFillTint="33"/>
            <w:noWrap/>
            <w:vAlign w:val="center"/>
            <w:hideMark/>
          </w:tcPr>
          <w:p w14:paraId="4C9B47E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6</w:t>
            </w:r>
          </w:p>
        </w:tc>
        <w:tc>
          <w:tcPr>
            <w:tcW w:w="7089" w:type="dxa"/>
            <w:shd w:val="clear" w:color="auto" w:fill="F3F7E8" w:themeFill="accent6" w:themeFillTint="33"/>
            <w:noWrap/>
            <w:vAlign w:val="center"/>
            <w:hideMark/>
          </w:tcPr>
          <w:p w14:paraId="7C2164A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RONCAGLIA FERIALE</w:t>
            </w:r>
          </w:p>
        </w:tc>
        <w:tc>
          <w:tcPr>
            <w:tcW w:w="1129" w:type="dxa"/>
            <w:shd w:val="clear" w:color="auto" w:fill="F3F7E8" w:themeFill="accent6" w:themeFillTint="33"/>
            <w:noWrap/>
            <w:vAlign w:val="center"/>
            <w:hideMark/>
          </w:tcPr>
          <w:p w14:paraId="281FDD7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135</w:t>
            </w:r>
          </w:p>
        </w:tc>
      </w:tr>
      <w:tr w:rsidR="00872434" w:rsidRPr="00166862" w14:paraId="6936F1FD" w14:textId="77777777" w:rsidTr="002A21C0">
        <w:trPr>
          <w:trHeight w:val="288"/>
        </w:trPr>
        <w:tc>
          <w:tcPr>
            <w:tcW w:w="844" w:type="dxa"/>
            <w:noWrap/>
            <w:vAlign w:val="center"/>
            <w:hideMark/>
          </w:tcPr>
          <w:p w14:paraId="755B402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7</w:t>
            </w:r>
          </w:p>
        </w:tc>
        <w:tc>
          <w:tcPr>
            <w:tcW w:w="7089" w:type="dxa"/>
            <w:noWrap/>
            <w:vAlign w:val="center"/>
            <w:hideMark/>
          </w:tcPr>
          <w:p w14:paraId="48B81F29"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CASCINE ROSSI FERIALE</w:t>
            </w:r>
          </w:p>
        </w:tc>
        <w:tc>
          <w:tcPr>
            <w:tcW w:w="1129" w:type="dxa"/>
            <w:noWrap/>
            <w:vAlign w:val="center"/>
            <w:hideMark/>
          </w:tcPr>
          <w:p w14:paraId="5A903465"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972</w:t>
            </w:r>
          </w:p>
        </w:tc>
      </w:tr>
      <w:tr w:rsidR="00872434" w:rsidRPr="00166862" w14:paraId="37E21A73" w14:textId="77777777" w:rsidTr="002A21C0">
        <w:trPr>
          <w:trHeight w:val="288"/>
        </w:trPr>
        <w:tc>
          <w:tcPr>
            <w:tcW w:w="844" w:type="dxa"/>
            <w:shd w:val="clear" w:color="auto" w:fill="F3F7E8" w:themeFill="accent6" w:themeFillTint="33"/>
            <w:noWrap/>
            <w:vAlign w:val="center"/>
            <w:hideMark/>
          </w:tcPr>
          <w:p w14:paraId="7BEE54F1"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8</w:t>
            </w:r>
          </w:p>
        </w:tc>
        <w:tc>
          <w:tcPr>
            <w:tcW w:w="7089" w:type="dxa"/>
            <w:shd w:val="clear" w:color="auto" w:fill="F3F7E8" w:themeFill="accent6" w:themeFillTint="33"/>
            <w:noWrap/>
            <w:vAlign w:val="center"/>
            <w:hideMark/>
          </w:tcPr>
          <w:p w14:paraId="013DA02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CONIOLO</w:t>
            </w:r>
            <w:r>
              <w:rPr>
                <w:rFonts w:cstheme="minorHAnsi"/>
                <w:sz w:val="18"/>
                <w:szCs w:val="18"/>
              </w:rPr>
              <w:t xml:space="preserve"> </w:t>
            </w:r>
            <w:r w:rsidRPr="00166862">
              <w:rPr>
                <w:rFonts w:cstheme="minorHAnsi"/>
                <w:sz w:val="18"/>
                <w:szCs w:val="18"/>
              </w:rPr>
              <w:t>VIALARDA</w:t>
            </w:r>
            <w:r>
              <w:rPr>
                <w:rFonts w:cstheme="minorHAnsi"/>
                <w:sz w:val="18"/>
                <w:szCs w:val="18"/>
              </w:rPr>
              <w:t xml:space="preserve"> </w:t>
            </w:r>
            <w:r w:rsidRPr="00166862">
              <w:rPr>
                <w:rFonts w:cstheme="minorHAnsi"/>
                <w:sz w:val="18"/>
                <w:szCs w:val="18"/>
              </w:rPr>
              <w:t>ROLASCO</w:t>
            </w:r>
          </w:p>
        </w:tc>
        <w:tc>
          <w:tcPr>
            <w:tcW w:w="1129" w:type="dxa"/>
            <w:shd w:val="clear" w:color="auto" w:fill="F3F7E8" w:themeFill="accent6" w:themeFillTint="33"/>
            <w:noWrap/>
            <w:vAlign w:val="center"/>
            <w:hideMark/>
          </w:tcPr>
          <w:p w14:paraId="3436DDA7"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1.134</w:t>
            </w:r>
          </w:p>
        </w:tc>
      </w:tr>
      <w:tr w:rsidR="00872434" w:rsidRPr="00166862" w14:paraId="1D07B2BC" w14:textId="77777777" w:rsidTr="002A21C0">
        <w:trPr>
          <w:trHeight w:val="288"/>
        </w:trPr>
        <w:tc>
          <w:tcPr>
            <w:tcW w:w="844" w:type="dxa"/>
            <w:noWrap/>
            <w:vAlign w:val="center"/>
            <w:hideMark/>
          </w:tcPr>
          <w:p w14:paraId="781D776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9</w:t>
            </w:r>
          </w:p>
        </w:tc>
        <w:tc>
          <w:tcPr>
            <w:tcW w:w="7089" w:type="dxa"/>
            <w:noWrap/>
            <w:vAlign w:val="center"/>
            <w:hideMark/>
          </w:tcPr>
          <w:p w14:paraId="1D7A361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BIS FERIALE</w:t>
            </w:r>
          </w:p>
        </w:tc>
        <w:tc>
          <w:tcPr>
            <w:tcW w:w="1129" w:type="dxa"/>
            <w:noWrap/>
            <w:vAlign w:val="center"/>
            <w:hideMark/>
          </w:tcPr>
          <w:p w14:paraId="747A9088"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122</w:t>
            </w:r>
          </w:p>
        </w:tc>
      </w:tr>
      <w:tr w:rsidR="00872434" w:rsidRPr="00166862" w14:paraId="779751FF" w14:textId="77777777" w:rsidTr="002A21C0">
        <w:trPr>
          <w:trHeight w:val="288"/>
        </w:trPr>
        <w:tc>
          <w:tcPr>
            <w:tcW w:w="844" w:type="dxa"/>
            <w:shd w:val="clear" w:color="auto" w:fill="DDE8BC" w:themeFill="accent6" w:themeFillTint="99"/>
            <w:noWrap/>
            <w:vAlign w:val="center"/>
            <w:hideMark/>
          </w:tcPr>
          <w:p w14:paraId="4B609D8E"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54892075"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CASALE MONFERRATO</w:t>
            </w:r>
          </w:p>
        </w:tc>
        <w:tc>
          <w:tcPr>
            <w:tcW w:w="1129" w:type="dxa"/>
            <w:shd w:val="clear" w:color="auto" w:fill="DDE8BC" w:themeFill="accent6" w:themeFillTint="99"/>
            <w:noWrap/>
            <w:vAlign w:val="center"/>
            <w:hideMark/>
          </w:tcPr>
          <w:p w14:paraId="2BAF1A79"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49.826</w:t>
            </w:r>
          </w:p>
        </w:tc>
      </w:tr>
      <w:tr w:rsidR="00872434" w:rsidRPr="00166862" w14:paraId="42D0693E" w14:textId="77777777" w:rsidTr="002A21C0">
        <w:trPr>
          <w:trHeight w:val="300"/>
        </w:trPr>
        <w:tc>
          <w:tcPr>
            <w:tcW w:w="844" w:type="dxa"/>
            <w:noWrap/>
            <w:vAlign w:val="center"/>
            <w:hideMark/>
          </w:tcPr>
          <w:p w14:paraId="03318CC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S012</w:t>
            </w:r>
          </w:p>
        </w:tc>
        <w:tc>
          <w:tcPr>
            <w:tcW w:w="7089" w:type="dxa"/>
            <w:noWrap/>
            <w:vAlign w:val="center"/>
            <w:hideMark/>
          </w:tcPr>
          <w:p w14:paraId="1EF1E8B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URBANO ACQUI TERME ROSSO</w:t>
            </w:r>
          </w:p>
        </w:tc>
        <w:tc>
          <w:tcPr>
            <w:tcW w:w="1129" w:type="dxa"/>
            <w:noWrap/>
            <w:vAlign w:val="center"/>
            <w:hideMark/>
          </w:tcPr>
          <w:p w14:paraId="4178653B"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1</w:t>
            </w:r>
          </w:p>
        </w:tc>
      </w:tr>
      <w:tr w:rsidR="00872434" w:rsidRPr="00166862" w14:paraId="682CF129" w14:textId="77777777" w:rsidTr="002A21C0">
        <w:trPr>
          <w:trHeight w:val="288"/>
        </w:trPr>
        <w:tc>
          <w:tcPr>
            <w:tcW w:w="844" w:type="dxa"/>
            <w:shd w:val="clear" w:color="auto" w:fill="F3F7E8" w:themeFill="accent6" w:themeFillTint="33"/>
            <w:noWrap/>
            <w:vAlign w:val="center"/>
            <w:hideMark/>
          </w:tcPr>
          <w:p w14:paraId="50623D1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S013</w:t>
            </w:r>
          </w:p>
        </w:tc>
        <w:tc>
          <w:tcPr>
            <w:tcW w:w="7089" w:type="dxa"/>
            <w:shd w:val="clear" w:color="auto" w:fill="F3F7E8" w:themeFill="accent6" w:themeFillTint="33"/>
            <w:noWrap/>
            <w:vAlign w:val="center"/>
            <w:hideMark/>
          </w:tcPr>
          <w:p w14:paraId="63CDDBAA"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URBANO ACQUI TERME BLU</w:t>
            </w:r>
          </w:p>
        </w:tc>
        <w:tc>
          <w:tcPr>
            <w:tcW w:w="1129" w:type="dxa"/>
            <w:shd w:val="clear" w:color="auto" w:fill="F3F7E8" w:themeFill="accent6" w:themeFillTint="33"/>
            <w:noWrap/>
            <w:vAlign w:val="center"/>
            <w:hideMark/>
          </w:tcPr>
          <w:p w14:paraId="6B70F9D3"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44191DA5" w14:textId="77777777" w:rsidTr="002A21C0">
        <w:trPr>
          <w:trHeight w:val="288"/>
        </w:trPr>
        <w:tc>
          <w:tcPr>
            <w:tcW w:w="844" w:type="dxa"/>
            <w:noWrap/>
            <w:vAlign w:val="center"/>
            <w:hideMark/>
          </w:tcPr>
          <w:p w14:paraId="1F2CA61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S024</w:t>
            </w:r>
          </w:p>
        </w:tc>
        <w:tc>
          <w:tcPr>
            <w:tcW w:w="7089" w:type="dxa"/>
            <w:noWrap/>
            <w:vAlign w:val="center"/>
            <w:hideMark/>
          </w:tcPr>
          <w:p w14:paraId="0EED4F7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MORETTI - ACQUI TERME</w:t>
            </w:r>
          </w:p>
        </w:tc>
        <w:tc>
          <w:tcPr>
            <w:tcW w:w="1129" w:type="dxa"/>
            <w:noWrap/>
            <w:vAlign w:val="center"/>
            <w:hideMark/>
          </w:tcPr>
          <w:p w14:paraId="410DA8F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7446CC2" w14:textId="77777777" w:rsidTr="002A21C0">
        <w:trPr>
          <w:trHeight w:val="288"/>
        </w:trPr>
        <w:tc>
          <w:tcPr>
            <w:tcW w:w="844" w:type="dxa"/>
            <w:shd w:val="clear" w:color="auto" w:fill="F3F7E8" w:themeFill="accent6" w:themeFillTint="33"/>
            <w:noWrap/>
            <w:vAlign w:val="center"/>
            <w:hideMark/>
          </w:tcPr>
          <w:p w14:paraId="12932912"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S026</w:t>
            </w:r>
          </w:p>
        </w:tc>
        <w:tc>
          <w:tcPr>
            <w:tcW w:w="7089" w:type="dxa"/>
            <w:shd w:val="clear" w:color="auto" w:fill="F3F7E8" w:themeFill="accent6" w:themeFillTint="33"/>
            <w:noWrap/>
            <w:vAlign w:val="center"/>
            <w:hideMark/>
          </w:tcPr>
          <w:p w14:paraId="329B611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SASSELLO - ACQUI TERME</w:t>
            </w:r>
          </w:p>
        </w:tc>
        <w:tc>
          <w:tcPr>
            <w:tcW w:w="1129" w:type="dxa"/>
            <w:shd w:val="clear" w:color="auto" w:fill="F3F7E8" w:themeFill="accent6" w:themeFillTint="33"/>
            <w:noWrap/>
            <w:vAlign w:val="center"/>
            <w:hideMark/>
          </w:tcPr>
          <w:p w14:paraId="0DE9A3F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47F3C8F1" w14:textId="77777777" w:rsidTr="002A21C0">
        <w:trPr>
          <w:trHeight w:val="300"/>
        </w:trPr>
        <w:tc>
          <w:tcPr>
            <w:tcW w:w="844" w:type="dxa"/>
            <w:shd w:val="clear" w:color="auto" w:fill="DDE8BC" w:themeFill="accent6" w:themeFillTint="99"/>
            <w:noWrap/>
            <w:vAlign w:val="center"/>
            <w:hideMark/>
          </w:tcPr>
          <w:p w14:paraId="770D3E7E"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522356D1"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ACQUI TERME</w:t>
            </w:r>
          </w:p>
        </w:tc>
        <w:tc>
          <w:tcPr>
            <w:tcW w:w="1129" w:type="dxa"/>
            <w:shd w:val="clear" w:color="auto" w:fill="DDE8BC" w:themeFill="accent6" w:themeFillTint="99"/>
            <w:noWrap/>
            <w:vAlign w:val="center"/>
            <w:hideMark/>
          </w:tcPr>
          <w:p w14:paraId="30C67142"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1</w:t>
            </w:r>
          </w:p>
        </w:tc>
      </w:tr>
      <w:tr w:rsidR="00872434" w:rsidRPr="00166862" w14:paraId="29E1F22E" w14:textId="77777777" w:rsidTr="002A21C0">
        <w:trPr>
          <w:trHeight w:val="300"/>
        </w:trPr>
        <w:tc>
          <w:tcPr>
            <w:tcW w:w="844" w:type="dxa"/>
            <w:noWrap/>
            <w:vAlign w:val="center"/>
            <w:hideMark/>
          </w:tcPr>
          <w:p w14:paraId="6E70A8D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376</w:t>
            </w:r>
          </w:p>
        </w:tc>
        <w:tc>
          <w:tcPr>
            <w:tcW w:w="7089" w:type="dxa"/>
            <w:noWrap/>
            <w:vAlign w:val="center"/>
            <w:hideMark/>
          </w:tcPr>
          <w:p w14:paraId="7309C0B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P.ZA XXSETTEMBRE-LERCARO-OVADA P.ZA XXSETTEMBRE</w:t>
            </w:r>
          </w:p>
        </w:tc>
        <w:tc>
          <w:tcPr>
            <w:tcW w:w="1129" w:type="dxa"/>
            <w:noWrap/>
            <w:vAlign w:val="center"/>
            <w:hideMark/>
          </w:tcPr>
          <w:p w14:paraId="5832A49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58B5104A" w14:textId="77777777" w:rsidTr="002A21C0">
        <w:trPr>
          <w:trHeight w:val="288"/>
        </w:trPr>
        <w:tc>
          <w:tcPr>
            <w:tcW w:w="844" w:type="dxa"/>
            <w:shd w:val="clear" w:color="auto" w:fill="F3F7E8" w:themeFill="accent6" w:themeFillTint="33"/>
            <w:noWrap/>
            <w:vAlign w:val="center"/>
            <w:hideMark/>
          </w:tcPr>
          <w:p w14:paraId="5C148BB4"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377</w:t>
            </w:r>
          </w:p>
        </w:tc>
        <w:tc>
          <w:tcPr>
            <w:tcW w:w="7089" w:type="dxa"/>
            <w:shd w:val="clear" w:color="auto" w:fill="F3F7E8" w:themeFill="accent6" w:themeFillTint="33"/>
            <w:noWrap/>
            <w:vAlign w:val="center"/>
            <w:hideMark/>
          </w:tcPr>
          <w:p w14:paraId="1B404CB0"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P.ZA XX SETTEMBRE-VIA TORINO-STAZ. F.S.-FRAZ. COSTA-P.ZA XX SETTEMBRE</w:t>
            </w:r>
          </w:p>
        </w:tc>
        <w:tc>
          <w:tcPr>
            <w:tcW w:w="1129" w:type="dxa"/>
            <w:shd w:val="clear" w:color="auto" w:fill="F3F7E8" w:themeFill="accent6" w:themeFillTint="33"/>
            <w:noWrap/>
            <w:vAlign w:val="center"/>
            <w:hideMark/>
          </w:tcPr>
          <w:p w14:paraId="0CCABCA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0927494" w14:textId="77777777" w:rsidTr="002A21C0">
        <w:trPr>
          <w:trHeight w:val="288"/>
        </w:trPr>
        <w:tc>
          <w:tcPr>
            <w:tcW w:w="844" w:type="dxa"/>
            <w:noWrap/>
            <w:vAlign w:val="center"/>
            <w:hideMark/>
          </w:tcPr>
          <w:p w14:paraId="353EBFC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378</w:t>
            </w:r>
          </w:p>
        </w:tc>
        <w:tc>
          <w:tcPr>
            <w:tcW w:w="7089" w:type="dxa"/>
            <w:noWrap/>
            <w:vAlign w:val="center"/>
            <w:hideMark/>
          </w:tcPr>
          <w:p w14:paraId="434EEC8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P.ZA XX SETTEMBRE-VIA TORINO OVADA F.S-P.ZA XX SETTEMBRE</w:t>
            </w:r>
          </w:p>
        </w:tc>
        <w:tc>
          <w:tcPr>
            <w:tcW w:w="1129" w:type="dxa"/>
            <w:noWrap/>
            <w:vAlign w:val="center"/>
            <w:hideMark/>
          </w:tcPr>
          <w:p w14:paraId="45D6128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43434B95" w14:textId="77777777" w:rsidTr="002A21C0">
        <w:trPr>
          <w:trHeight w:val="288"/>
        </w:trPr>
        <w:tc>
          <w:tcPr>
            <w:tcW w:w="844" w:type="dxa"/>
            <w:shd w:val="clear" w:color="auto" w:fill="F3F7E8" w:themeFill="accent6" w:themeFillTint="33"/>
            <w:noWrap/>
            <w:vAlign w:val="center"/>
            <w:hideMark/>
          </w:tcPr>
          <w:p w14:paraId="4D8F24EF"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379</w:t>
            </w:r>
          </w:p>
        </w:tc>
        <w:tc>
          <w:tcPr>
            <w:tcW w:w="7089" w:type="dxa"/>
            <w:shd w:val="clear" w:color="auto" w:fill="F3F7E8" w:themeFill="accent6" w:themeFillTint="33"/>
            <w:noWrap/>
            <w:vAlign w:val="center"/>
            <w:hideMark/>
          </w:tcPr>
          <w:p w14:paraId="0788D67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P.ZA XXSETTEMBRE- SCUOLE-OVADA P.ZA XXSETTEMBRE</w:t>
            </w:r>
          </w:p>
        </w:tc>
        <w:tc>
          <w:tcPr>
            <w:tcW w:w="1129" w:type="dxa"/>
            <w:shd w:val="clear" w:color="auto" w:fill="F3F7E8" w:themeFill="accent6" w:themeFillTint="33"/>
            <w:noWrap/>
            <w:vAlign w:val="center"/>
            <w:hideMark/>
          </w:tcPr>
          <w:p w14:paraId="2799684E"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D3077F6" w14:textId="77777777" w:rsidTr="002A21C0">
        <w:trPr>
          <w:trHeight w:val="288"/>
        </w:trPr>
        <w:tc>
          <w:tcPr>
            <w:tcW w:w="844" w:type="dxa"/>
            <w:noWrap/>
            <w:vAlign w:val="center"/>
            <w:hideMark/>
          </w:tcPr>
          <w:p w14:paraId="07B76567"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380</w:t>
            </w:r>
          </w:p>
        </w:tc>
        <w:tc>
          <w:tcPr>
            <w:tcW w:w="7089" w:type="dxa"/>
            <w:noWrap/>
            <w:vAlign w:val="center"/>
            <w:hideMark/>
          </w:tcPr>
          <w:p w14:paraId="21B9E4D4"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OVADA P.ZA XX SETTEMBRE-GRILLANO-S.LORENZO-GUARDIA-P.ZA XX SETTEMBRE</w:t>
            </w:r>
          </w:p>
        </w:tc>
        <w:tc>
          <w:tcPr>
            <w:tcW w:w="1129" w:type="dxa"/>
            <w:noWrap/>
            <w:vAlign w:val="center"/>
            <w:hideMark/>
          </w:tcPr>
          <w:p w14:paraId="738C6CA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1F03067C" w14:textId="77777777" w:rsidTr="002A21C0">
        <w:trPr>
          <w:trHeight w:val="288"/>
        </w:trPr>
        <w:tc>
          <w:tcPr>
            <w:tcW w:w="844" w:type="dxa"/>
            <w:shd w:val="clear" w:color="auto" w:fill="DDE8BC" w:themeFill="accent6" w:themeFillTint="99"/>
            <w:noWrap/>
            <w:vAlign w:val="center"/>
            <w:hideMark/>
          </w:tcPr>
          <w:p w14:paraId="777714F8"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2E6C70FF"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OVADA</w:t>
            </w:r>
          </w:p>
        </w:tc>
        <w:tc>
          <w:tcPr>
            <w:tcW w:w="1129" w:type="dxa"/>
            <w:shd w:val="clear" w:color="auto" w:fill="DDE8BC" w:themeFill="accent6" w:themeFillTint="99"/>
            <w:noWrap/>
            <w:vAlign w:val="center"/>
            <w:hideMark/>
          </w:tcPr>
          <w:p w14:paraId="1137A6B4"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0</w:t>
            </w:r>
          </w:p>
        </w:tc>
      </w:tr>
      <w:tr w:rsidR="00872434" w:rsidRPr="00166862" w14:paraId="42D4D622" w14:textId="77777777" w:rsidTr="002A21C0">
        <w:trPr>
          <w:trHeight w:val="300"/>
        </w:trPr>
        <w:tc>
          <w:tcPr>
            <w:tcW w:w="844" w:type="dxa"/>
            <w:noWrap/>
            <w:vAlign w:val="center"/>
            <w:hideMark/>
          </w:tcPr>
          <w:p w14:paraId="521C7446"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S001</w:t>
            </w:r>
          </w:p>
        </w:tc>
        <w:tc>
          <w:tcPr>
            <w:tcW w:w="7089" w:type="dxa"/>
            <w:noWrap/>
            <w:vAlign w:val="center"/>
            <w:hideMark/>
          </w:tcPr>
          <w:p w14:paraId="28A5883C"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URBANO TORTONA</w:t>
            </w:r>
          </w:p>
        </w:tc>
        <w:tc>
          <w:tcPr>
            <w:tcW w:w="1129" w:type="dxa"/>
            <w:noWrap/>
            <w:vAlign w:val="center"/>
            <w:hideMark/>
          </w:tcPr>
          <w:p w14:paraId="7168215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52A15CDA" w14:textId="77777777" w:rsidTr="002A21C0">
        <w:trPr>
          <w:trHeight w:val="288"/>
        </w:trPr>
        <w:tc>
          <w:tcPr>
            <w:tcW w:w="844" w:type="dxa"/>
            <w:shd w:val="clear" w:color="auto" w:fill="F3F7E8" w:themeFill="accent6" w:themeFillTint="33"/>
            <w:noWrap/>
            <w:vAlign w:val="center"/>
            <w:hideMark/>
          </w:tcPr>
          <w:p w14:paraId="7A27BF2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S005</w:t>
            </w:r>
          </w:p>
        </w:tc>
        <w:tc>
          <w:tcPr>
            <w:tcW w:w="7089" w:type="dxa"/>
            <w:shd w:val="clear" w:color="auto" w:fill="F3F7E8" w:themeFill="accent6" w:themeFillTint="33"/>
            <w:noWrap/>
            <w:vAlign w:val="center"/>
            <w:hideMark/>
          </w:tcPr>
          <w:p w14:paraId="61DDFF9B"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TORTONA URBANO INTERPORTO</w:t>
            </w:r>
          </w:p>
        </w:tc>
        <w:tc>
          <w:tcPr>
            <w:tcW w:w="1129" w:type="dxa"/>
            <w:shd w:val="clear" w:color="auto" w:fill="F3F7E8" w:themeFill="accent6" w:themeFillTint="33"/>
            <w:noWrap/>
            <w:vAlign w:val="center"/>
            <w:hideMark/>
          </w:tcPr>
          <w:p w14:paraId="1CA3CAA2"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451C5EDC" w14:textId="77777777" w:rsidTr="002A21C0">
        <w:trPr>
          <w:trHeight w:val="288"/>
        </w:trPr>
        <w:tc>
          <w:tcPr>
            <w:tcW w:w="844" w:type="dxa"/>
            <w:noWrap/>
            <w:vAlign w:val="center"/>
            <w:hideMark/>
          </w:tcPr>
          <w:p w14:paraId="1373F34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S006</w:t>
            </w:r>
          </w:p>
        </w:tc>
        <w:tc>
          <w:tcPr>
            <w:tcW w:w="7089" w:type="dxa"/>
            <w:noWrap/>
            <w:vAlign w:val="center"/>
            <w:hideMark/>
          </w:tcPr>
          <w:p w14:paraId="6248F40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TORTONA URBANO CIRCOLARE</w:t>
            </w:r>
          </w:p>
        </w:tc>
        <w:tc>
          <w:tcPr>
            <w:tcW w:w="1129" w:type="dxa"/>
            <w:noWrap/>
            <w:vAlign w:val="center"/>
            <w:hideMark/>
          </w:tcPr>
          <w:p w14:paraId="23C7DAA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B2AFDD5" w14:textId="77777777" w:rsidTr="002A21C0">
        <w:trPr>
          <w:trHeight w:val="288"/>
        </w:trPr>
        <w:tc>
          <w:tcPr>
            <w:tcW w:w="844" w:type="dxa"/>
            <w:shd w:val="clear" w:color="auto" w:fill="DDE8BC" w:themeFill="accent6" w:themeFillTint="99"/>
            <w:noWrap/>
            <w:vAlign w:val="center"/>
            <w:hideMark/>
          </w:tcPr>
          <w:p w14:paraId="6C6FF31D"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1DCE8D88"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TORTONA</w:t>
            </w:r>
          </w:p>
        </w:tc>
        <w:tc>
          <w:tcPr>
            <w:tcW w:w="1129" w:type="dxa"/>
            <w:shd w:val="clear" w:color="auto" w:fill="DDE8BC" w:themeFill="accent6" w:themeFillTint="99"/>
            <w:noWrap/>
            <w:vAlign w:val="center"/>
            <w:hideMark/>
          </w:tcPr>
          <w:p w14:paraId="181866C3"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0</w:t>
            </w:r>
          </w:p>
        </w:tc>
      </w:tr>
      <w:tr w:rsidR="00872434" w:rsidRPr="00166862" w14:paraId="298F3610" w14:textId="77777777" w:rsidTr="002A21C0">
        <w:trPr>
          <w:trHeight w:val="300"/>
        </w:trPr>
        <w:tc>
          <w:tcPr>
            <w:tcW w:w="844" w:type="dxa"/>
            <w:noWrap/>
            <w:vAlign w:val="center"/>
            <w:hideMark/>
          </w:tcPr>
          <w:p w14:paraId="3B58E105"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S071</w:t>
            </w:r>
          </w:p>
        </w:tc>
        <w:tc>
          <w:tcPr>
            <w:tcW w:w="7089" w:type="dxa"/>
            <w:noWrap/>
            <w:vAlign w:val="center"/>
            <w:hideMark/>
          </w:tcPr>
          <w:p w14:paraId="5BBD546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ROSSA</w:t>
            </w:r>
          </w:p>
        </w:tc>
        <w:tc>
          <w:tcPr>
            <w:tcW w:w="1129" w:type="dxa"/>
            <w:noWrap/>
            <w:vAlign w:val="center"/>
            <w:hideMark/>
          </w:tcPr>
          <w:p w14:paraId="095C0096"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09559E3" w14:textId="77777777" w:rsidTr="002A21C0">
        <w:trPr>
          <w:trHeight w:val="288"/>
        </w:trPr>
        <w:tc>
          <w:tcPr>
            <w:tcW w:w="844" w:type="dxa"/>
            <w:shd w:val="clear" w:color="auto" w:fill="F3F7E8" w:themeFill="accent6" w:themeFillTint="33"/>
            <w:noWrap/>
            <w:vAlign w:val="center"/>
            <w:hideMark/>
          </w:tcPr>
          <w:p w14:paraId="7619C6CC"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S072</w:t>
            </w:r>
          </w:p>
        </w:tc>
        <w:tc>
          <w:tcPr>
            <w:tcW w:w="7089" w:type="dxa"/>
            <w:shd w:val="clear" w:color="auto" w:fill="F3F7E8" w:themeFill="accent6" w:themeFillTint="33"/>
            <w:noWrap/>
            <w:vAlign w:val="center"/>
            <w:hideMark/>
          </w:tcPr>
          <w:p w14:paraId="55EC68C8"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VERDE</w:t>
            </w:r>
          </w:p>
        </w:tc>
        <w:tc>
          <w:tcPr>
            <w:tcW w:w="1129" w:type="dxa"/>
            <w:shd w:val="clear" w:color="auto" w:fill="F3F7E8" w:themeFill="accent6" w:themeFillTint="33"/>
            <w:noWrap/>
            <w:vAlign w:val="center"/>
            <w:hideMark/>
          </w:tcPr>
          <w:p w14:paraId="697CB76A"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60F58C5B" w14:textId="77777777" w:rsidTr="002A21C0">
        <w:trPr>
          <w:trHeight w:val="288"/>
        </w:trPr>
        <w:tc>
          <w:tcPr>
            <w:tcW w:w="844" w:type="dxa"/>
            <w:noWrap/>
            <w:vAlign w:val="center"/>
            <w:hideMark/>
          </w:tcPr>
          <w:p w14:paraId="2CA64763"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S073</w:t>
            </w:r>
          </w:p>
        </w:tc>
        <w:tc>
          <w:tcPr>
            <w:tcW w:w="7089" w:type="dxa"/>
            <w:noWrap/>
            <w:vAlign w:val="center"/>
            <w:hideMark/>
          </w:tcPr>
          <w:p w14:paraId="020D666D"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BLU</w:t>
            </w:r>
          </w:p>
        </w:tc>
        <w:tc>
          <w:tcPr>
            <w:tcW w:w="1129" w:type="dxa"/>
            <w:noWrap/>
            <w:vAlign w:val="center"/>
            <w:hideMark/>
          </w:tcPr>
          <w:p w14:paraId="571F25AF"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6696A99" w14:textId="77777777" w:rsidTr="002A21C0">
        <w:trPr>
          <w:trHeight w:val="288"/>
        </w:trPr>
        <w:tc>
          <w:tcPr>
            <w:tcW w:w="844" w:type="dxa"/>
            <w:shd w:val="clear" w:color="auto" w:fill="F3F7E8" w:themeFill="accent6" w:themeFillTint="33"/>
            <w:noWrap/>
            <w:vAlign w:val="center"/>
            <w:hideMark/>
          </w:tcPr>
          <w:p w14:paraId="47167179"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S074</w:t>
            </w:r>
          </w:p>
        </w:tc>
        <w:tc>
          <w:tcPr>
            <w:tcW w:w="7089" w:type="dxa"/>
            <w:shd w:val="clear" w:color="auto" w:fill="F3F7E8" w:themeFill="accent6" w:themeFillTint="33"/>
            <w:noWrap/>
            <w:vAlign w:val="center"/>
            <w:hideMark/>
          </w:tcPr>
          <w:p w14:paraId="430C16CF"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GIALLA</w:t>
            </w:r>
          </w:p>
        </w:tc>
        <w:tc>
          <w:tcPr>
            <w:tcW w:w="1129" w:type="dxa"/>
            <w:shd w:val="clear" w:color="auto" w:fill="F3F7E8" w:themeFill="accent6" w:themeFillTint="33"/>
            <w:noWrap/>
            <w:vAlign w:val="center"/>
            <w:hideMark/>
          </w:tcPr>
          <w:p w14:paraId="41D3D399"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0</w:t>
            </w:r>
          </w:p>
        </w:tc>
      </w:tr>
      <w:tr w:rsidR="00872434" w:rsidRPr="00166862" w14:paraId="77906AF0" w14:textId="77777777" w:rsidTr="002A21C0">
        <w:trPr>
          <w:trHeight w:val="288"/>
        </w:trPr>
        <w:tc>
          <w:tcPr>
            <w:tcW w:w="844" w:type="dxa"/>
            <w:noWrap/>
            <w:vAlign w:val="center"/>
            <w:hideMark/>
          </w:tcPr>
          <w:p w14:paraId="452B5D80" w14:textId="77777777" w:rsidR="00872434" w:rsidRPr="00166862" w:rsidRDefault="00872434" w:rsidP="002A21C0">
            <w:pPr>
              <w:spacing w:after="0" w:line="240" w:lineRule="auto"/>
              <w:jc w:val="center"/>
              <w:rPr>
                <w:rFonts w:cstheme="minorHAnsi"/>
                <w:sz w:val="18"/>
                <w:szCs w:val="18"/>
              </w:rPr>
            </w:pPr>
            <w:r w:rsidRPr="00166862">
              <w:rPr>
                <w:rFonts w:cstheme="minorHAnsi"/>
                <w:sz w:val="18"/>
                <w:szCs w:val="18"/>
              </w:rPr>
              <w:t>S097</w:t>
            </w:r>
          </w:p>
        </w:tc>
        <w:tc>
          <w:tcPr>
            <w:tcW w:w="7089" w:type="dxa"/>
            <w:noWrap/>
            <w:vAlign w:val="center"/>
            <w:hideMark/>
          </w:tcPr>
          <w:p w14:paraId="2BAEE353" w14:textId="77777777" w:rsidR="00872434" w:rsidRPr="00166862" w:rsidRDefault="00872434" w:rsidP="002A21C0">
            <w:pPr>
              <w:spacing w:after="0" w:line="240" w:lineRule="auto"/>
              <w:jc w:val="left"/>
              <w:rPr>
                <w:rFonts w:cstheme="minorHAnsi"/>
                <w:sz w:val="18"/>
                <w:szCs w:val="18"/>
              </w:rPr>
            </w:pPr>
            <w:r w:rsidRPr="00166862">
              <w:rPr>
                <w:rFonts w:cstheme="minorHAnsi"/>
                <w:sz w:val="18"/>
                <w:szCs w:val="18"/>
              </w:rPr>
              <w:t>SCUOLE NOVI L.</w:t>
            </w:r>
          </w:p>
        </w:tc>
        <w:tc>
          <w:tcPr>
            <w:tcW w:w="1129" w:type="dxa"/>
            <w:noWrap/>
            <w:vAlign w:val="center"/>
            <w:hideMark/>
          </w:tcPr>
          <w:p w14:paraId="6F53A93D" w14:textId="77777777" w:rsidR="00872434" w:rsidRPr="00166862" w:rsidRDefault="00872434" w:rsidP="002A21C0">
            <w:pPr>
              <w:spacing w:after="0" w:line="240" w:lineRule="auto"/>
              <w:jc w:val="right"/>
              <w:rPr>
                <w:rFonts w:cstheme="minorHAnsi"/>
                <w:sz w:val="18"/>
                <w:szCs w:val="18"/>
              </w:rPr>
            </w:pPr>
            <w:r w:rsidRPr="00166862">
              <w:rPr>
                <w:rFonts w:cstheme="minorHAnsi"/>
                <w:sz w:val="18"/>
                <w:szCs w:val="18"/>
              </w:rPr>
              <w:t>n.d.</w:t>
            </w:r>
          </w:p>
        </w:tc>
      </w:tr>
      <w:tr w:rsidR="00872434" w:rsidRPr="00166862" w14:paraId="6538E8C6" w14:textId="77777777" w:rsidTr="002A21C0">
        <w:trPr>
          <w:trHeight w:val="288"/>
        </w:trPr>
        <w:tc>
          <w:tcPr>
            <w:tcW w:w="844" w:type="dxa"/>
            <w:shd w:val="clear" w:color="auto" w:fill="DDE8BC" w:themeFill="accent6" w:themeFillTint="99"/>
            <w:noWrap/>
            <w:vAlign w:val="center"/>
            <w:hideMark/>
          </w:tcPr>
          <w:p w14:paraId="7A637B09" w14:textId="77777777" w:rsidR="00872434" w:rsidRPr="00166862" w:rsidRDefault="00872434" w:rsidP="002A21C0">
            <w:pPr>
              <w:spacing w:after="0" w:line="240" w:lineRule="auto"/>
              <w:jc w:val="center"/>
              <w:rPr>
                <w:rFonts w:cstheme="minorHAnsi"/>
                <w:b/>
                <w:bCs/>
                <w:sz w:val="18"/>
                <w:szCs w:val="18"/>
              </w:rPr>
            </w:pPr>
          </w:p>
        </w:tc>
        <w:tc>
          <w:tcPr>
            <w:tcW w:w="7089" w:type="dxa"/>
            <w:shd w:val="clear" w:color="auto" w:fill="DDE8BC" w:themeFill="accent6" w:themeFillTint="99"/>
            <w:noWrap/>
            <w:vAlign w:val="center"/>
            <w:hideMark/>
          </w:tcPr>
          <w:p w14:paraId="5574003B" w14:textId="77777777" w:rsidR="00872434" w:rsidRPr="00166862" w:rsidRDefault="00872434" w:rsidP="002A21C0">
            <w:pPr>
              <w:spacing w:after="0" w:line="240" w:lineRule="auto"/>
              <w:jc w:val="left"/>
              <w:rPr>
                <w:rFonts w:cstheme="minorHAnsi"/>
                <w:b/>
                <w:bCs/>
                <w:sz w:val="18"/>
                <w:szCs w:val="18"/>
              </w:rPr>
            </w:pPr>
            <w:r w:rsidRPr="00166862">
              <w:rPr>
                <w:rFonts w:cstheme="minorHAnsi"/>
                <w:b/>
                <w:bCs/>
                <w:sz w:val="18"/>
                <w:szCs w:val="18"/>
              </w:rPr>
              <w:t>TOTALE SERVIZI URBANI DI NOVI LIGURE</w:t>
            </w:r>
          </w:p>
        </w:tc>
        <w:tc>
          <w:tcPr>
            <w:tcW w:w="1129" w:type="dxa"/>
            <w:shd w:val="clear" w:color="auto" w:fill="DDE8BC" w:themeFill="accent6" w:themeFillTint="99"/>
            <w:noWrap/>
            <w:vAlign w:val="center"/>
            <w:hideMark/>
          </w:tcPr>
          <w:p w14:paraId="5E39A9EE" w14:textId="77777777" w:rsidR="00872434" w:rsidRPr="00166862" w:rsidRDefault="00872434" w:rsidP="002A21C0">
            <w:pPr>
              <w:spacing w:after="0" w:line="240" w:lineRule="auto"/>
              <w:jc w:val="right"/>
              <w:rPr>
                <w:rFonts w:cstheme="minorHAnsi"/>
                <w:b/>
                <w:bCs/>
                <w:sz w:val="18"/>
                <w:szCs w:val="18"/>
              </w:rPr>
            </w:pPr>
            <w:r w:rsidRPr="00166862">
              <w:rPr>
                <w:rFonts w:cstheme="minorHAnsi"/>
                <w:b/>
                <w:bCs/>
                <w:sz w:val="18"/>
                <w:szCs w:val="18"/>
              </w:rPr>
              <w:t>0</w:t>
            </w:r>
          </w:p>
        </w:tc>
      </w:tr>
      <w:tr w:rsidR="00872434" w:rsidRPr="00166862" w14:paraId="0362DDFB" w14:textId="77777777" w:rsidTr="002A21C0">
        <w:trPr>
          <w:trHeight w:val="300"/>
        </w:trPr>
        <w:tc>
          <w:tcPr>
            <w:tcW w:w="844" w:type="dxa"/>
            <w:shd w:val="clear" w:color="auto" w:fill="A5C34C" w:themeFill="accent6" w:themeFillShade="BF"/>
            <w:vAlign w:val="center"/>
            <w:hideMark/>
          </w:tcPr>
          <w:p w14:paraId="5346E18D" w14:textId="77777777" w:rsidR="00872434" w:rsidRPr="00166862" w:rsidRDefault="00872434" w:rsidP="002A21C0">
            <w:pPr>
              <w:spacing w:after="0" w:line="240" w:lineRule="auto"/>
              <w:jc w:val="center"/>
              <w:rPr>
                <w:rFonts w:cstheme="minorHAnsi"/>
                <w:b/>
                <w:bCs/>
                <w:i/>
                <w:iCs/>
                <w:sz w:val="18"/>
                <w:szCs w:val="18"/>
              </w:rPr>
            </w:pPr>
          </w:p>
        </w:tc>
        <w:tc>
          <w:tcPr>
            <w:tcW w:w="7089" w:type="dxa"/>
            <w:shd w:val="clear" w:color="auto" w:fill="A5C34C" w:themeFill="accent6" w:themeFillShade="BF"/>
            <w:vAlign w:val="center"/>
            <w:hideMark/>
          </w:tcPr>
          <w:p w14:paraId="6147AE18" w14:textId="77777777" w:rsidR="00872434" w:rsidRPr="00166862" w:rsidRDefault="00872434" w:rsidP="002A21C0">
            <w:pPr>
              <w:spacing w:after="0" w:line="240" w:lineRule="auto"/>
              <w:jc w:val="left"/>
              <w:rPr>
                <w:rFonts w:cstheme="minorHAnsi"/>
                <w:b/>
                <w:bCs/>
                <w:i/>
                <w:iCs/>
                <w:sz w:val="18"/>
                <w:szCs w:val="18"/>
              </w:rPr>
            </w:pPr>
            <w:r w:rsidRPr="00166862">
              <w:rPr>
                <w:rFonts w:cstheme="minorHAnsi"/>
                <w:b/>
                <w:bCs/>
                <w:i/>
                <w:iCs/>
                <w:sz w:val="18"/>
                <w:szCs w:val="18"/>
              </w:rPr>
              <w:t xml:space="preserve">TOTALE SERVIZI BACINO </w:t>
            </w:r>
            <w:r>
              <w:rPr>
                <w:rFonts w:cstheme="minorHAnsi"/>
                <w:b/>
                <w:bCs/>
                <w:i/>
                <w:iCs/>
                <w:sz w:val="18"/>
                <w:szCs w:val="18"/>
              </w:rPr>
              <w:t>SU</w:t>
            </w:r>
            <w:r w:rsidRPr="00166862">
              <w:rPr>
                <w:rFonts w:cstheme="minorHAnsi"/>
                <w:b/>
                <w:bCs/>
                <w:i/>
                <w:iCs/>
                <w:sz w:val="18"/>
                <w:szCs w:val="18"/>
              </w:rPr>
              <w:t>D EST</w:t>
            </w:r>
          </w:p>
        </w:tc>
        <w:tc>
          <w:tcPr>
            <w:tcW w:w="1129" w:type="dxa"/>
            <w:shd w:val="clear" w:color="auto" w:fill="A5C34C" w:themeFill="accent6" w:themeFillShade="BF"/>
            <w:vAlign w:val="center"/>
            <w:hideMark/>
          </w:tcPr>
          <w:p w14:paraId="15EEC0B0" w14:textId="77777777" w:rsidR="00872434" w:rsidRPr="00166862" w:rsidRDefault="00872434" w:rsidP="002A21C0">
            <w:pPr>
              <w:spacing w:after="0" w:line="240" w:lineRule="auto"/>
              <w:jc w:val="right"/>
              <w:rPr>
                <w:rFonts w:cstheme="minorHAnsi"/>
                <w:b/>
                <w:bCs/>
                <w:i/>
                <w:iCs/>
                <w:sz w:val="18"/>
                <w:szCs w:val="18"/>
              </w:rPr>
            </w:pPr>
            <w:r w:rsidRPr="00166862">
              <w:rPr>
                <w:rFonts w:cstheme="minorHAnsi"/>
                <w:b/>
                <w:bCs/>
                <w:i/>
                <w:iCs/>
                <w:sz w:val="18"/>
                <w:szCs w:val="18"/>
              </w:rPr>
              <w:t>559.236</w:t>
            </w:r>
          </w:p>
        </w:tc>
      </w:tr>
    </w:tbl>
    <w:p w14:paraId="02EAA8F3" w14:textId="0C094A55" w:rsidR="00872434" w:rsidRPr="00F34C4E" w:rsidRDefault="00872434" w:rsidP="00872434">
      <w:pPr>
        <w:pStyle w:val="Didascalia"/>
        <w:jc w:val="center"/>
        <w:rPr>
          <w:color w:val="003366"/>
        </w:rPr>
      </w:pPr>
      <w:r w:rsidRPr="00F34C4E">
        <w:rPr>
          <w:color w:val="003366"/>
        </w:rPr>
        <w:t xml:space="preserve">Tabella </w:t>
      </w:r>
      <w:r w:rsidRPr="00F34C4E">
        <w:rPr>
          <w:color w:val="003366"/>
        </w:rPr>
        <w:fldChar w:fldCharType="begin"/>
      </w:r>
      <w:r w:rsidRPr="00F34C4E">
        <w:rPr>
          <w:color w:val="003366"/>
        </w:rPr>
        <w:instrText xml:space="preserve"> SEQ Tabella \* ARABIC </w:instrText>
      </w:r>
      <w:r w:rsidRPr="00F34C4E">
        <w:rPr>
          <w:color w:val="003366"/>
        </w:rPr>
        <w:fldChar w:fldCharType="separate"/>
      </w:r>
      <w:r w:rsidR="00670903">
        <w:rPr>
          <w:noProof/>
          <w:color w:val="003366"/>
        </w:rPr>
        <w:t>24</w:t>
      </w:r>
      <w:r w:rsidRPr="00F34C4E">
        <w:rPr>
          <w:noProof/>
          <w:color w:val="003366"/>
        </w:rPr>
        <w:fldChar w:fldCharType="end"/>
      </w:r>
      <w:r w:rsidRPr="00F34C4E">
        <w:rPr>
          <w:noProof/>
          <w:color w:val="003366"/>
        </w:rPr>
        <w:t xml:space="preserve"> </w:t>
      </w:r>
      <w:r w:rsidRPr="00F34C4E">
        <w:rPr>
          <w:color w:val="003366"/>
        </w:rPr>
        <w:t>– Vidimazioni passeggeri 2024 fonte dati CSR Piemonte.</w:t>
      </w:r>
    </w:p>
    <w:p w14:paraId="7F601FAE" w14:textId="77777777" w:rsidR="00872434" w:rsidRDefault="00872434" w:rsidP="00872434">
      <w:pPr>
        <w:spacing w:before="120" w:after="0" w:line="240" w:lineRule="auto"/>
      </w:pPr>
      <w:r>
        <w:t>La procedura di gara indirizzerà i partecipanti a coprire il gap di digitalizzazione che le aziende che oggi operano nel territorio evidenziano.</w:t>
      </w:r>
    </w:p>
    <w:p w14:paraId="25AC5944" w14:textId="77777777" w:rsidR="00872434" w:rsidRDefault="00872434" w:rsidP="00872434">
      <w:pPr>
        <w:spacing w:before="120" w:after="0" w:line="240" w:lineRule="auto"/>
      </w:pPr>
      <w:r>
        <w:t>La digitalizzazione completa dei processi produttivi aziendali e del servizio erogato consentiranno, da un lato, alle aziende di gestire in maniera più efficiente ed efficace il servizio ma, soprattutto, offriranno ai cittadini un livello di servizio idoneo a soddisfare le attese di una domanda di mobilità in costante cambiamento; si tratta di un passaggio fondamentale per la crescita del servizio e per il recupero dell’utenza e dei ricavi da traffico</w:t>
      </w:r>
    </w:p>
    <w:p w14:paraId="5FE94444" w14:textId="77777777" w:rsidR="00872434" w:rsidRPr="001B5207" w:rsidRDefault="00872434" w:rsidP="00872434">
      <w:pPr>
        <w:spacing w:before="120" w:after="0" w:line="240" w:lineRule="auto"/>
      </w:pPr>
      <w:r>
        <w:t>Per quanto riguarda il monitoraggio delle frequentazioni e dei ricavi, l</w:t>
      </w:r>
      <w:r w:rsidRPr="001B5207">
        <w:t xml:space="preserve">a rilevazione diretta, svolta in maniera tecnologicamente avanzata e integrata con i sistemi di conteggio automatico, costituirà uno degli elementi essenziali nei futuri Contratti di Servizio. Ogni operatore economico partecipante alla procedura sarà obbligato a sviluppare una propria organizzazione interna per fornire i dati relativi ai passeggeri trasportati, al load factor, ai ricavi e al coverage ratio di tutti i servizi erogati, per singola </w:t>
      </w:r>
      <w:r>
        <w:t>linea/</w:t>
      </w:r>
      <w:r w:rsidRPr="001B5207">
        <w:t>corsa. Questo sarà possibile attraverso l’utilizzo di valutazioni incrociate tra i vari metodi attualmente utilizzati (rilevazione diretta, conta</w:t>
      </w:r>
      <w:r>
        <w:t>-</w:t>
      </w:r>
      <w:r w:rsidRPr="001B5207">
        <w:t>passeggeri, validazioni</w:t>
      </w:r>
      <w:r>
        <w:t>, titoli venduti, coefficiente di fruizione</w:t>
      </w:r>
      <w:r w:rsidRPr="001B5207">
        <w:t>) ed eventualmente proponendone di nuovi, il tutto corredato da verifiche periodiche con analisi sul campo.</w:t>
      </w:r>
    </w:p>
    <w:p w14:paraId="12ECD83F" w14:textId="77777777" w:rsidR="00872434" w:rsidRPr="00441C08" w:rsidRDefault="00872434" w:rsidP="00872434">
      <w:pPr>
        <w:spacing w:before="120" w:after="0" w:line="240" w:lineRule="auto"/>
      </w:pPr>
    </w:p>
    <w:p w14:paraId="23309FD0" w14:textId="77777777" w:rsidR="00872434" w:rsidRPr="00441C08" w:rsidRDefault="00872434" w:rsidP="00872434">
      <w:pPr>
        <w:pStyle w:val="Titolo2"/>
        <w:ind w:left="567"/>
      </w:pPr>
      <w:bookmarkStart w:id="170" w:name="_Toc175218223"/>
      <w:bookmarkStart w:id="171" w:name="_Toc197695675"/>
      <w:bookmarkStart w:id="172" w:name="_Toc204616488"/>
      <w:bookmarkStart w:id="173" w:name="_Toc205213719"/>
      <w:r w:rsidRPr="00441C08">
        <w:t>Distribuzione della popolazione scolastica</w:t>
      </w:r>
      <w:bookmarkEnd w:id="170"/>
      <w:bookmarkEnd w:id="171"/>
      <w:bookmarkEnd w:id="172"/>
      <w:bookmarkEnd w:id="173"/>
    </w:p>
    <w:p w14:paraId="1B6FA783" w14:textId="77777777" w:rsidR="00872434" w:rsidRDefault="00872434" w:rsidP="00872434">
      <w:pPr>
        <w:spacing w:before="120" w:after="0" w:line="240" w:lineRule="auto"/>
      </w:pPr>
      <w:r>
        <w:t>Pare opportuno fare un approfondimento anche sulla popolazione scolastica e sulla sua distribuzione sul territorio in quanto è uno dei target più rilevante tra gli utenti del TPL.</w:t>
      </w:r>
    </w:p>
    <w:p w14:paraId="257A01DE" w14:textId="77777777" w:rsidR="00872434" w:rsidRPr="00E764FD" w:rsidRDefault="00872434" w:rsidP="00872434">
      <w:pPr>
        <w:spacing w:before="120" w:after="0" w:line="240" w:lineRule="auto"/>
        <w:rPr>
          <w:b/>
        </w:rPr>
      </w:pPr>
      <w:r w:rsidRPr="00E764FD">
        <w:rPr>
          <w:b/>
        </w:rPr>
        <w:t>Scuole secondarie di secondo grado</w:t>
      </w:r>
    </w:p>
    <w:p w14:paraId="54A65ABE" w14:textId="77777777" w:rsidR="00872434" w:rsidRPr="00A1110C" w:rsidRDefault="00872434" w:rsidP="00872434">
      <w:pPr>
        <w:spacing w:before="120" w:after="0" w:line="240" w:lineRule="auto"/>
      </w:pPr>
      <w:r>
        <w:t>La popolazione studentesca iscritta per l’anno scolastico 2024-2025</w:t>
      </w:r>
      <w:r>
        <w:rPr>
          <w:rStyle w:val="Rimandonotaapidipagina"/>
        </w:rPr>
        <w:footnoteReference w:id="19"/>
      </w:r>
      <w:r>
        <w:t xml:space="preserve"> alle scuole secondarie di secondo grado per le province di Asti e Alessandria è costituita da quasi 23 mila soggetti distribuiti su 52 plessi scolastici, per lo più concentrati nei capoluoghi di provincia e nei comuni di Casale Monferrato, Acqui Terme, Novi Ligure e Tortona.</w:t>
      </w:r>
    </w:p>
    <w:p w14:paraId="0CF4149A" w14:textId="77777777" w:rsidR="00872434" w:rsidRPr="00166862" w:rsidRDefault="00872434" w:rsidP="00872434">
      <w:pPr>
        <w:spacing w:before="120" w:after="0" w:line="240" w:lineRule="auto"/>
        <w:jc w:val="center"/>
        <w:rPr>
          <w:color w:val="EE0000"/>
        </w:rPr>
      </w:pPr>
      <w:r w:rsidRPr="00166862">
        <w:rPr>
          <w:noProof/>
          <w:color w:val="EE0000"/>
        </w:rPr>
        <w:drawing>
          <wp:inline distT="0" distB="0" distL="0" distR="0" wp14:anchorId="240DA63C" wp14:editId="3AAF1A66">
            <wp:extent cx="6120000" cy="4330946"/>
            <wp:effectExtent l="0" t="0" r="0" b="0"/>
            <wp:docPr id="1075973271"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73271" name="Immagine 1" descr="Immagine che contiene mappa, testo, atlante, diagramma&#10;&#10;Descrizione generata automaticament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20000" cy="4330946"/>
                    </a:xfrm>
                    <a:prstGeom prst="rect">
                      <a:avLst/>
                    </a:prstGeom>
                    <a:noFill/>
                    <a:ln>
                      <a:noFill/>
                    </a:ln>
                  </pic:spPr>
                </pic:pic>
              </a:graphicData>
            </a:graphic>
          </wp:inline>
        </w:drawing>
      </w:r>
    </w:p>
    <w:p w14:paraId="0AC708CD" w14:textId="25564212" w:rsidR="00872434" w:rsidRDefault="00872434" w:rsidP="00872434">
      <w:pPr>
        <w:pStyle w:val="Didascalia"/>
        <w:jc w:val="center"/>
      </w:pPr>
      <w:r w:rsidRPr="00002207">
        <w:t xml:space="preserve">Figura </w:t>
      </w:r>
      <w:r>
        <w:fldChar w:fldCharType="begin"/>
      </w:r>
      <w:r>
        <w:instrText xml:space="preserve"> SEQ Figura \* ARABIC </w:instrText>
      </w:r>
      <w:r>
        <w:fldChar w:fldCharType="separate"/>
      </w:r>
      <w:r w:rsidR="00670903">
        <w:rPr>
          <w:noProof/>
        </w:rPr>
        <w:t>13</w:t>
      </w:r>
      <w:r>
        <w:rPr>
          <w:noProof/>
        </w:rPr>
        <w:fldChar w:fldCharType="end"/>
      </w:r>
      <w:r w:rsidRPr="00002207">
        <w:t xml:space="preserve"> – Localizzazione</w:t>
      </w:r>
      <w:r>
        <w:t xml:space="preserve"> delle scuole secondarie di secondo grado</w:t>
      </w:r>
    </w:p>
    <w:p w14:paraId="10A96470" w14:textId="77777777" w:rsidR="00872434" w:rsidRDefault="00872434" w:rsidP="00872434">
      <w:pPr>
        <w:spacing w:before="120" w:after="0" w:line="240" w:lineRule="auto"/>
      </w:pPr>
      <w:r>
        <w:t>L’elaborazione dei dati demografici ISTAT 2024 può darci la fotografia dell’andamento della futura popolazione in età scolare all’interno del Bacino Sud Est, per quanto attiene tale fascia si assisterà ad una diminuzione progressiva legata al tasso negativo di natalità in corso già da anni con una riduzione progressiva tra dall’ 2,5% al 3,2% per anno.</w:t>
      </w:r>
      <w:r w:rsidRPr="00565F99">
        <w:t xml:space="preserve"> </w:t>
      </w:r>
      <w:r>
        <w:t>In particolare, per quanto attiene gli studenti delle scuole secondarie di secondo grado, se si raffronta il dato fornito dal MIUR sugli iscritti all’anno scolastico 2024-2025 e il dato ISTAT dei nati tra il 2006 e il 2010, si ha un rapporto del 85% di giovani inseriti nel sistema scolastico pubblico del bacino di riferimento.</w:t>
      </w:r>
    </w:p>
    <w:p w14:paraId="4D7EC67F" w14:textId="77777777" w:rsidR="00872434" w:rsidRDefault="00872434" w:rsidP="00872434">
      <w:pPr>
        <w:spacing w:before="120" w:after="0" w:line="240" w:lineRule="auto"/>
      </w:pPr>
      <w:r>
        <w:lastRenderedPageBreak/>
        <w:t xml:space="preserve">Nel grafico sottostante sono riportati i dati relativi alla popolazione in età scolare prevista negli anni di riferimento dei futuri affidamenti (2027-2032). </w:t>
      </w:r>
    </w:p>
    <w:p w14:paraId="1391DD9E" w14:textId="77777777" w:rsidR="00872434" w:rsidRDefault="00872434" w:rsidP="00872434">
      <w:pPr>
        <w:spacing w:before="120" w:after="0" w:line="240" w:lineRule="auto"/>
      </w:pPr>
      <w:r w:rsidRPr="00441A0B">
        <w:rPr>
          <w:noProof/>
        </w:rPr>
        <w:drawing>
          <wp:inline distT="0" distB="0" distL="0" distR="0" wp14:anchorId="6A948349" wp14:editId="5E7D6541">
            <wp:extent cx="5760720" cy="2236470"/>
            <wp:effectExtent l="0" t="0" r="0" b="0"/>
            <wp:docPr id="190934195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2236470"/>
                    </a:xfrm>
                    <a:prstGeom prst="rect">
                      <a:avLst/>
                    </a:prstGeom>
                    <a:noFill/>
                    <a:ln>
                      <a:noFill/>
                    </a:ln>
                  </pic:spPr>
                </pic:pic>
              </a:graphicData>
            </a:graphic>
          </wp:inline>
        </w:drawing>
      </w:r>
    </w:p>
    <w:p w14:paraId="5DEFA3F4" w14:textId="1CC8E2B9" w:rsidR="00872434" w:rsidRDefault="00872434" w:rsidP="00872434">
      <w:pPr>
        <w:pStyle w:val="Didascalia"/>
        <w:jc w:val="center"/>
      </w:pPr>
      <w:r w:rsidRPr="008E73B3">
        <w:t xml:space="preserve">Figura </w:t>
      </w:r>
      <w:r>
        <w:fldChar w:fldCharType="begin"/>
      </w:r>
      <w:r>
        <w:instrText xml:space="preserve"> SEQ Figura \* ARABIC </w:instrText>
      </w:r>
      <w:r>
        <w:fldChar w:fldCharType="separate"/>
      </w:r>
      <w:r w:rsidR="00670903">
        <w:rPr>
          <w:noProof/>
        </w:rPr>
        <w:t>14</w:t>
      </w:r>
      <w:r>
        <w:rPr>
          <w:noProof/>
        </w:rPr>
        <w:fldChar w:fldCharType="end"/>
      </w:r>
      <w:r w:rsidRPr="008E73B3">
        <w:t xml:space="preserve"> – </w:t>
      </w:r>
      <w:r>
        <w:t>Andamento potenziale della popolazione in età scolare</w:t>
      </w:r>
    </w:p>
    <w:p w14:paraId="4D71B243" w14:textId="77777777" w:rsidR="00872434" w:rsidRDefault="00872434" w:rsidP="00872434">
      <w:pPr>
        <w:spacing w:before="120" w:after="0" w:line="240" w:lineRule="auto"/>
      </w:pPr>
      <w:r w:rsidRPr="00E764FD">
        <w:t>Sui dati sopra riportati si può stimare la popolazione scolastica se si presuppone un mantenimento del tasso d’iscrizione pari a quello registrato nel 2024. Per tanto si può prevedere che la popolazione scolastica passi da circa 2</w:t>
      </w:r>
      <w:r>
        <w:t>2</w:t>
      </w:r>
      <w:r w:rsidRPr="00E764FD">
        <w:t>.</w:t>
      </w:r>
      <w:r>
        <w:t>335</w:t>
      </w:r>
      <w:r w:rsidRPr="00E764FD">
        <w:t xml:space="preserve"> unità per l’anno scolastico 2026-2027 a circa </w:t>
      </w:r>
      <w:r>
        <w:t>19.500</w:t>
      </w:r>
      <w:r w:rsidRPr="00E764FD">
        <w:t xml:space="preserve"> unità nell’anno scolastico 2031-2032.</w:t>
      </w:r>
    </w:p>
    <w:p w14:paraId="1DD0A064" w14:textId="77777777" w:rsidR="00872434" w:rsidRPr="00E764FD" w:rsidRDefault="00872434" w:rsidP="00872434">
      <w:pPr>
        <w:spacing w:before="120" w:after="0" w:line="240" w:lineRule="auto"/>
      </w:pPr>
    </w:p>
    <w:tbl>
      <w:tblPr>
        <w:tblW w:w="58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960"/>
        <w:gridCol w:w="1960"/>
        <w:gridCol w:w="1960"/>
      </w:tblGrid>
      <w:tr w:rsidR="00872434" w:rsidRPr="006A089D" w14:paraId="583952EB" w14:textId="77777777" w:rsidTr="002A21C0">
        <w:trPr>
          <w:trHeight w:val="20"/>
          <w:jc w:val="center"/>
        </w:trPr>
        <w:tc>
          <w:tcPr>
            <w:tcW w:w="1960" w:type="dxa"/>
            <w:tcBorders>
              <w:bottom w:val="nil"/>
            </w:tcBorders>
            <w:shd w:val="clear" w:color="auto" w:fill="A5C34C" w:themeFill="accent6" w:themeFillShade="BF"/>
            <w:noWrap/>
            <w:vAlign w:val="center"/>
            <w:hideMark/>
          </w:tcPr>
          <w:p w14:paraId="67A5CCF4"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Anno</w:t>
            </w:r>
          </w:p>
        </w:tc>
        <w:tc>
          <w:tcPr>
            <w:tcW w:w="1960" w:type="dxa"/>
            <w:vMerge w:val="restart"/>
            <w:shd w:val="clear" w:color="auto" w:fill="A5C34C" w:themeFill="accent6" w:themeFillShade="BF"/>
            <w:noWrap/>
            <w:vAlign w:val="center"/>
            <w:hideMark/>
          </w:tcPr>
          <w:p w14:paraId="5EB4A86C"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13-18</w:t>
            </w:r>
          </w:p>
        </w:tc>
        <w:tc>
          <w:tcPr>
            <w:tcW w:w="1960" w:type="dxa"/>
            <w:vMerge w:val="restart"/>
            <w:shd w:val="clear" w:color="auto" w:fill="A5C34C" w:themeFill="accent6" w:themeFillShade="BF"/>
            <w:noWrap/>
            <w:vAlign w:val="center"/>
            <w:hideMark/>
          </w:tcPr>
          <w:p w14:paraId="53AE13C5"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studentesca</w:t>
            </w:r>
          </w:p>
        </w:tc>
      </w:tr>
      <w:tr w:rsidR="00872434" w:rsidRPr="006A089D" w14:paraId="4657203A" w14:textId="77777777" w:rsidTr="002A21C0">
        <w:trPr>
          <w:trHeight w:val="20"/>
          <w:jc w:val="center"/>
        </w:trPr>
        <w:tc>
          <w:tcPr>
            <w:tcW w:w="1960" w:type="dxa"/>
            <w:tcBorders>
              <w:top w:val="nil"/>
            </w:tcBorders>
            <w:shd w:val="clear" w:color="auto" w:fill="A5C34C" w:themeFill="accent6" w:themeFillShade="BF"/>
            <w:noWrap/>
            <w:vAlign w:val="center"/>
            <w:hideMark/>
          </w:tcPr>
          <w:p w14:paraId="2A2EDFDB"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Scolastico</w:t>
            </w:r>
          </w:p>
        </w:tc>
        <w:tc>
          <w:tcPr>
            <w:tcW w:w="1960" w:type="dxa"/>
            <w:vMerge/>
            <w:shd w:val="clear" w:color="auto" w:fill="FFC000"/>
            <w:vAlign w:val="center"/>
            <w:hideMark/>
          </w:tcPr>
          <w:p w14:paraId="634EB045"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p>
        </w:tc>
        <w:tc>
          <w:tcPr>
            <w:tcW w:w="1960" w:type="dxa"/>
            <w:vMerge/>
            <w:shd w:val="clear" w:color="auto" w:fill="FFC000"/>
            <w:vAlign w:val="center"/>
            <w:hideMark/>
          </w:tcPr>
          <w:p w14:paraId="5CCD2D7E" w14:textId="77777777" w:rsidR="00872434" w:rsidRPr="006A089D" w:rsidRDefault="00872434" w:rsidP="002A21C0">
            <w:pPr>
              <w:spacing w:after="0" w:line="240" w:lineRule="auto"/>
              <w:jc w:val="center"/>
              <w:rPr>
                <w:rFonts w:ascii="Calibri" w:eastAsia="Times New Roman" w:hAnsi="Calibri" w:cs="Calibri"/>
                <w:b/>
                <w:bCs/>
                <w:color w:val="000000"/>
                <w:sz w:val="20"/>
                <w:szCs w:val="20"/>
              </w:rPr>
            </w:pPr>
          </w:p>
        </w:tc>
      </w:tr>
      <w:tr w:rsidR="00872434" w:rsidRPr="006A089D" w14:paraId="3439B412" w14:textId="77777777" w:rsidTr="002A21C0">
        <w:trPr>
          <w:trHeight w:val="20"/>
          <w:jc w:val="center"/>
        </w:trPr>
        <w:tc>
          <w:tcPr>
            <w:tcW w:w="1960" w:type="dxa"/>
            <w:noWrap/>
            <w:vAlign w:val="center"/>
            <w:hideMark/>
          </w:tcPr>
          <w:p w14:paraId="177C28AA"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26-27</w:t>
            </w:r>
          </w:p>
        </w:tc>
        <w:tc>
          <w:tcPr>
            <w:tcW w:w="1960" w:type="dxa"/>
            <w:noWrap/>
            <w:hideMark/>
          </w:tcPr>
          <w:p w14:paraId="1130C233"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26.276 </w:t>
            </w:r>
          </w:p>
        </w:tc>
        <w:tc>
          <w:tcPr>
            <w:tcW w:w="1960" w:type="dxa"/>
            <w:noWrap/>
            <w:hideMark/>
          </w:tcPr>
          <w:p w14:paraId="1696DA19"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22.335 </w:t>
            </w:r>
          </w:p>
        </w:tc>
      </w:tr>
      <w:tr w:rsidR="00872434" w:rsidRPr="006A089D" w14:paraId="120755D4" w14:textId="77777777" w:rsidTr="002A21C0">
        <w:trPr>
          <w:trHeight w:val="20"/>
          <w:jc w:val="center"/>
        </w:trPr>
        <w:tc>
          <w:tcPr>
            <w:tcW w:w="1960" w:type="dxa"/>
            <w:noWrap/>
            <w:vAlign w:val="center"/>
            <w:hideMark/>
          </w:tcPr>
          <w:p w14:paraId="24BDD8DA"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27-28</w:t>
            </w:r>
          </w:p>
        </w:tc>
        <w:tc>
          <w:tcPr>
            <w:tcW w:w="1960" w:type="dxa"/>
            <w:noWrap/>
            <w:hideMark/>
          </w:tcPr>
          <w:p w14:paraId="2234F385"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25.671 </w:t>
            </w:r>
          </w:p>
        </w:tc>
        <w:tc>
          <w:tcPr>
            <w:tcW w:w="1960" w:type="dxa"/>
            <w:noWrap/>
            <w:hideMark/>
          </w:tcPr>
          <w:p w14:paraId="646F045D"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21.820 </w:t>
            </w:r>
          </w:p>
        </w:tc>
      </w:tr>
      <w:tr w:rsidR="00872434" w:rsidRPr="006A089D" w14:paraId="22F8BA83" w14:textId="77777777" w:rsidTr="002A21C0">
        <w:trPr>
          <w:trHeight w:val="20"/>
          <w:jc w:val="center"/>
        </w:trPr>
        <w:tc>
          <w:tcPr>
            <w:tcW w:w="1960" w:type="dxa"/>
            <w:noWrap/>
            <w:vAlign w:val="center"/>
            <w:hideMark/>
          </w:tcPr>
          <w:p w14:paraId="3E746B06"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28-29</w:t>
            </w:r>
          </w:p>
        </w:tc>
        <w:tc>
          <w:tcPr>
            <w:tcW w:w="1960" w:type="dxa"/>
            <w:noWrap/>
            <w:hideMark/>
          </w:tcPr>
          <w:p w14:paraId="133AAA30"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24.966 </w:t>
            </w:r>
          </w:p>
        </w:tc>
        <w:tc>
          <w:tcPr>
            <w:tcW w:w="1960" w:type="dxa"/>
            <w:noWrap/>
            <w:hideMark/>
          </w:tcPr>
          <w:p w14:paraId="4C9FA138"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21.221 </w:t>
            </w:r>
          </w:p>
        </w:tc>
      </w:tr>
      <w:tr w:rsidR="00872434" w:rsidRPr="006A089D" w14:paraId="6A6D76BF" w14:textId="77777777" w:rsidTr="002A21C0">
        <w:trPr>
          <w:trHeight w:val="20"/>
          <w:jc w:val="center"/>
        </w:trPr>
        <w:tc>
          <w:tcPr>
            <w:tcW w:w="1960" w:type="dxa"/>
            <w:noWrap/>
            <w:vAlign w:val="center"/>
            <w:hideMark/>
          </w:tcPr>
          <w:p w14:paraId="3B17ECE9"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29-30</w:t>
            </w:r>
          </w:p>
        </w:tc>
        <w:tc>
          <w:tcPr>
            <w:tcW w:w="1960" w:type="dxa"/>
            <w:noWrap/>
            <w:hideMark/>
          </w:tcPr>
          <w:p w14:paraId="1FE87EC3"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24.355 </w:t>
            </w:r>
          </w:p>
        </w:tc>
        <w:tc>
          <w:tcPr>
            <w:tcW w:w="1960" w:type="dxa"/>
            <w:noWrap/>
            <w:hideMark/>
          </w:tcPr>
          <w:p w14:paraId="3553C9B2"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20.702 </w:t>
            </w:r>
          </w:p>
        </w:tc>
      </w:tr>
      <w:tr w:rsidR="00872434" w:rsidRPr="006A089D" w14:paraId="337B10CE" w14:textId="77777777" w:rsidTr="002A21C0">
        <w:trPr>
          <w:trHeight w:val="20"/>
          <w:jc w:val="center"/>
        </w:trPr>
        <w:tc>
          <w:tcPr>
            <w:tcW w:w="1960" w:type="dxa"/>
            <w:noWrap/>
            <w:vAlign w:val="center"/>
            <w:hideMark/>
          </w:tcPr>
          <w:p w14:paraId="0471695D"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30-31</w:t>
            </w:r>
          </w:p>
        </w:tc>
        <w:tc>
          <w:tcPr>
            <w:tcW w:w="1960" w:type="dxa"/>
            <w:noWrap/>
            <w:hideMark/>
          </w:tcPr>
          <w:p w14:paraId="0DE3BE73"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23.696 </w:t>
            </w:r>
          </w:p>
        </w:tc>
        <w:tc>
          <w:tcPr>
            <w:tcW w:w="1960" w:type="dxa"/>
            <w:noWrap/>
            <w:hideMark/>
          </w:tcPr>
          <w:p w14:paraId="750DF4F3"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20.142 </w:t>
            </w:r>
          </w:p>
        </w:tc>
      </w:tr>
      <w:tr w:rsidR="00872434" w:rsidRPr="006A089D" w14:paraId="139152F7" w14:textId="77777777" w:rsidTr="002A21C0">
        <w:trPr>
          <w:trHeight w:val="20"/>
          <w:jc w:val="center"/>
        </w:trPr>
        <w:tc>
          <w:tcPr>
            <w:tcW w:w="1960" w:type="dxa"/>
            <w:noWrap/>
            <w:vAlign w:val="center"/>
            <w:hideMark/>
          </w:tcPr>
          <w:p w14:paraId="13407280" w14:textId="77777777" w:rsidR="00872434" w:rsidRPr="006A089D" w:rsidRDefault="00872434" w:rsidP="002A21C0">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31-32</w:t>
            </w:r>
          </w:p>
        </w:tc>
        <w:tc>
          <w:tcPr>
            <w:tcW w:w="1960" w:type="dxa"/>
            <w:noWrap/>
            <w:hideMark/>
          </w:tcPr>
          <w:p w14:paraId="2A754CCD"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22.935 </w:t>
            </w:r>
          </w:p>
        </w:tc>
        <w:tc>
          <w:tcPr>
            <w:tcW w:w="1960" w:type="dxa"/>
            <w:noWrap/>
            <w:hideMark/>
          </w:tcPr>
          <w:p w14:paraId="71102611" w14:textId="77777777" w:rsidR="00872434" w:rsidRPr="004F2299" w:rsidRDefault="00872434" w:rsidP="002A21C0">
            <w:pPr>
              <w:spacing w:after="0" w:line="240" w:lineRule="auto"/>
              <w:jc w:val="center"/>
              <w:rPr>
                <w:rFonts w:ascii="Calibri" w:eastAsia="Times New Roman" w:hAnsi="Calibri" w:cs="Calibri"/>
                <w:color w:val="000000"/>
                <w:sz w:val="20"/>
                <w:szCs w:val="20"/>
              </w:rPr>
            </w:pPr>
            <w:r w:rsidRPr="004F2299">
              <w:rPr>
                <w:sz w:val="20"/>
                <w:szCs w:val="20"/>
              </w:rPr>
              <w:t xml:space="preserve"> 19.495 </w:t>
            </w:r>
          </w:p>
        </w:tc>
      </w:tr>
    </w:tbl>
    <w:p w14:paraId="492879B7" w14:textId="56F9DC64" w:rsidR="00872434" w:rsidRDefault="00872434" w:rsidP="00872434">
      <w:pPr>
        <w:pStyle w:val="Didascalia"/>
        <w:jc w:val="center"/>
      </w:pPr>
      <w:r>
        <w:t xml:space="preserve">Tabella </w:t>
      </w:r>
      <w:r>
        <w:fldChar w:fldCharType="begin"/>
      </w:r>
      <w:r>
        <w:instrText xml:space="preserve"> SEQ Tabella \* ARABIC </w:instrText>
      </w:r>
      <w:r>
        <w:fldChar w:fldCharType="separate"/>
      </w:r>
      <w:r w:rsidR="00670903">
        <w:rPr>
          <w:noProof/>
        </w:rPr>
        <w:t>25</w:t>
      </w:r>
      <w:r>
        <w:rPr>
          <w:noProof/>
        </w:rPr>
        <w:fldChar w:fldCharType="end"/>
      </w:r>
      <w:r>
        <w:t xml:space="preserve"> – Stima della popolazione studentesca del TPL</w:t>
      </w:r>
    </w:p>
    <w:p w14:paraId="30D22CDC" w14:textId="77777777" w:rsidR="00872434" w:rsidRDefault="00872434" w:rsidP="00872434">
      <w:pPr>
        <w:spacing w:before="120" w:after="0" w:line="240" w:lineRule="auto"/>
      </w:pPr>
      <w:bookmarkStart w:id="174" w:name="_Toc1543929158"/>
      <w:bookmarkStart w:id="175" w:name="_Toc197695676"/>
      <w:bookmarkStart w:id="176" w:name="_Toc204616489"/>
      <w:r>
        <w:t>Infine, è possibile dare un inquadramento dell’andamento della popolazione in età scolare suddividendola in base alle residenze fra le due aree di autocontenimento viste in precedenza, corrispondenti ai confini amministrativi delle due province.</w:t>
      </w:r>
    </w:p>
    <w:p w14:paraId="0A0FC36D" w14:textId="77777777" w:rsidR="00872434" w:rsidRDefault="00872434" w:rsidP="00872434">
      <w:pPr>
        <w:spacing w:before="120" w:after="0" w:line="240" w:lineRule="auto"/>
      </w:pPr>
      <w:r>
        <w:t xml:space="preserve">Seppur in decrescita per entrambe le zone, si rileva che nella provincia di Alessandria vivono quasi il doppio di giovani compresi fra i 6 e i 19 anni, ma che tale scostamento è lievemente in diminuzione negli anni (+18.737 nel 2024, + 15.847 nel 2029). </w:t>
      </w:r>
    </w:p>
    <w:p w14:paraId="19C8D55C" w14:textId="77777777" w:rsidR="00872434" w:rsidRDefault="00872434" w:rsidP="00872434">
      <w:pPr>
        <w:spacing w:before="120" w:after="0" w:line="240" w:lineRule="auto"/>
      </w:pPr>
    </w:p>
    <w:p w14:paraId="48ADFD11" w14:textId="77777777" w:rsidR="00872434" w:rsidRDefault="00872434" w:rsidP="00872434">
      <w:pPr>
        <w:spacing w:before="120" w:after="0" w:line="240" w:lineRule="auto"/>
        <w:jc w:val="center"/>
      </w:pPr>
      <w:r>
        <w:rPr>
          <w:noProof/>
        </w:rPr>
        <w:lastRenderedPageBreak/>
        <w:drawing>
          <wp:inline distT="0" distB="0" distL="0" distR="0" wp14:anchorId="0BA2515F" wp14:editId="7DE216D6">
            <wp:extent cx="5759450" cy="3367697"/>
            <wp:effectExtent l="0" t="0" r="0" b="4445"/>
            <wp:docPr id="1459476847" name="Immagine 2"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76847" name="Immagine 2" descr="Immagine che contiene testo, schermata, linea, Diagramma&#10;&#10;Descrizione generata automaticament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3367697"/>
                    </a:xfrm>
                    <a:prstGeom prst="rect">
                      <a:avLst/>
                    </a:prstGeom>
                    <a:noFill/>
                  </pic:spPr>
                </pic:pic>
              </a:graphicData>
            </a:graphic>
          </wp:inline>
        </w:drawing>
      </w:r>
    </w:p>
    <w:p w14:paraId="55D25C6D" w14:textId="4CDEFFC5" w:rsidR="00872434" w:rsidRDefault="00872434" w:rsidP="00872434">
      <w:pPr>
        <w:pStyle w:val="Didascalia"/>
        <w:jc w:val="center"/>
      </w:pPr>
      <w:r w:rsidRPr="00002207">
        <w:t xml:space="preserve">Figura </w:t>
      </w:r>
      <w:r>
        <w:fldChar w:fldCharType="begin"/>
      </w:r>
      <w:r>
        <w:instrText xml:space="preserve"> SEQ Figura \* ARABIC </w:instrText>
      </w:r>
      <w:r>
        <w:fldChar w:fldCharType="separate"/>
      </w:r>
      <w:r w:rsidR="00670903">
        <w:rPr>
          <w:noProof/>
        </w:rPr>
        <w:t>15</w:t>
      </w:r>
      <w:r>
        <w:rPr>
          <w:noProof/>
        </w:rPr>
        <w:fldChar w:fldCharType="end"/>
      </w:r>
      <w:r w:rsidRPr="00002207">
        <w:t xml:space="preserve"> – Andamento</w:t>
      </w:r>
      <w:r>
        <w:t xml:space="preserve"> popolazione 6-19 anni per aree territoriali</w:t>
      </w:r>
    </w:p>
    <w:p w14:paraId="0230A6FB" w14:textId="77777777" w:rsidR="00872434" w:rsidRPr="00740789" w:rsidRDefault="00872434" w:rsidP="00872434">
      <w:pPr>
        <w:spacing w:before="120" w:after="0" w:line="240" w:lineRule="auto"/>
        <w:rPr>
          <w:b/>
        </w:rPr>
      </w:pPr>
      <w:r w:rsidRPr="00740789">
        <w:rPr>
          <w:b/>
        </w:rPr>
        <w:t>Università</w:t>
      </w:r>
    </w:p>
    <w:p w14:paraId="1F829572" w14:textId="77777777" w:rsidR="00872434" w:rsidRDefault="00872434" w:rsidP="00872434">
      <w:pPr>
        <w:spacing w:before="120" w:after="0" w:line="240" w:lineRule="auto"/>
      </w:pPr>
      <w:r>
        <w:t>In merito alla</w:t>
      </w:r>
      <w:r w:rsidRPr="00740789">
        <w:t xml:space="preserve"> popolazione universitaria, </w:t>
      </w:r>
      <w:r>
        <w:t>nel Bacino Sud Est si trovano i distaccamenti dell’Università degli Studi di Torino, del Politecnico di Torino e due poli dell’Università del Piemonte Orientale.</w:t>
      </w:r>
    </w:p>
    <w:p w14:paraId="6FABFAF9" w14:textId="77777777" w:rsidR="00872434" w:rsidRDefault="00872434" w:rsidP="00872434">
      <w:pPr>
        <w:spacing w:before="120" w:after="0" w:line="240" w:lineRule="auto"/>
      </w:pPr>
      <w:r>
        <w:t>L’Università degli Studi di Torino ha una sede distaccata nella città di Asti che conta più di 1000 studenti, suddivisi per provenienza nella seguente tabella</w:t>
      </w:r>
      <w:r w:rsidRPr="00740789">
        <w:rPr>
          <w:rStyle w:val="Rimandonotaapidipagina"/>
        </w:rPr>
        <w:footnoteReference w:id="20"/>
      </w:r>
    </w:p>
    <w:p w14:paraId="33C81B05" w14:textId="77777777" w:rsidR="00872434" w:rsidRDefault="00872434" w:rsidP="00872434">
      <w:pPr>
        <w:spacing w:before="120" w:after="0" w:line="240" w:lineRule="auto"/>
      </w:pPr>
    </w:p>
    <w:tbl>
      <w:tblPr>
        <w:tblW w:w="8300" w:type="dxa"/>
        <w:tblInd w:w="261" w:type="dxa"/>
        <w:tblCellMar>
          <w:left w:w="0" w:type="dxa"/>
          <w:right w:w="0" w:type="dxa"/>
        </w:tblCellMar>
        <w:tblLook w:val="04A0" w:firstRow="1" w:lastRow="0" w:firstColumn="1" w:lastColumn="0" w:noHBand="0" w:noVBand="1"/>
      </w:tblPr>
      <w:tblGrid>
        <w:gridCol w:w="5988"/>
        <w:gridCol w:w="1101"/>
        <w:gridCol w:w="1211"/>
      </w:tblGrid>
      <w:tr w:rsidR="00872434" w:rsidRPr="006A089D" w14:paraId="4D811A4F" w14:textId="77777777" w:rsidTr="002A21C0">
        <w:trPr>
          <w:trHeight w:val="281"/>
        </w:trPr>
        <w:tc>
          <w:tcPr>
            <w:tcW w:w="5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5C34C" w:themeFill="accent6" w:themeFillShade="BF"/>
            <w:tcMar>
              <w:top w:w="15" w:type="dxa"/>
              <w:left w:w="15" w:type="dxa"/>
              <w:bottom w:w="0" w:type="dxa"/>
              <w:right w:w="15" w:type="dxa"/>
            </w:tcMar>
            <w:vAlign w:val="center"/>
            <w:hideMark/>
          </w:tcPr>
          <w:p w14:paraId="1EC14C56" w14:textId="77777777" w:rsidR="00872434" w:rsidRPr="0060211F" w:rsidRDefault="00872434" w:rsidP="002A21C0">
            <w:pPr>
              <w:spacing w:after="0" w:line="240" w:lineRule="auto"/>
              <w:jc w:val="left"/>
              <w:rPr>
                <w:rFonts w:ascii="Calibri" w:eastAsia="Times New Roman" w:hAnsi="Calibri" w:cs="Calibri"/>
                <w:b/>
                <w:bCs/>
                <w:color w:val="000000"/>
                <w:sz w:val="20"/>
                <w:szCs w:val="20"/>
              </w:rPr>
            </w:pPr>
            <w:r w:rsidRPr="0060211F">
              <w:rPr>
                <w:rFonts w:ascii="Calibri" w:eastAsia="Times New Roman" w:hAnsi="Calibri" w:cs="Calibri"/>
                <w:b/>
                <w:bCs/>
                <w:color w:val="000000"/>
                <w:sz w:val="20"/>
                <w:szCs w:val="20"/>
              </w:rPr>
              <w:t xml:space="preserve">Sede di </w:t>
            </w:r>
            <w:r>
              <w:rPr>
                <w:rFonts w:ascii="Calibri" w:eastAsia="Times New Roman" w:hAnsi="Calibri" w:cs="Calibri"/>
                <w:b/>
                <w:bCs/>
                <w:color w:val="000000"/>
                <w:sz w:val="20"/>
                <w:szCs w:val="20"/>
              </w:rPr>
              <w:t>ASTI</w:t>
            </w:r>
            <w:r w:rsidRPr="0060211F">
              <w:rPr>
                <w:rFonts w:ascii="Calibri" w:eastAsia="Times New Roman" w:hAnsi="Calibri" w:cs="Calibri"/>
                <w:b/>
                <w:bCs/>
                <w:color w:val="000000"/>
                <w:sz w:val="20"/>
                <w:szCs w:val="20"/>
              </w:rPr>
              <w:t xml:space="preserve"> - provenienza studenti (fino 3° anno fuori corso)</w:t>
            </w:r>
          </w:p>
        </w:tc>
        <w:tc>
          <w:tcPr>
            <w:tcW w:w="110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5C34C" w:themeFill="accent6" w:themeFillShade="BF"/>
            <w:tcMar>
              <w:top w:w="15" w:type="dxa"/>
              <w:left w:w="15" w:type="dxa"/>
              <w:bottom w:w="0" w:type="dxa"/>
              <w:right w:w="15" w:type="dxa"/>
            </w:tcMar>
            <w:vAlign w:val="center"/>
            <w:hideMark/>
          </w:tcPr>
          <w:p w14:paraId="789A3796" w14:textId="77777777" w:rsidR="00872434" w:rsidRPr="0060211F" w:rsidRDefault="00872434" w:rsidP="002A21C0">
            <w:pPr>
              <w:spacing w:after="0" w:line="240" w:lineRule="auto"/>
              <w:jc w:val="center"/>
              <w:rPr>
                <w:rFonts w:ascii="Calibri" w:eastAsia="Times New Roman" w:hAnsi="Calibri" w:cs="Calibri"/>
                <w:b/>
                <w:bCs/>
                <w:color w:val="000000"/>
                <w:sz w:val="20"/>
                <w:szCs w:val="20"/>
              </w:rPr>
            </w:pPr>
            <w:r w:rsidRPr="0060211F">
              <w:rPr>
                <w:rFonts w:ascii="Calibri" w:eastAsia="Times New Roman" w:hAnsi="Calibri" w:cs="Calibri"/>
                <w:b/>
                <w:bCs/>
                <w:color w:val="000000"/>
                <w:sz w:val="20"/>
                <w:szCs w:val="20"/>
              </w:rPr>
              <w:t>n</w:t>
            </w:r>
          </w:p>
        </w:tc>
        <w:tc>
          <w:tcPr>
            <w:tcW w:w="121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5C34C" w:themeFill="accent6" w:themeFillShade="BF"/>
            <w:tcMar>
              <w:top w:w="15" w:type="dxa"/>
              <w:left w:w="15" w:type="dxa"/>
              <w:bottom w:w="0" w:type="dxa"/>
              <w:right w:w="15" w:type="dxa"/>
            </w:tcMar>
            <w:vAlign w:val="center"/>
            <w:hideMark/>
          </w:tcPr>
          <w:p w14:paraId="4F53661C" w14:textId="77777777" w:rsidR="00872434" w:rsidRPr="0060211F" w:rsidRDefault="00872434" w:rsidP="002A21C0">
            <w:pPr>
              <w:spacing w:after="0" w:line="240" w:lineRule="auto"/>
              <w:jc w:val="center"/>
              <w:rPr>
                <w:rFonts w:ascii="Calibri" w:eastAsia="Times New Roman" w:hAnsi="Calibri" w:cs="Calibri"/>
                <w:b/>
                <w:bCs/>
                <w:color w:val="000000"/>
                <w:sz w:val="20"/>
                <w:szCs w:val="20"/>
              </w:rPr>
            </w:pPr>
            <w:r w:rsidRPr="0060211F">
              <w:rPr>
                <w:rFonts w:ascii="Calibri" w:eastAsia="Times New Roman" w:hAnsi="Calibri" w:cs="Calibri"/>
                <w:b/>
                <w:bCs/>
                <w:color w:val="000000"/>
                <w:sz w:val="20"/>
                <w:szCs w:val="20"/>
              </w:rPr>
              <w:t>%</w:t>
            </w:r>
          </w:p>
        </w:tc>
      </w:tr>
      <w:tr w:rsidR="00872434" w:rsidRPr="006A089D" w14:paraId="7C97FD7E" w14:textId="77777777" w:rsidTr="002A21C0">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6CDB363E" w14:textId="77777777" w:rsidR="00872434" w:rsidRPr="006A089D" w:rsidRDefault="00872434" w:rsidP="002A21C0">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 xml:space="preserve">Città di </w:t>
            </w:r>
            <w:r>
              <w:rPr>
                <w:rFonts w:eastAsia="Times New Roman" w:cstheme="minorHAnsi"/>
                <w:sz w:val="20"/>
                <w:szCs w:val="20"/>
                <w:bdr w:val="none" w:sz="0" w:space="0" w:color="auto" w:frame="1"/>
                <w:lang w:val="en-GB" w:eastAsia="en-GB"/>
              </w:rPr>
              <w:t>Asti</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30BCD7CB"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152</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57AF568B"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14,00</w:t>
            </w:r>
          </w:p>
        </w:tc>
      </w:tr>
      <w:tr w:rsidR="00872434" w:rsidRPr="006A089D" w14:paraId="1A5CCC3F" w14:textId="77777777" w:rsidTr="002A21C0">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6DE4B34C" w14:textId="77777777" w:rsidR="00872434" w:rsidRPr="006A089D" w:rsidRDefault="00872434" w:rsidP="002A21C0">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 xml:space="preserve">Provincia di </w:t>
            </w:r>
            <w:r>
              <w:rPr>
                <w:rFonts w:eastAsia="Times New Roman" w:cstheme="minorHAnsi"/>
                <w:sz w:val="20"/>
                <w:szCs w:val="20"/>
                <w:bdr w:val="none" w:sz="0" w:space="0" w:color="auto" w:frame="1"/>
                <w:lang w:eastAsia="en-GB"/>
              </w:rPr>
              <w:t>Asti</w:t>
            </w:r>
            <w:r w:rsidRPr="006A089D">
              <w:rPr>
                <w:rFonts w:eastAsia="Times New Roman" w:cstheme="minorHAnsi"/>
                <w:sz w:val="20"/>
                <w:szCs w:val="20"/>
                <w:bdr w:val="none" w:sz="0" w:space="0" w:color="auto" w:frame="1"/>
                <w:lang w:eastAsia="en-GB"/>
              </w:rPr>
              <w:t xml:space="preserve"> (esclusa Città di </w:t>
            </w:r>
            <w:r>
              <w:rPr>
                <w:rFonts w:eastAsia="Times New Roman" w:cstheme="minorHAnsi"/>
                <w:sz w:val="20"/>
                <w:szCs w:val="20"/>
                <w:bdr w:val="none" w:sz="0" w:space="0" w:color="auto" w:frame="1"/>
                <w:lang w:eastAsia="en-GB"/>
              </w:rPr>
              <w:t>Asti</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79BF536E"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149</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3BF0A7A9"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13,80</w:t>
            </w:r>
          </w:p>
        </w:tc>
      </w:tr>
      <w:tr w:rsidR="00872434" w:rsidRPr="006A089D" w14:paraId="221D4084" w14:textId="77777777" w:rsidTr="002A21C0">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75145C28" w14:textId="77777777" w:rsidR="00872434" w:rsidRPr="006A089D" w:rsidRDefault="00872434" w:rsidP="002A21C0">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 xml:space="preserve">Regione Piemonte (esclusa prov </w:t>
            </w:r>
            <w:r>
              <w:rPr>
                <w:rFonts w:eastAsia="Times New Roman" w:cstheme="minorHAnsi"/>
                <w:sz w:val="20"/>
                <w:szCs w:val="20"/>
                <w:bdr w:val="none" w:sz="0" w:space="0" w:color="auto" w:frame="1"/>
                <w:lang w:eastAsia="en-GB"/>
              </w:rPr>
              <w:t>AT</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2920717B"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643</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5CAE3467"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59,50</w:t>
            </w:r>
          </w:p>
        </w:tc>
      </w:tr>
      <w:tr w:rsidR="00872434" w:rsidRPr="006A089D" w14:paraId="5814057C" w14:textId="77777777" w:rsidTr="002A21C0">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5740CD69" w14:textId="77777777" w:rsidR="00872434" w:rsidRPr="006A089D" w:rsidRDefault="00872434" w:rsidP="002A21C0">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6C151D98"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137</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center"/>
            <w:hideMark/>
          </w:tcPr>
          <w:p w14:paraId="011D3201" w14:textId="77777777" w:rsidR="00872434" w:rsidRPr="006A089D" w:rsidRDefault="00872434" w:rsidP="002A21C0">
            <w:pPr>
              <w:spacing w:after="0" w:line="240" w:lineRule="auto"/>
              <w:jc w:val="right"/>
              <w:rPr>
                <w:rFonts w:eastAsia="Times New Roman" w:cstheme="minorHAnsi"/>
                <w:sz w:val="20"/>
                <w:szCs w:val="20"/>
                <w:lang w:val="en-GB" w:eastAsia="en-GB"/>
              </w:rPr>
            </w:pPr>
            <w:r>
              <w:rPr>
                <w:rFonts w:ascii="Calibri" w:hAnsi="Calibri" w:cs="Calibri"/>
                <w:color w:val="000000"/>
              </w:rPr>
              <w:t>12,70</w:t>
            </w:r>
          </w:p>
        </w:tc>
      </w:tr>
      <w:tr w:rsidR="00872434" w:rsidRPr="006A089D" w14:paraId="1E7EBD9E" w14:textId="77777777" w:rsidTr="002A21C0">
        <w:trPr>
          <w:trHeight w:val="20"/>
        </w:trPr>
        <w:tc>
          <w:tcPr>
            <w:tcW w:w="5988" w:type="dxa"/>
            <w:tcBorders>
              <w:top w:val="single" w:sz="8" w:space="0" w:color="A6A6A6" w:themeColor="background1" w:themeShade="A6"/>
              <w:right w:val="single" w:sz="8" w:space="0" w:color="A6A6A6" w:themeColor="background1" w:themeShade="A6"/>
            </w:tcBorders>
            <w:tcMar>
              <w:top w:w="15" w:type="dxa"/>
              <w:left w:w="90" w:type="dxa"/>
              <w:bottom w:w="0" w:type="dxa"/>
              <w:right w:w="15" w:type="dxa"/>
            </w:tcMar>
            <w:vAlign w:val="center"/>
            <w:hideMark/>
          </w:tcPr>
          <w:p w14:paraId="13235DF0" w14:textId="77777777" w:rsidR="00872434" w:rsidRPr="006A089D" w:rsidRDefault="00872434" w:rsidP="002A21C0">
            <w:pPr>
              <w:spacing w:after="0" w:line="240" w:lineRule="auto"/>
              <w:jc w:val="left"/>
              <w:rPr>
                <w:rFonts w:eastAsia="Times New Roman" w:cstheme="minorHAnsi"/>
                <w:sz w:val="20"/>
                <w:szCs w:val="20"/>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5C34C" w:themeFill="accent6" w:themeFillShade="BF"/>
            <w:tcMar>
              <w:top w:w="15" w:type="dxa"/>
              <w:left w:w="15" w:type="dxa"/>
              <w:bottom w:w="0" w:type="dxa"/>
              <w:right w:w="15" w:type="dxa"/>
            </w:tcMar>
            <w:vAlign w:val="center"/>
            <w:hideMark/>
          </w:tcPr>
          <w:p w14:paraId="4ED770BE" w14:textId="77777777" w:rsidR="00872434" w:rsidRPr="006A089D" w:rsidRDefault="00872434" w:rsidP="002A21C0">
            <w:pPr>
              <w:spacing w:after="0" w:line="240" w:lineRule="auto"/>
              <w:jc w:val="right"/>
              <w:rPr>
                <w:rFonts w:eastAsia="Times New Roman" w:cstheme="minorHAnsi"/>
                <w:b/>
                <w:bCs/>
                <w:sz w:val="20"/>
                <w:szCs w:val="20"/>
                <w:lang w:val="en-GB" w:eastAsia="en-GB"/>
              </w:rPr>
            </w:pPr>
            <w:r>
              <w:rPr>
                <w:rFonts w:ascii="Calibri" w:hAnsi="Calibri" w:cs="Calibri"/>
                <w:b/>
                <w:bCs/>
                <w:color w:val="000000"/>
              </w:rPr>
              <w:t>1.081</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5C34C" w:themeFill="accent6" w:themeFillShade="BF"/>
            <w:tcMar>
              <w:top w:w="15" w:type="dxa"/>
              <w:left w:w="15" w:type="dxa"/>
              <w:bottom w:w="0" w:type="dxa"/>
              <w:right w:w="15" w:type="dxa"/>
            </w:tcMar>
            <w:vAlign w:val="center"/>
            <w:hideMark/>
          </w:tcPr>
          <w:p w14:paraId="3A0CF779" w14:textId="77777777" w:rsidR="00872434" w:rsidRPr="006A089D" w:rsidRDefault="00872434" w:rsidP="002A21C0">
            <w:pPr>
              <w:spacing w:after="0" w:line="240" w:lineRule="auto"/>
              <w:jc w:val="right"/>
              <w:rPr>
                <w:rFonts w:eastAsia="Times New Roman" w:cstheme="minorHAnsi"/>
                <w:b/>
                <w:bCs/>
                <w:sz w:val="20"/>
                <w:szCs w:val="20"/>
                <w:lang w:val="en-GB" w:eastAsia="en-GB"/>
              </w:rPr>
            </w:pPr>
            <w:r>
              <w:rPr>
                <w:rFonts w:ascii="Calibri" w:hAnsi="Calibri" w:cs="Calibri"/>
                <w:b/>
                <w:bCs/>
                <w:color w:val="000000"/>
              </w:rPr>
              <w:t>100,00</w:t>
            </w:r>
          </w:p>
        </w:tc>
      </w:tr>
    </w:tbl>
    <w:p w14:paraId="7F3D1602" w14:textId="403EFEB1" w:rsidR="00872434" w:rsidRDefault="00872434" w:rsidP="00872434">
      <w:pPr>
        <w:pStyle w:val="Didascalia"/>
        <w:jc w:val="center"/>
      </w:pPr>
      <w:r>
        <w:t xml:space="preserve">Tabella </w:t>
      </w:r>
      <w:r>
        <w:fldChar w:fldCharType="begin"/>
      </w:r>
      <w:r>
        <w:instrText xml:space="preserve"> SEQ Tabella \* ARABIC </w:instrText>
      </w:r>
      <w:r>
        <w:fldChar w:fldCharType="separate"/>
      </w:r>
      <w:r w:rsidR="00670903">
        <w:rPr>
          <w:noProof/>
        </w:rPr>
        <w:t>26</w:t>
      </w:r>
      <w:r>
        <w:rPr>
          <w:noProof/>
        </w:rPr>
        <w:fldChar w:fldCharType="end"/>
      </w:r>
      <w:r>
        <w:t xml:space="preserve"> – Popolazione universitaria UNITO 2024-2025</w:t>
      </w:r>
    </w:p>
    <w:p w14:paraId="65825318" w14:textId="77777777" w:rsidR="00872434" w:rsidRDefault="00872434" w:rsidP="00872434">
      <w:pPr>
        <w:spacing w:before="120" w:after="0" w:line="240" w:lineRule="auto"/>
      </w:pPr>
      <w:r>
        <w:t>L</w:t>
      </w:r>
      <w:r w:rsidRPr="00740789">
        <w:t>’</w:t>
      </w:r>
      <w:r>
        <w:t>u</w:t>
      </w:r>
      <w:r w:rsidRPr="00740789">
        <w:t>niversit</w:t>
      </w:r>
      <w:r>
        <w:t>à del Piemonte Orientale ha poli universitari situati nelle città di Alessandria e Asti. Nelle seguenti tabelle sono osservabili le provenienze degli studenti</w:t>
      </w:r>
      <w:r w:rsidRPr="00BE03CB">
        <w:rPr>
          <w:rStyle w:val="Rimandonotaapidipagina"/>
        </w:rPr>
        <w:footnoteReference w:id="21"/>
      </w:r>
      <w:r w:rsidRPr="00740789">
        <w:t>:</w:t>
      </w:r>
    </w:p>
    <w:p w14:paraId="53BAB009" w14:textId="7D27378D" w:rsidR="00C13442" w:rsidRDefault="00C13442" w:rsidP="00872434">
      <w:pPr>
        <w:spacing w:before="120" w:after="0" w:line="240" w:lineRule="auto"/>
        <w:jc w:val="left"/>
      </w:pPr>
      <w:r>
        <w:br w:type="page"/>
      </w:r>
    </w:p>
    <w:p w14:paraId="648B044C" w14:textId="77777777" w:rsidR="00872434" w:rsidRDefault="00872434" w:rsidP="00872434">
      <w:pPr>
        <w:spacing w:before="120" w:after="0" w:line="240" w:lineRule="auto"/>
        <w:jc w:val="left"/>
      </w:pPr>
    </w:p>
    <w:tbl>
      <w:tblPr>
        <w:tblW w:w="8363" w:type="dxa"/>
        <w:tblInd w:w="274" w:type="dxa"/>
        <w:tblLayout w:type="fixed"/>
        <w:tblCellMar>
          <w:left w:w="70" w:type="dxa"/>
          <w:right w:w="70" w:type="dxa"/>
        </w:tblCellMar>
        <w:tblLook w:val="04A0" w:firstRow="1" w:lastRow="0" w:firstColumn="1" w:lastColumn="0" w:noHBand="0" w:noVBand="1"/>
      </w:tblPr>
      <w:tblGrid>
        <w:gridCol w:w="6237"/>
        <w:gridCol w:w="1063"/>
        <w:gridCol w:w="1063"/>
      </w:tblGrid>
      <w:tr w:rsidR="00872434" w:rsidRPr="006733FA" w14:paraId="35509825" w14:textId="77777777" w:rsidTr="002A21C0">
        <w:trPr>
          <w:trHeight w:val="275"/>
        </w:trPr>
        <w:tc>
          <w:tcPr>
            <w:tcW w:w="6237" w:type="dxa"/>
            <w:tcBorders>
              <w:top w:val="single" w:sz="8" w:space="0" w:color="808080"/>
              <w:left w:val="single" w:sz="8" w:space="0" w:color="808080"/>
              <w:bottom w:val="single" w:sz="8" w:space="0" w:color="808080"/>
              <w:right w:val="single" w:sz="4" w:space="0" w:color="auto"/>
            </w:tcBorders>
            <w:shd w:val="clear" w:color="auto" w:fill="A5C34C" w:themeFill="accent6" w:themeFillShade="BF"/>
            <w:hideMark/>
          </w:tcPr>
          <w:p w14:paraId="3C002DD3" w14:textId="77777777" w:rsidR="00872434" w:rsidRPr="00215AE6" w:rsidRDefault="00872434" w:rsidP="002A21C0">
            <w:pPr>
              <w:spacing w:after="0" w:line="240" w:lineRule="auto"/>
              <w:jc w:val="lef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 xml:space="preserve">Polo di </w:t>
            </w:r>
            <w:r>
              <w:rPr>
                <w:rFonts w:ascii="Calibri" w:eastAsia="Times New Roman" w:hAnsi="Calibri" w:cs="Calibri"/>
                <w:b/>
                <w:bCs/>
                <w:color w:val="000000"/>
                <w:sz w:val="20"/>
                <w:szCs w:val="20"/>
              </w:rPr>
              <w:t>ALESSANDRIA</w:t>
            </w:r>
            <w:r w:rsidRPr="00215AE6">
              <w:rPr>
                <w:rFonts w:ascii="Calibri" w:eastAsia="Times New Roman" w:hAnsi="Calibri" w:cs="Calibri"/>
                <w:b/>
                <w:bCs/>
                <w:color w:val="000000"/>
                <w:sz w:val="20"/>
                <w:szCs w:val="20"/>
              </w:rPr>
              <w:t xml:space="preserve"> - residenza studenti (fino 1 anno fuori corso)</w:t>
            </w:r>
          </w:p>
        </w:tc>
        <w:tc>
          <w:tcPr>
            <w:tcW w:w="1063" w:type="dxa"/>
            <w:tcBorders>
              <w:top w:val="single" w:sz="8" w:space="0" w:color="808080"/>
              <w:left w:val="nil"/>
              <w:bottom w:val="single" w:sz="8" w:space="0" w:color="808080"/>
              <w:right w:val="single" w:sz="8" w:space="0" w:color="808080"/>
            </w:tcBorders>
            <w:shd w:val="clear" w:color="auto" w:fill="A5C34C" w:themeFill="accent6" w:themeFillShade="BF"/>
            <w:hideMark/>
          </w:tcPr>
          <w:p w14:paraId="6DEAC859" w14:textId="77777777" w:rsidR="00872434" w:rsidRPr="00215AE6" w:rsidRDefault="00872434" w:rsidP="002A21C0">
            <w:pPr>
              <w:spacing w:after="0" w:line="240" w:lineRule="auto"/>
              <w:jc w:val="righ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N</w:t>
            </w: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hideMark/>
          </w:tcPr>
          <w:p w14:paraId="6314F039" w14:textId="77777777" w:rsidR="00872434" w:rsidRPr="00215AE6" w:rsidRDefault="00872434" w:rsidP="002A21C0">
            <w:pPr>
              <w:spacing w:after="0" w:line="240" w:lineRule="auto"/>
              <w:jc w:val="righ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w:t>
            </w:r>
          </w:p>
        </w:tc>
      </w:tr>
      <w:tr w:rsidR="00872434" w:rsidRPr="006733FA" w14:paraId="488D2AA7" w14:textId="77777777" w:rsidTr="002A21C0">
        <w:trPr>
          <w:trHeight w:val="223"/>
        </w:trPr>
        <w:tc>
          <w:tcPr>
            <w:tcW w:w="6237" w:type="dxa"/>
            <w:tcBorders>
              <w:top w:val="single" w:sz="8" w:space="0" w:color="808080"/>
              <w:left w:val="single" w:sz="8" w:space="0" w:color="808080"/>
              <w:bottom w:val="single" w:sz="8" w:space="0" w:color="808080"/>
              <w:right w:val="single" w:sz="4" w:space="0" w:color="auto"/>
            </w:tcBorders>
            <w:hideMark/>
          </w:tcPr>
          <w:p w14:paraId="6FE98A52" w14:textId="77777777" w:rsidR="00872434" w:rsidRPr="006733FA" w:rsidRDefault="00872434" w:rsidP="002A21C0">
            <w:pPr>
              <w:spacing w:after="0" w:line="240" w:lineRule="auto"/>
              <w:jc w:val="left"/>
              <w:rPr>
                <w:rFonts w:ascii="Calibri" w:eastAsia="Times New Roman" w:hAnsi="Calibri" w:cs="Calibri"/>
                <w:color w:val="000000"/>
                <w:sz w:val="20"/>
                <w:szCs w:val="20"/>
              </w:rPr>
            </w:pPr>
            <w:r w:rsidRPr="006733FA">
              <w:rPr>
                <w:rFonts w:ascii="Calibri" w:eastAsia="Times New Roman" w:hAnsi="Calibri" w:cs="Calibri"/>
                <w:color w:val="000000"/>
                <w:sz w:val="20"/>
                <w:szCs w:val="20"/>
              </w:rPr>
              <w:t>Città di Alessandria</w:t>
            </w:r>
          </w:p>
        </w:tc>
        <w:tc>
          <w:tcPr>
            <w:tcW w:w="1063" w:type="dxa"/>
            <w:tcBorders>
              <w:top w:val="single" w:sz="8" w:space="0" w:color="808080"/>
              <w:left w:val="nil"/>
              <w:bottom w:val="single" w:sz="8" w:space="0" w:color="808080"/>
              <w:right w:val="single" w:sz="8" w:space="0" w:color="808080"/>
            </w:tcBorders>
            <w:noWrap/>
            <w:hideMark/>
          </w:tcPr>
          <w:p w14:paraId="6D6C658C"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800</w:t>
            </w:r>
          </w:p>
        </w:tc>
        <w:tc>
          <w:tcPr>
            <w:tcW w:w="1063" w:type="dxa"/>
            <w:tcBorders>
              <w:top w:val="single" w:sz="8" w:space="0" w:color="808080"/>
              <w:left w:val="single" w:sz="8" w:space="0" w:color="808080"/>
              <w:bottom w:val="single" w:sz="8" w:space="0" w:color="808080"/>
              <w:right w:val="single" w:sz="8" w:space="0" w:color="808080"/>
            </w:tcBorders>
            <w:noWrap/>
            <w:hideMark/>
          </w:tcPr>
          <w:p w14:paraId="72808C24"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19,29</w:t>
            </w:r>
          </w:p>
        </w:tc>
      </w:tr>
      <w:tr w:rsidR="00872434" w:rsidRPr="006733FA" w14:paraId="6F78D13E" w14:textId="77777777" w:rsidTr="002A21C0">
        <w:trPr>
          <w:trHeight w:val="243"/>
        </w:trPr>
        <w:tc>
          <w:tcPr>
            <w:tcW w:w="6237" w:type="dxa"/>
            <w:tcBorders>
              <w:top w:val="single" w:sz="8" w:space="0" w:color="808080"/>
              <w:left w:val="single" w:sz="8" w:space="0" w:color="808080"/>
              <w:bottom w:val="single" w:sz="8" w:space="0" w:color="808080"/>
              <w:right w:val="single" w:sz="4" w:space="0" w:color="auto"/>
            </w:tcBorders>
            <w:hideMark/>
          </w:tcPr>
          <w:p w14:paraId="6AAA1FF5" w14:textId="77777777" w:rsidR="00872434" w:rsidRPr="006733FA" w:rsidRDefault="00872434" w:rsidP="002A21C0">
            <w:pPr>
              <w:spacing w:after="0" w:line="240" w:lineRule="auto"/>
              <w:jc w:val="left"/>
              <w:rPr>
                <w:rFonts w:ascii="Calibri" w:eastAsia="Times New Roman" w:hAnsi="Calibri" w:cs="Calibri"/>
                <w:color w:val="000000"/>
                <w:sz w:val="20"/>
                <w:szCs w:val="20"/>
              </w:rPr>
            </w:pPr>
            <w:r w:rsidRPr="006733FA">
              <w:rPr>
                <w:rFonts w:ascii="Calibri" w:eastAsia="Times New Roman" w:hAnsi="Calibri" w:cs="Calibri"/>
                <w:color w:val="000000"/>
                <w:sz w:val="20"/>
                <w:szCs w:val="20"/>
              </w:rPr>
              <w:t>Provincia di Alessandria (esclusa Città di Alessandria)</w:t>
            </w:r>
          </w:p>
        </w:tc>
        <w:tc>
          <w:tcPr>
            <w:tcW w:w="1063" w:type="dxa"/>
            <w:tcBorders>
              <w:top w:val="single" w:sz="8" w:space="0" w:color="808080"/>
              <w:left w:val="nil"/>
              <w:bottom w:val="single" w:sz="8" w:space="0" w:color="808080"/>
              <w:right w:val="single" w:sz="8" w:space="0" w:color="808080"/>
            </w:tcBorders>
            <w:noWrap/>
            <w:hideMark/>
          </w:tcPr>
          <w:p w14:paraId="1B98EB4C"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1</w:t>
            </w:r>
            <w:r>
              <w:rPr>
                <w:rFonts w:ascii="Calibri" w:eastAsia="Times New Roman" w:hAnsi="Calibri" w:cs="Calibri"/>
                <w:color w:val="000000"/>
                <w:sz w:val="20"/>
                <w:szCs w:val="20"/>
              </w:rPr>
              <w:t>.</w:t>
            </w:r>
            <w:r w:rsidRPr="006733FA">
              <w:rPr>
                <w:rFonts w:ascii="Calibri" w:eastAsia="Times New Roman" w:hAnsi="Calibri" w:cs="Calibri"/>
                <w:color w:val="000000"/>
                <w:sz w:val="20"/>
                <w:szCs w:val="20"/>
              </w:rPr>
              <w:t>356</w:t>
            </w:r>
          </w:p>
        </w:tc>
        <w:tc>
          <w:tcPr>
            <w:tcW w:w="1063" w:type="dxa"/>
            <w:tcBorders>
              <w:top w:val="single" w:sz="8" w:space="0" w:color="808080"/>
              <w:left w:val="single" w:sz="8" w:space="0" w:color="808080"/>
              <w:bottom w:val="single" w:sz="8" w:space="0" w:color="808080"/>
              <w:right w:val="single" w:sz="8" w:space="0" w:color="808080"/>
            </w:tcBorders>
            <w:noWrap/>
            <w:hideMark/>
          </w:tcPr>
          <w:p w14:paraId="54878EA9"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32,70</w:t>
            </w:r>
          </w:p>
        </w:tc>
      </w:tr>
      <w:tr w:rsidR="00872434" w:rsidRPr="006733FA" w14:paraId="23BC9294" w14:textId="77777777" w:rsidTr="002A21C0">
        <w:trPr>
          <w:trHeight w:val="275"/>
        </w:trPr>
        <w:tc>
          <w:tcPr>
            <w:tcW w:w="6237" w:type="dxa"/>
            <w:tcBorders>
              <w:top w:val="single" w:sz="8" w:space="0" w:color="808080"/>
              <w:left w:val="single" w:sz="8" w:space="0" w:color="808080"/>
              <w:bottom w:val="single" w:sz="8" w:space="0" w:color="808080"/>
              <w:right w:val="single" w:sz="4" w:space="0" w:color="auto"/>
            </w:tcBorders>
            <w:hideMark/>
          </w:tcPr>
          <w:p w14:paraId="09002E4A" w14:textId="77777777" w:rsidR="00872434" w:rsidRPr="006733FA" w:rsidRDefault="00872434" w:rsidP="002A21C0">
            <w:pPr>
              <w:spacing w:after="0" w:line="240" w:lineRule="auto"/>
              <w:jc w:val="left"/>
              <w:rPr>
                <w:rFonts w:ascii="Calibri" w:eastAsia="Times New Roman" w:hAnsi="Calibri" w:cs="Calibri"/>
                <w:color w:val="000000"/>
                <w:sz w:val="20"/>
                <w:szCs w:val="20"/>
              </w:rPr>
            </w:pPr>
            <w:r w:rsidRPr="006733FA">
              <w:rPr>
                <w:rFonts w:ascii="Calibri" w:eastAsia="Times New Roman" w:hAnsi="Calibri" w:cs="Calibri"/>
                <w:color w:val="000000"/>
                <w:sz w:val="20"/>
                <w:szCs w:val="20"/>
              </w:rPr>
              <w:t>Regione Piemonte (esclusa prov AL)</w:t>
            </w:r>
          </w:p>
        </w:tc>
        <w:tc>
          <w:tcPr>
            <w:tcW w:w="1063" w:type="dxa"/>
            <w:tcBorders>
              <w:top w:val="single" w:sz="8" w:space="0" w:color="808080"/>
              <w:left w:val="nil"/>
              <w:bottom w:val="single" w:sz="8" w:space="0" w:color="808080"/>
              <w:right w:val="single" w:sz="8" w:space="0" w:color="808080"/>
            </w:tcBorders>
            <w:noWrap/>
            <w:hideMark/>
          </w:tcPr>
          <w:p w14:paraId="66FC7C9C"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1</w:t>
            </w:r>
            <w:r>
              <w:rPr>
                <w:rFonts w:ascii="Calibri" w:eastAsia="Times New Roman" w:hAnsi="Calibri" w:cs="Calibri"/>
                <w:color w:val="000000"/>
                <w:sz w:val="20"/>
                <w:szCs w:val="20"/>
              </w:rPr>
              <w:t>.</w:t>
            </w:r>
            <w:r w:rsidRPr="006733FA">
              <w:rPr>
                <w:rFonts w:ascii="Calibri" w:eastAsia="Times New Roman" w:hAnsi="Calibri" w:cs="Calibri"/>
                <w:color w:val="000000"/>
                <w:sz w:val="20"/>
                <w:szCs w:val="20"/>
              </w:rPr>
              <w:t>275</w:t>
            </w:r>
          </w:p>
        </w:tc>
        <w:tc>
          <w:tcPr>
            <w:tcW w:w="1063" w:type="dxa"/>
            <w:tcBorders>
              <w:top w:val="single" w:sz="8" w:space="0" w:color="808080"/>
              <w:left w:val="single" w:sz="8" w:space="0" w:color="808080"/>
              <w:bottom w:val="single" w:sz="8" w:space="0" w:color="808080"/>
              <w:right w:val="single" w:sz="8" w:space="0" w:color="808080"/>
            </w:tcBorders>
            <w:noWrap/>
            <w:hideMark/>
          </w:tcPr>
          <w:p w14:paraId="7F45618E"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30,7</w:t>
            </w:r>
            <w:r>
              <w:rPr>
                <w:rFonts w:ascii="Calibri" w:eastAsia="Times New Roman" w:hAnsi="Calibri" w:cs="Calibri"/>
                <w:color w:val="000000"/>
                <w:sz w:val="20"/>
                <w:szCs w:val="20"/>
              </w:rPr>
              <w:t>4</w:t>
            </w:r>
          </w:p>
        </w:tc>
      </w:tr>
      <w:tr w:rsidR="00872434" w:rsidRPr="006733FA" w14:paraId="5BD119B5" w14:textId="77777777" w:rsidTr="002A21C0">
        <w:trPr>
          <w:trHeight w:val="249"/>
        </w:trPr>
        <w:tc>
          <w:tcPr>
            <w:tcW w:w="6237" w:type="dxa"/>
            <w:tcBorders>
              <w:top w:val="single" w:sz="8" w:space="0" w:color="808080"/>
              <w:left w:val="single" w:sz="8" w:space="0" w:color="808080"/>
              <w:bottom w:val="single" w:sz="8" w:space="0" w:color="808080"/>
              <w:right w:val="single" w:sz="4" w:space="0" w:color="auto"/>
            </w:tcBorders>
            <w:hideMark/>
          </w:tcPr>
          <w:p w14:paraId="144FF356" w14:textId="77777777" w:rsidR="00872434" w:rsidRPr="006733FA" w:rsidRDefault="00872434" w:rsidP="002A21C0">
            <w:pPr>
              <w:spacing w:after="0" w:line="240" w:lineRule="auto"/>
              <w:jc w:val="left"/>
              <w:rPr>
                <w:rFonts w:ascii="Calibri" w:eastAsia="Times New Roman" w:hAnsi="Calibri" w:cs="Calibri"/>
                <w:color w:val="000000"/>
                <w:sz w:val="20"/>
                <w:szCs w:val="20"/>
              </w:rPr>
            </w:pPr>
            <w:r w:rsidRPr="006733FA">
              <w:rPr>
                <w:rFonts w:ascii="Calibri" w:eastAsia="Times New Roman" w:hAnsi="Calibri" w:cs="Calibri"/>
                <w:color w:val="000000"/>
                <w:sz w:val="20"/>
                <w:szCs w:val="20"/>
              </w:rPr>
              <w:t>Fuori regione</w:t>
            </w:r>
          </w:p>
        </w:tc>
        <w:tc>
          <w:tcPr>
            <w:tcW w:w="1063" w:type="dxa"/>
            <w:tcBorders>
              <w:top w:val="single" w:sz="8" w:space="0" w:color="808080"/>
              <w:left w:val="nil"/>
              <w:bottom w:val="single" w:sz="8" w:space="0" w:color="808080"/>
              <w:right w:val="single" w:sz="8" w:space="0" w:color="808080"/>
            </w:tcBorders>
            <w:noWrap/>
            <w:hideMark/>
          </w:tcPr>
          <w:p w14:paraId="5A36ED3A"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716</w:t>
            </w:r>
          </w:p>
        </w:tc>
        <w:tc>
          <w:tcPr>
            <w:tcW w:w="1063" w:type="dxa"/>
            <w:tcBorders>
              <w:top w:val="single" w:sz="8" w:space="0" w:color="808080"/>
              <w:left w:val="single" w:sz="8" w:space="0" w:color="808080"/>
              <w:bottom w:val="single" w:sz="8" w:space="0" w:color="808080"/>
              <w:right w:val="single" w:sz="8" w:space="0" w:color="808080"/>
            </w:tcBorders>
            <w:noWrap/>
            <w:hideMark/>
          </w:tcPr>
          <w:p w14:paraId="0837B2C0" w14:textId="77777777" w:rsidR="00872434" w:rsidRPr="006733FA" w:rsidRDefault="00872434" w:rsidP="002A21C0">
            <w:pPr>
              <w:spacing w:after="0" w:line="240" w:lineRule="auto"/>
              <w:jc w:val="right"/>
              <w:rPr>
                <w:rFonts w:ascii="Calibri" w:eastAsia="Times New Roman" w:hAnsi="Calibri" w:cs="Calibri"/>
                <w:color w:val="000000"/>
                <w:sz w:val="20"/>
                <w:szCs w:val="20"/>
              </w:rPr>
            </w:pPr>
            <w:r w:rsidRPr="006733FA">
              <w:rPr>
                <w:rFonts w:ascii="Calibri" w:eastAsia="Times New Roman" w:hAnsi="Calibri" w:cs="Calibri"/>
                <w:color w:val="000000"/>
                <w:sz w:val="20"/>
                <w:szCs w:val="20"/>
              </w:rPr>
              <w:t>17,27</w:t>
            </w:r>
          </w:p>
        </w:tc>
      </w:tr>
      <w:tr w:rsidR="00872434" w:rsidRPr="006733FA" w14:paraId="65B94EED" w14:textId="77777777" w:rsidTr="002A21C0">
        <w:trPr>
          <w:trHeight w:val="225"/>
        </w:trPr>
        <w:tc>
          <w:tcPr>
            <w:tcW w:w="6237" w:type="dxa"/>
            <w:tcBorders>
              <w:top w:val="single" w:sz="8" w:space="0" w:color="808080"/>
              <w:right w:val="single" w:sz="8" w:space="0" w:color="808080"/>
            </w:tcBorders>
          </w:tcPr>
          <w:p w14:paraId="7FD42A2A" w14:textId="77777777" w:rsidR="00872434" w:rsidRPr="006733FA" w:rsidRDefault="00872434" w:rsidP="002A21C0">
            <w:pPr>
              <w:spacing w:after="0" w:line="240" w:lineRule="auto"/>
              <w:jc w:val="left"/>
              <w:rPr>
                <w:rFonts w:ascii="Calibri" w:eastAsia="Times New Roman" w:hAnsi="Calibri" w:cs="Calibri"/>
                <w:b/>
                <w:bCs/>
                <w:color w:val="000000"/>
                <w:sz w:val="20"/>
                <w:szCs w:val="20"/>
              </w:rPr>
            </w:pP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hideMark/>
          </w:tcPr>
          <w:p w14:paraId="09627F4D" w14:textId="77777777" w:rsidR="00872434" w:rsidRPr="006733FA" w:rsidRDefault="00872434" w:rsidP="002A21C0">
            <w:pPr>
              <w:spacing w:after="0" w:line="240" w:lineRule="auto"/>
              <w:jc w:val="right"/>
              <w:rPr>
                <w:rFonts w:ascii="Calibri" w:eastAsia="Times New Roman" w:hAnsi="Calibri" w:cs="Calibri"/>
                <w:b/>
                <w:bCs/>
                <w:color w:val="000000"/>
                <w:sz w:val="20"/>
                <w:szCs w:val="20"/>
              </w:rPr>
            </w:pPr>
            <w:r w:rsidRPr="006733FA">
              <w:rPr>
                <w:rFonts w:ascii="Calibri" w:eastAsia="Times New Roman" w:hAnsi="Calibri" w:cs="Calibri"/>
                <w:b/>
                <w:bCs/>
                <w:color w:val="000000"/>
                <w:sz w:val="20"/>
                <w:szCs w:val="20"/>
              </w:rPr>
              <w:t>4</w:t>
            </w:r>
            <w:r>
              <w:rPr>
                <w:rFonts w:ascii="Calibri" w:eastAsia="Times New Roman" w:hAnsi="Calibri" w:cs="Calibri"/>
                <w:b/>
                <w:bCs/>
                <w:color w:val="000000"/>
                <w:sz w:val="20"/>
                <w:szCs w:val="20"/>
              </w:rPr>
              <w:t>.</w:t>
            </w:r>
            <w:r w:rsidRPr="006733FA">
              <w:rPr>
                <w:rFonts w:ascii="Calibri" w:eastAsia="Times New Roman" w:hAnsi="Calibri" w:cs="Calibri"/>
                <w:b/>
                <w:bCs/>
                <w:color w:val="000000"/>
                <w:sz w:val="20"/>
                <w:szCs w:val="20"/>
              </w:rPr>
              <w:t>147</w:t>
            </w: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noWrap/>
            <w:hideMark/>
          </w:tcPr>
          <w:p w14:paraId="22BA7222" w14:textId="77777777" w:rsidR="00872434" w:rsidRPr="006733FA" w:rsidRDefault="00872434" w:rsidP="002A21C0">
            <w:pPr>
              <w:spacing w:after="0" w:line="240" w:lineRule="auto"/>
              <w:jc w:val="right"/>
              <w:rPr>
                <w:rFonts w:ascii="Calibri" w:eastAsia="Times New Roman" w:hAnsi="Calibri" w:cs="Calibri"/>
                <w:b/>
                <w:bCs/>
                <w:color w:val="000000"/>
                <w:sz w:val="20"/>
                <w:szCs w:val="20"/>
              </w:rPr>
            </w:pPr>
            <w:r w:rsidRPr="006733FA">
              <w:rPr>
                <w:rFonts w:ascii="Calibri" w:eastAsia="Times New Roman" w:hAnsi="Calibri" w:cs="Calibri"/>
                <w:b/>
                <w:bCs/>
                <w:color w:val="000000"/>
                <w:sz w:val="20"/>
                <w:szCs w:val="20"/>
              </w:rPr>
              <w:t>100</w:t>
            </w:r>
            <w:r>
              <w:rPr>
                <w:rFonts w:ascii="Calibri" w:eastAsia="Times New Roman" w:hAnsi="Calibri" w:cs="Calibri"/>
                <w:b/>
                <w:bCs/>
                <w:color w:val="000000"/>
                <w:sz w:val="20"/>
                <w:szCs w:val="20"/>
              </w:rPr>
              <w:t>,00</w:t>
            </w:r>
          </w:p>
        </w:tc>
      </w:tr>
    </w:tbl>
    <w:p w14:paraId="1115CC5E" w14:textId="1CD84494" w:rsidR="00872434" w:rsidRDefault="00872434" w:rsidP="00872434">
      <w:pPr>
        <w:pStyle w:val="Didascalia"/>
        <w:jc w:val="center"/>
      </w:pPr>
      <w:r>
        <w:t xml:space="preserve">Tabella </w:t>
      </w:r>
      <w:r>
        <w:fldChar w:fldCharType="begin"/>
      </w:r>
      <w:r>
        <w:instrText xml:space="preserve"> SEQ Tabella \* ARABIC </w:instrText>
      </w:r>
      <w:r>
        <w:fldChar w:fldCharType="separate"/>
      </w:r>
      <w:r w:rsidR="00670903">
        <w:rPr>
          <w:noProof/>
        </w:rPr>
        <w:t>27</w:t>
      </w:r>
      <w:r>
        <w:rPr>
          <w:noProof/>
        </w:rPr>
        <w:fldChar w:fldCharType="end"/>
      </w:r>
      <w:r>
        <w:t xml:space="preserve"> – Popolazione universitaria UPO 2024-2025 in Provincia di Alessandria</w:t>
      </w:r>
    </w:p>
    <w:p w14:paraId="0C4DE5B4" w14:textId="77777777" w:rsidR="00872434" w:rsidRDefault="00872434" w:rsidP="00872434">
      <w:pPr>
        <w:spacing w:before="120" w:after="0" w:line="240" w:lineRule="auto"/>
      </w:pPr>
    </w:p>
    <w:tbl>
      <w:tblPr>
        <w:tblW w:w="8363" w:type="dxa"/>
        <w:tblInd w:w="274" w:type="dxa"/>
        <w:tblLayout w:type="fixed"/>
        <w:tblCellMar>
          <w:left w:w="70" w:type="dxa"/>
          <w:right w:w="70" w:type="dxa"/>
        </w:tblCellMar>
        <w:tblLook w:val="04A0" w:firstRow="1" w:lastRow="0" w:firstColumn="1" w:lastColumn="0" w:noHBand="0" w:noVBand="1"/>
      </w:tblPr>
      <w:tblGrid>
        <w:gridCol w:w="6237"/>
        <w:gridCol w:w="1063"/>
        <w:gridCol w:w="1063"/>
      </w:tblGrid>
      <w:tr w:rsidR="00872434" w:rsidRPr="00215AE6" w14:paraId="0DF0FDB2" w14:textId="77777777" w:rsidTr="002A21C0">
        <w:trPr>
          <w:trHeight w:val="275"/>
        </w:trPr>
        <w:tc>
          <w:tcPr>
            <w:tcW w:w="6237" w:type="dxa"/>
            <w:tcBorders>
              <w:top w:val="single" w:sz="8" w:space="0" w:color="808080"/>
              <w:left w:val="single" w:sz="8" w:space="0" w:color="808080"/>
              <w:bottom w:val="single" w:sz="8" w:space="0" w:color="808080"/>
              <w:right w:val="single" w:sz="4" w:space="0" w:color="auto"/>
            </w:tcBorders>
            <w:shd w:val="clear" w:color="auto" w:fill="A5C34C" w:themeFill="accent6" w:themeFillShade="BF"/>
            <w:hideMark/>
          </w:tcPr>
          <w:p w14:paraId="2371DCAB" w14:textId="77777777" w:rsidR="00872434" w:rsidRPr="00215AE6" w:rsidRDefault="00872434" w:rsidP="002A21C0">
            <w:pPr>
              <w:spacing w:after="0" w:line="240" w:lineRule="auto"/>
              <w:jc w:val="center"/>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 xml:space="preserve">Polo di </w:t>
            </w:r>
            <w:r>
              <w:rPr>
                <w:rFonts w:ascii="Calibri" w:eastAsia="Times New Roman" w:hAnsi="Calibri" w:cs="Calibri"/>
                <w:b/>
                <w:bCs/>
                <w:color w:val="000000"/>
                <w:sz w:val="20"/>
                <w:szCs w:val="20"/>
              </w:rPr>
              <w:t>ASTI</w:t>
            </w:r>
            <w:r w:rsidRPr="00215AE6">
              <w:rPr>
                <w:rFonts w:ascii="Calibri" w:eastAsia="Times New Roman" w:hAnsi="Calibri" w:cs="Calibri"/>
                <w:b/>
                <w:bCs/>
                <w:color w:val="000000"/>
                <w:sz w:val="20"/>
                <w:szCs w:val="20"/>
              </w:rPr>
              <w:t xml:space="preserve"> - residenza studenti (fino 1 anno fuori corso)</w:t>
            </w:r>
          </w:p>
        </w:tc>
        <w:tc>
          <w:tcPr>
            <w:tcW w:w="1063" w:type="dxa"/>
            <w:tcBorders>
              <w:top w:val="single" w:sz="8" w:space="0" w:color="808080"/>
              <w:left w:val="nil"/>
              <w:bottom w:val="single" w:sz="8" w:space="0" w:color="808080"/>
              <w:right w:val="single" w:sz="8" w:space="0" w:color="808080"/>
            </w:tcBorders>
            <w:shd w:val="clear" w:color="auto" w:fill="A5C34C" w:themeFill="accent6" w:themeFillShade="BF"/>
            <w:hideMark/>
          </w:tcPr>
          <w:p w14:paraId="622B6163" w14:textId="77777777" w:rsidR="00872434" w:rsidRPr="00215AE6" w:rsidRDefault="00872434" w:rsidP="002A21C0">
            <w:pPr>
              <w:spacing w:after="0" w:line="240" w:lineRule="auto"/>
              <w:jc w:val="center"/>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n</w:t>
            </w: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hideMark/>
          </w:tcPr>
          <w:p w14:paraId="354407EE" w14:textId="77777777" w:rsidR="00872434" w:rsidRPr="00215AE6" w:rsidRDefault="00872434" w:rsidP="002A21C0">
            <w:pPr>
              <w:spacing w:after="0" w:line="240" w:lineRule="auto"/>
              <w:jc w:val="center"/>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w:t>
            </w:r>
          </w:p>
        </w:tc>
      </w:tr>
      <w:tr w:rsidR="00872434" w:rsidRPr="00215AE6" w14:paraId="31C9D3AA" w14:textId="77777777" w:rsidTr="002A21C0">
        <w:trPr>
          <w:trHeight w:val="223"/>
        </w:trPr>
        <w:tc>
          <w:tcPr>
            <w:tcW w:w="6237" w:type="dxa"/>
            <w:tcBorders>
              <w:top w:val="single" w:sz="8" w:space="0" w:color="808080"/>
              <w:left w:val="single" w:sz="8" w:space="0" w:color="808080"/>
              <w:bottom w:val="single" w:sz="8" w:space="0" w:color="808080"/>
              <w:right w:val="single" w:sz="4" w:space="0" w:color="auto"/>
            </w:tcBorders>
            <w:hideMark/>
          </w:tcPr>
          <w:p w14:paraId="71414D09" w14:textId="77777777" w:rsidR="00872434" w:rsidRPr="00215AE6" w:rsidRDefault="00872434" w:rsidP="002A21C0">
            <w:pPr>
              <w:spacing w:after="0" w:line="240" w:lineRule="auto"/>
              <w:jc w:val="left"/>
              <w:rPr>
                <w:rFonts w:eastAsia="Times New Roman" w:cstheme="minorHAnsi"/>
                <w:sz w:val="20"/>
                <w:szCs w:val="20"/>
                <w:bdr w:val="none" w:sz="0" w:space="0" w:color="auto" w:frame="1"/>
                <w:lang w:val="en-GB" w:eastAsia="en-GB"/>
              </w:rPr>
            </w:pPr>
            <w:r w:rsidRPr="005A5E25">
              <w:t>Città di Asti</w:t>
            </w:r>
          </w:p>
        </w:tc>
        <w:tc>
          <w:tcPr>
            <w:tcW w:w="1063" w:type="dxa"/>
            <w:tcBorders>
              <w:top w:val="single" w:sz="8" w:space="0" w:color="808080"/>
              <w:left w:val="nil"/>
              <w:bottom w:val="single" w:sz="8" w:space="0" w:color="808080"/>
              <w:right w:val="single" w:sz="8" w:space="0" w:color="808080"/>
            </w:tcBorders>
            <w:noWrap/>
            <w:hideMark/>
          </w:tcPr>
          <w:p w14:paraId="71353506" w14:textId="77777777" w:rsidR="00872434" w:rsidRPr="00A93649" w:rsidRDefault="00872434" w:rsidP="002A21C0">
            <w:pPr>
              <w:spacing w:after="0" w:line="240" w:lineRule="auto"/>
              <w:jc w:val="center"/>
              <w:rPr>
                <w:rFonts w:ascii="Calibri" w:hAnsi="Calibri" w:cs="Calibri"/>
                <w:color w:val="000000"/>
              </w:rPr>
            </w:pPr>
            <w:r w:rsidRPr="005A5E25">
              <w:t>48</w:t>
            </w:r>
          </w:p>
        </w:tc>
        <w:tc>
          <w:tcPr>
            <w:tcW w:w="1063" w:type="dxa"/>
            <w:tcBorders>
              <w:top w:val="single" w:sz="8" w:space="0" w:color="808080"/>
              <w:left w:val="single" w:sz="8" w:space="0" w:color="808080"/>
              <w:bottom w:val="single" w:sz="8" w:space="0" w:color="808080"/>
              <w:right w:val="single" w:sz="8" w:space="0" w:color="808080"/>
            </w:tcBorders>
            <w:noWrap/>
            <w:hideMark/>
          </w:tcPr>
          <w:p w14:paraId="2140109B" w14:textId="77777777" w:rsidR="00872434" w:rsidRPr="00A93649" w:rsidRDefault="00872434" w:rsidP="002A21C0">
            <w:pPr>
              <w:spacing w:after="0" w:line="240" w:lineRule="auto"/>
              <w:ind w:left="-68"/>
              <w:jc w:val="center"/>
              <w:rPr>
                <w:rFonts w:ascii="Calibri" w:hAnsi="Calibri" w:cs="Calibri"/>
                <w:color w:val="000000"/>
              </w:rPr>
            </w:pPr>
            <w:r w:rsidRPr="005A5E25">
              <w:t>14,72</w:t>
            </w:r>
          </w:p>
        </w:tc>
      </w:tr>
      <w:tr w:rsidR="00872434" w:rsidRPr="00215AE6" w14:paraId="7679C68A" w14:textId="77777777" w:rsidTr="002A21C0">
        <w:trPr>
          <w:trHeight w:val="243"/>
        </w:trPr>
        <w:tc>
          <w:tcPr>
            <w:tcW w:w="6237" w:type="dxa"/>
            <w:tcBorders>
              <w:top w:val="single" w:sz="8" w:space="0" w:color="808080"/>
              <w:left w:val="single" w:sz="8" w:space="0" w:color="808080"/>
              <w:bottom w:val="single" w:sz="8" w:space="0" w:color="808080"/>
              <w:right w:val="single" w:sz="4" w:space="0" w:color="auto"/>
            </w:tcBorders>
            <w:hideMark/>
          </w:tcPr>
          <w:p w14:paraId="26C9F3EE" w14:textId="77777777" w:rsidR="00872434" w:rsidRPr="002074D8" w:rsidRDefault="00872434" w:rsidP="002A21C0">
            <w:pPr>
              <w:spacing w:after="0" w:line="240" w:lineRule="auto"/>
              <w:jc w:val="left"/>
              <w:rPr>
                <w:rFonts w:eastAsia="Times New Roman" w:cstheme="minorHAnsi"/>
                <w:sz w:val="20"/>
                <w:szCs w:val="20"/>
                <w:bdr w:val="none" w:sz="0" w:space="0" w:color="auto" w:frame="1"/>
                <w:lang w:eastAsia="en-GB"/>
              </w:rPr>
            </w:pPr>
            <w:r w:rsidRPr="005A5E25">
              <w:t>Provincia di Asti (esclusa Città di Asti)</w:t>
            </w:r>
          </w:p>
        </w:tc>
        <w:tc>
          <w:tcPr>
            <w:tcW w:w="1063" w:type="dxa"/>
            <w:tcBorders>
              <w:top w:val="single" w:sz="8" w:space="0" w:color="808080"/>
              <w:left w:val="nil"/>
              <w:bottom w:val="single" w:sz="8" w:space="0" w:color="808080"/>
              <w:right w:val="single" w:sz="8" w:space="0" w:color="808080"/>
            </w:tcBorders>
            <w:noWrap/>
            <w:hideMark/>
          </w:tcPr>
          <w:p w14:paraId="2C9FBCC4" w14:textId="77777777" w:rsidR="00872434" w:rsidRPr="00A93649" w:rsidRDefault="00872434" w:rsidP="002A21C0">
            <w:pPr>
              <w:spacing w:after="0" w:line="240" w:lineRule="auto"/>
              <w:jc w:val="center"/>
              <w:rPr>
                <w:rFonts w:ascii="Calibri" w:hAnsi="Calibri" w:cs="Calibri"/>
                <w:color w:val="000000"/>
              </w:rPr>
            </w:pPr>
            <w:r w:rsidRPr="005A5E25">
              <w:t>46</w:t>
            </w:r>
          </w:p>
        </w:tc>
        <w:tc>
          <w:tcPr>
            <w:tcW w:w="1063" w:type="dxa"/>
            <w:tcBorders>
              <w:top w:val="single" w:sz="8" w:space="0" w:color="808080"/>
              <w:left w:val="single" w:sz="8" w:space="0" w:color="808080"/>
              <w:bottom w:val="single" w:sz="8" w:space="0" w:color="808080"/>
              <w:right w:val="single" w:sz="8" w:space="0" w:color="808080"/>
            </w:tcBorders>
            <w:noWrap/>
            <w:hideMark/>
          </w:tcPr>
          <w:p w14:paraId="071973BD" w14:textId="77777777" w:rsidR="00872434" w:rsidRPr="00A93649" w:rsidRDefault="00872434" w:rsidP="002A21C0">
            <w:pPr>
              <w:spacing w:after="0" w:line="240" w:lineRule="auto"/>
              <w:jc w:val="center"/>
              <w:rPr>
                <w:rFonts w:ascii="Calibri" w:hAnsi="Calibri" w:cs="Calibri"/>
                <w:color w:val="000000"/>
              </w:rPr>
            </w:pPr>
            <w:r w:rsidRPr="005A5E25">
              <w:t>14,11</w:t>
            </w:r>
          </w:p>
        </w:tc>
      </w:tr>
      <w:tr w:rsidR="00872434" w:rsidRPr="00215AE6" w14:paraId="6E70A894" w14:textId="77777777" w:rsidTr="002A21C0">
        <w:trPr>
          <w:trHeight w:val="275"/>
        </w:trPr>
        <w:tc>
          <w:tcPr>
            <w:tcW w:w="6237" w:type="dxa"/>
            <w:tcBorders>
              <w:top w:val="single" w:sz="8" w:space="0" w:color="808080"/>
              <w:left w:val="single" w:sz="8" w:space="0" w:color="808080"/>
              <w:bottom w:val="single" w:sz="8" w:space="0" w:color="808080"/>
              <w:right w:val="single" w:sz="4" w:space="0" w:color="auto"/>
            </w:tcBorders>
            <w:hideMark/>
          </w:tcPr>
          <w:p w14:paraId="38C294C5" w14:textId="77777777" w:rsidR="00872434" w:rsidRPr="002074D8" w:rsidRDefault="00872434" w:rsidP="002A21C0">
            <w:pPr>
              <w:spacing w:after="0" w:line="240" w:lineRule="auto"/>
              <w:jc w:val="left"/>
              <w:rPr>
                <w:rFonts w:eastAsia="Times New Roman" w:cstheme="minorHAnsi"/>
                <w:sz w:val="20"/>
                <w:szCs w:val="20"/>
                <w:bdr w:val="none" w:sz="0" w:space="0" w:color="auto" w:frame="1"/>
                <w:lang w:eastAsia="en-GB"/>
              </w:rPr>
            </w:pPr>
            <w:r w:rsidRPr="005A5E25">
              <w:t>Regione Piemonte (esclusa prov AT)</w:t>
            </w:r>
          </w:p>
        </w:tc>
        <w:tc>
          <w:tcPr>
            <w:tcW w:w="1063" w:type="dxa"/>
            <w:tcBorders>
              <w:top w:val="single" w:sz="8" w:space="0" w:color="808080"/>
              <w:left w:val="nil"/>
              <w:bottom w:val="single" w:sz="8" w:space="0" w:color="808080"/>
              <w:right w:val="single" w:sz="8" w:space="0" w:color="808080"/>
            </w:tcBorders>
            <w:noWrap/>
            <w:hideMark/>
          </w:tcPr>
          <w:p w14:paraId="1BD20E21" w14:textId="77777777" w:rsidR="00872434" w:rsidRPr="00A93649" w:rsidRDefault="00872434" w:rsidP="002A21C0">
            <w:pPr>
              <w:spacing w:after="0" w:line="240" w:lineRule="auto"/>
              <w:jc w:val="center"/>
              <w:rPr>
                <w:rFonts w:ascii="Calibri" w:hAnsi="Calibri" w:cs="Calibri"/>
                <w:color w:val="000000"/>
              </w:rPr>
            </w:pPr>
            <w:r w:rsidRPr="005A5E25">
              <w:t>205</w:t>
            </w:r>
          </w:p>
        </w:tc>
        <w:tc>
          <w:tcPr>
            <w:tcW w:w="1063" w:type="dxa"/>
            <w:tcBorders>
              <w:top w:val="single" w:sz="8" w:space="0" w:color="808080"/>
              <w:left w:val="single" w:sz="8" w:space="0" w:color="808080"/>
              <w:bottom w:val="single" w:sz="8" w:space="0" w:color="808080"/>
              <w:right w:val="single" w:sz="8" w:space="0" w:color="808080"/>
            </w:tcBorders>
            <w:noWrap/>
            <w:hideMark/>
          </w:tcPr>
          <w:p w14:paraId="6474C32E" w14:textId="77777777" w:rsidR="00872434" w:rsidRPr="00A93649" w:rsidRDefault="00872434" w:rsidP="002A21C0">
            <w:pPr>
              <w:spacing w:after="0" w:line="240" w:lineRule="auto"/>
              <w:jc w:val="center"/>
              <w:rPr>
                <w:rFonts w:ascii="Calibri" w:hAnsi="Calibri" w:cs="Calibri"/>
                <w:color w:val="000000"/>
              </w:rPr>
            </w:pPr>
            <w:r w:rsidRPr="005A5E25">
              <w:t>62,88</w:t>
            </w:r>
          </w:p>
        </w:tc>
      </w:tr>
      <w:tr w:rsidR="00872434" w:rsidRPr="00215AE6" w14:paraId="5A22B168" w14:textId="77777777" w:rsidTr="002A21C0">
        <w:trPr>
          <w:trHeight w:val="249"/>
        </w:trPr>
        <w:tc>
          <w:tcPr>
            <w:tcW w:w="6237" w:type="dxa"/>
            <w:tcBorders>
              <w:top w:val="single" w:sz="8" w:space="0" w:color="808080"/>
              <w:left w:val="single" w:sz="8" w:space="0" w:color="808080"/>
              <w:bottom w:val="single" w:sz="8" w:space="0" w:color="808080"/>
              <w:right w:val="single" w:sz="4" w:space="0" w:color="auto"/>
            </w:tcBorders>
            <w:hideMark/>
          </w:tcPr>
          <w:p w14:paraId="7300330B" w14:textId="77777777" w:rsidR="00872434" w:rsidRPr="00215AE6" w:rsidRDefault="00872434" w:rsidP="002A21C0">
            <w:pPr>
              <w:spacing w:after="0" w:line="240" w:lineRule="auto"/>
              <w:jc w:val="left"/>
              <w:rPr>
                <w:rFonts w:eastAsia="Times New Roman" w:cstheme="minorHAnsi"/>
                <w:sz w:val="20"/>
                <w:szCs w:val="20"/>
                <w:bdr w:val="none" w:sz="0" w:space="0" w:color="auto" w:frame="1"/>
                <w:lang w:val="en-GB" w:eastAsia="en-GB"/>
              </w:rPr>
            </w:pPr>
            <w:r w:rsidRPr="005A5E25">
              <w:t>Fuori regione</w:t>
            </w:r>
          </w:p>
        </w:tc>
        <w:tc>
          <w:tcPr>
            <w:tcW w:w="1063" w:type="dxa"/>
            <w:tcBorders>
              <w:top w:val="single" w:sz="8" w:space="0" w:color="808080"/>
              <w:left w:val="nil"/>
              <w:bottom w:val="single" w:sz="8" w:space="0" w:color="808080"/>
              <w:right w:val="single" w:sz="8" w:space="0" w:color="808080"/>
            </w:tcBorders>
            <w:noWrap/>
            <w:hideMark/>
          </w:tcPr>
          <w:p w14:paraId="69B321CF" w14:textId="77777777" w:rsidR="00872434" w:rsidRPr="00A93649" w:rsidRDefault="00872434" w:rsidP="002A21C0">
            <w:pPr>
              <w:spacing w:after="0" w:line="240" w:lineRule="auto"/>
              <w:jc w:val="center"/>
              <w:rPr>
                <w:rFonts w:ascii="Calibri" w:hAnsi="Calibri" w:cs="Calibri"/>
                <w:color w:val="000000"/>
              </w:rPr>
            </w:pPr>
            <w:r w:rsidRPr="005A5E25">
              <w:t>27</w:t>
            </w:r>
          </w:p>
        </w:tc>
        <w:tc>
          <w:tcPr>
            <w:tcW w:w="1063" w:type="dxa"/>
            <w:tcBorders>
              <w:top w:val="single" w:sz="8" w:space="0" w:color="808080"/>
              <w:left w:val="single" w:sz="8" w:space="0" w:color="808080"/>
              <w:bottom w:val="single" w:sz="8" w:space="0" w:color="808080"/>
              <w:right w:val="single" w:sz="8" w:space="0" w:color="808080"/>
            </w:tcBorders>
            <w:noWrap/>
            <w:hideMark/>
          </w:tcPr>
          <w:p w14:paraId="1824E2EF" w14:textId="77777777" w:rsidR="00872434" w:rsidRPr="00A93649" w:rsidRDefault="00872434" w:rsidP="002A21C0">
            <w:pPr>
              <w:spacing w:after="0" w:line="240" w:lineRule="auto"/>
              <w:jc w:val="center"/>
              <w:rPr>
                <w:rFonts w:ascii="Calibri" w:hAnsi="Calibri" w:cs="Calibri"/>
                <w:color w:val="000000"/>
              </w:rPr>
            </w:pPr>
            <w:r w:rsidRPr="005A5E25">
              <w:t>8,28</w:t>
            </w:r>
          </w:p>
        </w:tc>
      </w:tr>
      <w:tr w:rsidR="00872434" w:rsidRPr="00215AE6" w14:paraId="669F0DA7" w14:textId="77777777" w:rsidTr="002A21C0">
        <w:trPr>
          <w:trHeight w:val="225"/>
        </w:trPr>
        <w:tc>
          <w:tcPr>
            <w:tcW w:w="6237" w:type="dxa"/>
            <w:tcBorders>
              <w:top w:val="single" w:sz="8" w:space="0" w:color="808080"/>
              <w:right w:val="single" w:sz="8" w:space="0" w:color="808080"/>
            </w:tcBorders>
          </w:tcPr>
          <w:p w14:paraId="7FFCC0AA" w14:textId="77777777" w:rsidR="00872434" w:rsidRPr="00215AE6" w:rsidRDefault="00872434" w:rsidP="002A21C0">
            <w:pPr>
              <w:spacing w:after="0" w:line="240" w:lineRule="auto"/>
              <w:jc w:val="left"/>
              <w:rPr>
                <w:rFonts w:eastAsia="Times New Roman" w:cstheme="minorHAnsi"/>
                <w:sz w:val="20"/>
                <w:szCs w:val="20"/>
                <w:bdr w:val="none" w:sz="0" w:space="0" w:color="auto" w:frame="1"/>
                <w:lang w:val="en-GB" w:eastAsia="en-GB"/>
              </w:rPr>
            </w:pP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hideMark/>
          </w:tcPr>
          <w:p w14:paraId="1E782A74" w14:textId="77777777" w:rsidR="00872434" w:rsidRPr="00A93649" w:rsidRDefault="00872434" w:rsidP="002A21C0">
            <w:pPr>
              <w:spacing w:after="0" w:line="240" w:lineRule="auto"/>
              <w:jc w:val="center"/>
              <w:rPr>
                <w:rFonts w:ascii="Calibri" w:hAnsi="Calibri" w:cs="Calibri"/>
                <w:b/>
                <w:bCs/>
                <w:color w:val="000000"/>
              </w:rPr>
            </w:pPr>
            <w:r>
              <w:rPr>
                <w:rFonts w:ascii="Calibri" w:hAnsi="Calibri" w:cs="Calibri"/>
                <w:b/>
                <w:bCs/>
                <w:color w:val="000000"/>
              </w:rPr>
              <w:t>326</w:t>
            </w:r>
          </w:p>
        </w:tc>
        <w:tc>
          <w:tcPr>
            <w:tcW w:w="1063" w:type="dxa"/>
            <w:tcBorders>
              <w:top w:val="single" w:sz="8" w:space="0" w:color="808080"/>
              <w:left w:val="single" w:sz="8" w:space="0" w:color="808080"/>
              <w:bottom w:val="single" w:sz="8" w:space="0" w:color="808080"/>
              <w:right w:val="single" w:sz="8" w:space="0" w:color="808080"/>
            </w:tcBorders>
            <w:shd w:val="clear" w:color="auto" w:fill="A5C34C" w:themeFill="accent6" w:themeFillShade="BF"/>
            <w:noWrap/>
            <w:hideMark/>
          </w:tcPr>
          <w:p w14:paraId="03015ED0" w14:textId="77777777" w:rsidR="00872434" w:rsidRPr="00A93649" w:rsidRDefault="00872434" w:rsidP="002A21C0">
            <w:pPr>
              <w:spacing w:after="0" w:line="240" w:lineRule="auto"/>
              <w:jc w:val="center"/>
              <w:rPr>
                <w:rFonts w:ascii="Calibri" w:hAnsi="Calibri" w:cs="Calibri"/>
                <w:b/>
                <w:bCs/>
                <w:color w:val="000000"/>
              </w:rPr>
            </w:pPr>
            <w:r w:rsidRPr="00A93649">
              <w:rPr>
                <w:rFonts w:ascii="Calibri" w:hAnsi="Calibri" w:cs="Calibri"/>
                <w:b/>
                <w:bCs/>
                <w:color w:val="000000"/>
              </w:rPr>
              <w:t>100</w:t>
            </w:r>
          </w:p>
        </w:tc>
      </w:tr>
    </w:tbl>
    <w:p w14:paraId="7EDBB36E" w14:textId="01BC61FB" w:rsidR="00872434" w:rsidRDefault="00872434" w:rsidP="00872434">
      <w:pPr>
        <w:pStyle w:val="Didascalia"/>
        <w:jc w:val="center"/>
      </w:pPr>
      <w:r>
        <w:t xml:space="preserve">Tabella </w:t>
      </w:r>
      <w:r>
        <w:fldChar w:fldCharType="begin"/>
      </w:r>
      <w:r>
        <w:instrText xml:space="preserve"> SEQ Tabella \* ARABIC </w:instrText>
      </w:r>
      <w:r>
        <w:fldChar w:fldCharType="separate"/>
      </w:r>
      <w:r w:rsidR="00670903">
        <w:rPr>
          <w:noProof/>
        </w:rPr>
        <w:t>28</w:t>
      </w:r>
      <w:r>
        <w:rPr>
          <w:noProof/>
        </w:rPr>
        <w:fldChar w:fldCharType="end"/>
      </w:r>
      <w:r>
        <w:t xml:space="preserve"> – Popolazione universitaria UPO 2024-2025 in Provincia di Asti</w:t>
      </w:r>
    </w:p>
    <w:p w14:paraId="4D7F8C27" w14:textId="77777777" w:rsidR="00872434" w:rsidRPr="00E04A98" w:rsidRDefault="00872434" w:rsidP="00872434">
      <w:pPr>
        <w:spacing w:before="120" w:after="0" w:line="240" w:lineRule="auto"/>
      </w:pPr>
      <w:r w:rsidRPr="00E04A98">
        <w:t xml:space="preserve">Gli studenti universitari provenienti dai comuni della provincia </w:t>
      </w:r>
      <w:r>
        <w:t>(</w:t>
      </w:r>
      <w:r w:rsidRPr="00E04A98">
        <w:t xml:space="preserve">esclusi </w:t>
      </w:r>
      <w:r>
        <w:t>i capoluoghi</w:t>
      </w:r>
      <w:r w:rsidRPr="00E04A98">
        <w:t xml:space="preserve"> </w:t>
      </w:r>
      <w:r>
        <w:t>Alessandria ed Asti) costituiscono</w:t>
      </w:r>
      <w:r w:rsidRPr="00E04A98">
        <w:t xml:space="preserve"> un’ulteriore domanda potenziale de</w:t>
      </w:r>
      <w:r>
        <w:t>i</w:t>
      </w:r>
      <w:r w:rsidRPr="00E04A98">
        <w:t xml:space="preserve"> servizi di TPL</w:t>
      </w:r>
      <w:r>
        <w:t xml:space="preserve"> del Bacino Sud Est.</w:t>
      </w:r>
    </w:p>
    <w:p w14:paraId="3130A47D" w14:textId="77777777" w:rsidR="00872434" w:rsidRPr="006733FA" w:rsidRDefault="00872434" w:rsidP="00872434">
      <w:pPr>
        <w:pStyle w:val="Titolo2"/>
        <w:ind w:left="567"/>
      </w:pPr>
      <w:bookmarkStart w:id="177" w:name="_Toc205213720"/>
      <w:r w:rsidRPr="006733FA">
        <w:t>Ulteriori elementi della domanda sistematica</w:t>
      </w:r>
      <w:bookmarkEnd w:id="174"/>
      <w:bookmarkEnd w:id="175"/>
      <w:bookmarkEnd w:id="176"/>
      <w:bookmarkEnd w:id="177"/>
    </w:p>
    <w:p w14:paraId="32230D9A" w14:textId="77777777" w:rsidR="00872434" w:rsidRDefault="00872434" w:rsidP="00872434">
      <w:pPr>
        <w:spacing w:before="120" w:after="0" w:line="240" w:lineRule="auto"/>
      </w:pPr>
      <w:bookmarkStart w:id="178" w:name="_Toc197695677"/>
      <w:bookmarkStart w:id="179" w:name="_Toc204616490"/>
      <w:r>
        <w:t xml:space="preserve">Al fine di migliorare la conoscenza della domanda </w:t>
      </w:r>
      <w:r w:rsidRPr="00CD1C94">
        <w:t>sistematica, è essenziale interagire e relazionarsi</w:t>
      </w:r>
      <w:r>
        <w:t xml:space="preserve"> con il mondo del lavoro, che seppur in evoluzione, continua a rappresentare uno degli scopi principali di mobilità. Per tale ragione nel processo di </w:t>
      </w:r>
      <w:r w:rsidRPr="0034384C">
        <w:t>consultazione (Allegato 1)</w:t>
      </w:r>
      <w:r>
        <w:t xml:space="preserve"> sono stati coinvolti i mobility manager aziendali e di area, sia nelle assemblee pubbliche rivolte agli Stakeholder territoriali sia tramite incontri specifici. </w:t>
      </w:r>
    </w:p>
    <w:p w14:paraId="05CD9DA6" w14:textId="77777777" w:rsidR="00872434" w:rsidRPr="006A089D" w:rsidRDefault="00872434" w:rsidP="00872434">
      <w:pPr>
        <w:spacing w:before="120" w:after="0" w:line="240" w:lineRule="auto"/>
      </w:pPr>
      <w:r w:rsidRPr="4BBD446C">
        <w:t>In particolare</w:t>
      </w:r>
      <w:r>
        <w:t>,</w:t>
      </w:r>
      <w:r w:rsidRPr="4BBD446C">
        <w:t xml:space="preserve"> i mobility manager sono stati chiamati a confrontarsi, unitamente agli operatori di TPL, sui </w:t>
      </w:r>
      <w:r w:rsidRPr="006A089D">
        <w:t>seguenti temi:</w:t>
      </w:r>
    </w:p>
    <w:p w14:paraId="3C258E78" w14:textId="77777777" w:rsidR="00872434" w:rsidRPr="006A089D" w:rsidRDefault="00872434" w:rsidP="00872434">
      <w:pPr>
        <w:pStyle w:val="Paragrafoelenco"/>
        <w:numPr>
          <w:ilvl w:val="0"/>
          <w:numId w:val="33"/>
        </w:numPr>
        <w:spacing w:before="120" w:after="0" w:line="240" w:lineRule="auto"/>
        <w:contextualSpacing w:val="0"/>
      </w:pPr>
      <w:r w:rsidRPr="006A089D">
        <w:t>conoscenza delle esigenze dei mobility manager rispetto al TPL e viceversa;</w:t>
      </w:r>
    </w:p>
    <w:p w14:paraId="07D76F08" w14:textId="77777777" w:rsidR="00872434" w:rsidRPr="006A089D" w:rsidRDefault="00872434" w:rsidP="00872434">
      <w:pPr>
        <w:pStyle w:val="Paragrafoelenco"/>
        <w:numPr>
          <w:ilvl w:val="0"/>
          <w:numId w:val="33"/>
        </w:numPr>
        <w:spacing w:before="120" w:after="0" w:line="240" w:lineRule="auto"/>
        <w:contextualSpacing w:val="0"/>
      </w:pPr>
      <w:r w:rsidRPr="006A089D">
        <w:t>promuovere e facilitare confronto e coprogettazione tra MM e TPL;</w:t>
      </w:r>
    </w:p>
    <w:p w14:paraId="6ECB4CC9" w14:textId="77777777" w:rsidR="00872434" w:rsidRPr="006A089D" w:rsidRDefault="00872434" w:rsidP="00872434">
      <w:pPr>
        <w:pStyle w:val="Paragrafoelenco"/>
        <w:numPr>
          <w:ilvl w:val="0"/>
          <w:numId w:val="33"/>
        </w:numPr>
        <w:spacing w:before="120" w:after="0" w:line="240" w:lineRule="auto"/>
        <w:contextualSpacing w:val="0"/>
      </w:pPr>
      <w:r w:rsidRPr="006A089D">
        <w:t>azioni degli operatori TPL per promuovere e favorire la mobilità sostenibile;</w:t>
      </w:r>
    </w:p>
    <w:p w14:paraId="084DB4C8" w14:textId="77777777" w:rsidR="00872434" w:rsidRPr="006A089D" w:rsidRDefault="00872434" w:rsidP="00872434">
      <w:pPr>
        <w:pStyle w:val="Paragrafoelenco"/>
        <w:numPr>
          <w:ilvl w:val="0"/>
          <w:numId w:val="33"/>
        </w:numPr>
        <w:spacing w:before="120" w:after="0" w:line="240" w:lineRule="auto"/>
        <w:contextualSpacing w:val="0"/>
      </w:pPr>
      <w:r w:rsidRPr="006A089D">
        <w:t>coinvolgimento di altri attori chiave.</w:t>
      </w:r>
    </w:p>
    <w:p w14:paraId="281D1694" w14:textId="000EB1A6" w:rsidR="00872434" w:rsidRPr="00E3190C" w:rsidRDefault="00872434" w:rsidP="00872434">
      <w:pPr>
        <w:spacing w:before="120" w:after="0" w:line="240" w:lineRule="auto"/>
        <w:rPr>
          <w:i/>
        </w:rPr>
      </w:pPr>
      <w:r>
        <w:t xml:space="preserve">I risultati di tale confronto sono consultabili sulla piattaforma AMPartecipa al seguente link: </w:t>
      </w:r>
      <w:hyperlink r:id="rId52" w:history="1">
        <w:r w:rsidRPr="00E10B0F">
          <w:rPr>
            <w:rStyle w:val="Collegamentoipertestuale"/>
          </w:rPr>
          <w:t>https://ampartecipa.mtm.torino.it/processes/bacino-nordest/f/19/meetings/16</w:t>
        </w:r>
      </w:hyperlink>
      <w:r>
        <w:t xml:space="preserve"> .</w:t>
      </w:r>
    </w:p>
    <w:p w14:paraId="7EF7EEE6" w14:textId="77777777" w:rsidR="00872434" w:rsidRPr="00EB59BC" w:rsidRDefault="00872434" w:rsidP="00872434">
      <w:pPr>
        <w:spacing w:before="120" w:after="0" w:line="240" w:lineRule="auto"/>
        <w:rPr>
          <w:rFonts w:cstheme="minorHAnsi"/>
        </w:rPr>
      </w:pPr>
      <w:r>
        <w:t xml:space="preserve">Occorre inoltre evidenziare che a livello regionale è presente una piattaforma digitale </w:t>
      </w:r>
      <w:r w:rsidRPr="00EB59BC">
        <w:rPr>
          <w:i/>
        </w:rPr>
        <w:t>web-based</w:t>
      </w:r>
      <w:r>
        <w:t xml:space="preserve"> denominata EMMA</w:t>
      </w:r>
      <w:r>
        <w:rPr>
          <w:rStyle w:val="Rimandonotaapidipagina"/>
        </w:rPr>
        <w:footnoteReference w:id="22"/>
      </w:r>
      <w:r>
        <w:t xml:space="preserve"> dedicata ai mobility manager per la </w:t>
      </w:r>
      <w:r w:rsidRPr="00EB59BC">
        <w:rPr>
          <w:rFonts w:cstheme="minorHAnsi"/>
          <w:color w:val="000000"/>
        </w:rPr>
        <w:t xml:space="preserve">digitalizzazione e sistematizzazione delle </w:t>
      </w:r>
      <w:r w:rsidRPr="00EB59BC">
        <w:rPr>
          <w:rFonts w:cstheme="minorHAnsi"/>
          <w:color w:val="000000"/>
        </w:rPr>
        <w:lastRenderedPageBreak/>
        <w:t>attività di raccolta dati sulla domanda di mobilità dei propri dipendenti o studenti e redigere il PSCL o PSCS.</w:t>
      </w:r>
      <w:r w:rsidRPr="00EB59BC">
        <w:rPr>
          <w:rFonts w:cstheme="minorHAnsi"/>
        </w:rPr>
        <w:t xml:space="preserve"> </w:t>
      </w:r>
    </w:p>
    <w:p w14:paraId="0894E42B" w14:textId="77777777" w:rsidR="00872434" w:rsidRDefault="00872434" w:rsidP="00872434">
      <w:pPr>
        <w:spacing w:before="120" w:after="0" w:line="240" w:lineRule="auto"/>
      </w:pPr>
      <w:r>
        <w:t>È in corso la realizzazione di un cruscotto per la consultazione e il monitoraggio dei dati inseriti nella piattaforma. Questo strumento, destinato ai mobility manager di area, alla Regione e all’Agenzia, diventerà a regime una fonte costante di informazioni e dati in continuo aggiornamento.</w:t>
      </w:r>
    </w:p>
    <w:p w14:paraId="53020DC7" w14:textId="77777777" w:rsidR="00872434" w:rsidRPr="009320B8" w:rsidRDefault="00872434" w:rsidP="00872434">
      <w:pPr>
        <w:pStyle w:val="Titolo2"/>
        <w:ind w:left="567"/>
      </w:pPr>
      <w:bookmarkStart w:id="180" w:name="_Toc205213721"/>
      <w:r w:rsidRPr="009320B8">
        <w:t>Domanda</w:t>
      </w:r>
      <w:r>
        <w:t xml:space="preserve"> </w:t>
      </w:r>
      <w:r w:rsidRPr="009320B8">
        <w:t>Turistica</w:t>
      </w:r>
      <w:bookmarkEnd w:id="178"/>
      <w:bookmarkEnd w:id="179"/>
      <w:bookmarkEnd w:id="180"/>
    </w:p>
    <w:p w14:paraId="10D76210" w14:textId="77777777" w:rsidR="00872434" w:rsidRDefault="00872434" w:rsidP="00872434">
      <w:pPr>
        <w:spacing w:before="120" w:after="0" w:line="240" w:lineRule="auto"/>
      </w:pPr>
      <w:r>
        <w:t>Il settore turistico rappresenta un asset strategico per l’economia del Piemonte sud-orientale, in particolare nei comuni di Alessandria e Asti, dove si sono registrati andamenti articolati nel periodo 2016–2024, che riflettono sia le tendenze nazionali, sia le caratteristiche locali, con un forte impatto della pandemia da COVID-19 e una successiva marcata ripresa.</w:t>
      </w:r>
    </w:p>
    <w:p w14:paraId="31D9C054" w14:textId="77777777" w:rsidR="00872434" w:rsidRDefault="00872434" w:rsidP="00872434">
      <w:pPr>
        <w:spacing w:before="120" w:after="0" w:line="240" w:lineRule="auto"/>
      </w:pPr>
      <w:r>
        <w:t>Nel comune di Alessandria, le presenze italiane erano già elevate nel 2016 (437.523), raggiungendo un picco nel 2017 (447.136), seguite da una leggera flessione fino al 2019. Il 2020 ha segnato invece un crollo evidente (234.063 presenze), a causa delle restrizioni pandemiche. Tuttavia, il dato del 2024, con 421.390 presenze italiane, dimostra un ritorno quasi completo ai livelli pre-COVID. Ancora più significativo è l’andamento delle presenze straniere, passate da 272.117 nel 2016 a 391.636 nel 2024, con una crescita costante soprattutto tra il 2021 e il 2024. Questa tendenza indica una crescente attrattività internazionale del territorio alessandrino.</w:t>
      </w:r>
    </w:p>
    <w:p w14:paraId="09B4190E" w14:textId="77777777" w:rsidR="00872434" w:rsidRDefault="00872434" w:rsidP="00872434">
      <w:pPr>
        <w:spacing w:before="120" w:after="0" w:line="240" w:lineRule="auto"/>
      </w:pPr>
      <w:r>
        <w:t>Anche Asti ha seguito una dinamica simile, pur su valori assoluti inferiori. Le presenze italiane sono scese da 164.380 nel 2016 a un minimo di 88.226 nel 2020, per poi risalire a 194.575 nel 2024, superando i livelli pre-pandemia. Il turismo internazionale, invece, è cresciuto da 184.410 a 328.152 presenze tra il 2016 e il 2024, con un’accelerazione importante nell’ultimo triennio. Questo rilancio è verosimilmente legato all’attrattiva enogastronomica e culturale del territorio, con eventi, paesaggi e prodotti tipici sempre più noti anche a livello globale.</w:t>
      </w:r>
    </w:p>
    <w:p w14:paraId="5D31ECF3" w14:textId="77777777" w:rsidR="00872434" w:rsidRDefault="00872434" w:rsidP="00872434">
      <w:pPr>
        <w:spacing w:before="120" w:after="0" w:line="240" w:lineRule="auto"/>
      </w:pPr>
      <w:r>
        <w:t>La tabella seguente riporta l’andamento complessivo delle presenze turistiche nel Bacino Sud Est per il periodo 2016-2024.</w:t>
      </w:r>
    </w:p>
    <w:p w14:paraId="5F5C0F53" w14:textId="77777777" w:rsidR="00872434" w:rsidRDefault="00872434" w:rsidP="00872434">
      <w:pPr>
        <w:spacing w:before="120" w:after="0" w:line="240" w:lineRule="auto"/>
      </w:pPr>
      <w:r>
        <w:rPr>
          <w:noProof/>
        </w:rPr>
        <w:drawing>
          <wp:inline distT="0" distB="0" distL="0" distR="0" wp14:anchorId="5D044CF0" wp14:editId="2EBA79F6">
            <wp:extent cx="5799908" cy="2617470"/>
            <wp:effectExtent l="0" t="0" r="10795" b="11430"/>
            <wp:docPr id="493133456" name="Grafico 8">
              <a:extLst xmlns:a="http://schemas.openxmlformats.org/drawingml/2006/main">
                <a:ext uri="{FF2B5EF4-FFF2-40B4-BE49-F238E27FC236}">
                  <a16:creationId xmlns:a16="http://schemas.microsoft.com/office/drawing/2014/main" id="{D00BBEEC-174A-C0BB-5623-0C68FE05A2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9C4D651" w14:textId="1BB3AA7C" w:rsidR="00872434" w:rsidRPr="001D5603" w:rsidRDefault="00872434" w:rsidP="00872434">
      <w:pPr>
        <w:pStyle w:val="Didascalia"/>
        <w:spacing w:before="120" w:after="0"/>
        <w:jc w:val="center"/>
        <w:rPr>
          <w:rFonts w:cstheme="minorHAnsi"/>
          <w:color w:val="auto"/>
        </w:rPr>
      </w:pPr>
      <w:r w:rsidRPr="001D5603">
        <w:rPr>
          <w:rFonts w:cstheme="minorHAnsi"/>
          <w:color w:val="003366"/>
        </w:rPr>
        <w:t xml:space="preserve">Figura </w:t>
      </w:r>
      <w:r w:rsidRPr="001D5603">
        <w:rPr>
          <w:rFonts w:cstheme="minorHAnsi"/>
          <w:color w:val="003366"/>
        </w:rPr>
        <w:fldChar w:fldCharType="begin"/>
      </w:r>
      <w:r w:rsidRPr="001D5603">
        <w:rPr>
          <w:rFonts w:cstheme="minorHAnsi"/>
          <w:color w:val="003366"/>
        </w:rPr>
        <w:instrText xml:space="preserve"> SEQ Figura \* ARABIC </w:instrText>
      </w:r>
      <w:r w:rsidRPr="001D5603">
        <w:rPr>
          <w:rFonts w:cstheme="minorHAnsi"/>
          <w:color w:val="003366"/>
        </w:rPr>
        <w:fldChar w:fldCharType="separate"/>
      </w:r>
      <w:r w:rsidR="00670903">
        <w:rPr>
          <w:rFonts w:cstheme="minorHAnsi"/>
          <w:noProof/>
          <w:color w:val="003366"/>
        </w:rPr>
        <w:t>16</w:t>
      </w:r>
      <w:r w:rsidRPr="001D5603">
        <w:rPr>
          <w:rFonts w:cstheme="minorHAnsi"/>
          <w:color w:val="003366"/>
        </w:rPr>
        <w:fldChar w:fldCharType="end"/>
      </w:r>
      <w:r w:rsidRPr="001D5603">
        <w:rPr>
          <w:rFonts w:cstheme="minorHAnsi"/>
          <w:color w:val="003366"/>
        </w:rPr>
        <w:t xml:space="preserve"> Presenze nel quadrante Sud Est</w:t>
      </w:r>
      <w:r w:rsidRPr="001D5603">
        <w:rPr>
          <w:color w:val="003366"/>
        </w:rPr>
        <w:t xml:space="preserve"> </w:t>
      </w:r>
      <w:r w:rsidRPr="001D5603">
        <w:rPr>
          <w:rFonts w:cstheme="minorHAnsi"/>
          <w:color w:val="003366"/>
        </w:rPr>
        <w:t>(Fonte Ires Piemonte su dati Istat)</w:t>
      </w:r>
    </w:p>
    <w:p w14:paraId="3F5EC23C" w14:textId="77777777" w:rsidR="00872434" w:rsidRDefault="00872434" w:rsidP="00872434">
      <w:pPr>
        <w:spacing w:before="120" w:after="0" w:line="240" w:lineRule="auto"/>
      </w:pPr>
    </w:p>
    <w:p w14:paraId="314E4559" w14:textId="77777777" w:rsidR="00872434" w:rsidRDefault="00872434" w:rsidP="00872434">
      <w:pPr>
        <w:spacing w:before="120" w:after="0" w:line="240" w:lineRule="auto"/>
      </w:pPr>
      <w:r>
        <w:lastRenderedPageBreak/>
        <w:t>L’ultimo rapporto dell’Osservatorio Turistico della Regione Piemonte sui movimenti turistici dei clienti negli esercizi ricettivi per il 2024 contribuisce a definire un quadro aggiornato del turismo nel Bacino Sud Est, confermando l’andamento positivo delle due province.</w:t>
      </w:r>
    </w:p>
    <w:p w14:paraId="22C74119" w14:textId="77777777" w:rsidR="00872434" w:rsidRDefault="00872434" w:rsidP="00872434">
      <w:pPr>
        <w:spacing w:before="120" w:after="0" w:line="240" w:lineRule="auto"/>
      </w:pPr>
      <w:r>
        <w:t>L’area provinciale di Alessandria ha registrato complessivamente nel 2024, 370.701 arrivi e 813.026 presenze; il suo capoluogo si attesta come principale polo turistico del territorio, con 86.630 arrivi e 170.757 presenze, seguito da Acqui Terme (oltre 60.000 presenze), Tortona, Novi Ligure e Casale Monferrato. In molti comuni si evidenzia una distinzione tra flussi italiani e stranieri, Acqui Terme spicca per le oltre 29.000 presenze estere, mentre in altri centri, come Tortona, prevalgono i turisti italiani.</w:t>
      </w:r>
    </w:p>
    <w:p w14:paraId="511926C9" w14:textId="77777777" w:rsidR="00872434" w:rsidRDefault="00872434" w:rsidP="00872434">
      <w:pPr>
        <w:spacing w:before="120" w:after="0" w:line="240" w:lineRule="auto"/>
      </w:pPr>
      <w:r>
        <w:t xml:space="preserve">Anche l’offerta ricettiva turistica ha mostrato un’evoluzione significativa a conferma della crescente domanda di ospitalità flessibile, diffusa e più integrata nel territorio. Questa tendenza si accompagna a una segmentazione dell’offerta: nei comuni minori, le strutture sono spesso di piccola scala, a gestione familiare, rivolte a un turismo di nicchia (come agriturismi, B&amp;B, case vacanza), mentre nei centri principali si consolidano strutture più organizzate. Alcune aree, come Acqui Terme o Casale Monferrato, mostrano una buona capacità di accogliere turisti internazionali, grazie anche alla presenza di attività ricettive di livello medio-alto e a servizi dedicati. </w:t>
      </w:r>
    </w:p>
    <w:p w14:paraId="4CF1CA88" w14:textId="77777777" w:rsidR="00872434" w:rsidRDefault="00872434" w:rsidP="00872434">
      <w:pPr>
        <w:spacing w:before="120" w:after="0" w:line="240" w:lineRule="auto"/>
      </w:pPr>
      <w:r>
        <w:t>Inoltre, il sentiment online nel comparto ricettivo della provincia è molto positivo, con un punteggio medio di 88,7/100, superiore alla media piemontese (86,8), l’Alessandrino si distingue per qualità percepita dell’accoglienza, della pulizia, dei servizi e dell’esperienza complessiva</w:t>
      </w:r>
      <w:r>
        <w:rPr>
          <w:vertAlign w:val="superscript"/>
        </w:rPr>
        <w:footnoteReference w:id="23"/>
      </w:r>
      <w:r>
        <w:t>.</w:t>
      </w:r>
    </w:p>
    <w:p w14:paraId="72F39141" w14:textId="77777777" w:rsidR="00872434" w:rsidRDefault="00872434" w:rsidP="00872434">
      <w:pPr>
        <w:spacing w:before="120" w:after="0" w:line="240" w:lineRule="auto"/>
      </w:pPr>
      <w:r>
        <w:t xml:space="preserve">All’interno della provincia astigiana, che nel 2024 ha totalizzato 217.081 arrivi e 522.727 presenze, spicca per numero di presenze, oltre 122.000, il capoluogo, seguito dal comune di Canelli con 35.000 presenze totali. Anche in questo caso, alcune località, come Canelli, Costigliole d’Asti, Nizza Monferrato e Agliano Terme, si distinguono per una maggiore incidenza di turismo estero. Per quanto concerne l’offerta ricettiva, i dati suggeriscono una distribuzione più diffusa ed eterogenea dell’Alessandrino, in cui le strutture ricettive più piccole e sparse stanno assumendo un peso sempre più importante per l’ospitalità temporanea.  </w:t>
      </w:r>
    </w:p>
    <w:p w14:paraId="05186041" w14:textId="77777777" w:rsidR="00872434" w:rsidRDefault="00872434" w:rsidP="00872434">
      <w:pPr>
        <w:spacing w:before="120" w:after="0" w:line="240" w:lineRule="auto"/>
      </w:pPr>
      <w:r>
        <w:t>La durata media di permanenza risulta leggermente superiore rispetto all’Alessandrino (2,4 giorni nella provincia di Asti e 2,19 nella provincia di Alessandria), riflettendo la capacità locale di intrattenimento del turista per soggiorni prolungati, presumibilmente legati all’offerta di esperienze enogastronomiche, culturali e paesaggistiche tra le colline patrimonio UNESCO.</w:t>
      </w:r>
    </w:p>
    <w:p w14:paraId="67092521" w14:textId="3958C915" w:rsidR="00872434" w:rsidRDefault="00D76BA1" w:rsidP="00872434">
      <w:pPr>
        <w:spacing w:before="120" w:after="0" w:line="240" w:lineRule="auto"/>
      </w:pPr>
      <w:r w:rsidRPr="00D76BA1">
        <w:drawing>
          <wp:inline distT="0" distB="0" distL="0" distR="0" wp14:anchorId="5B5AFC2B" wp14:editId="524B99D1">
            <wp:extent cx="5759450" cy="2087880"/>
            <wp:effectExtent l="0" t="0" r="0" b="7620"/>
            <wp:docPr id="12574800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2087880"/>
                    </a:xfrm>
                    <a:prstGeom prst="rect">
                      <a:avLst/>
                    </a:prstGeom>
                    <a:noFill/>
                    <a:ln>
                      <a:noFill/>
                    </a:ln>
                  </pic:spPr>
                </pic:pic>
              </a:graphicData>
            </a:graphic>
          </wp:inline>
        </w:drawing>
      </w:r>
    </w:p>
    <w:p w14:paraId="64E240DF" w14:textId="235C611B" w:rsidR="00872434" w:rsidRDefault="00872434" w:rsidP="00872434">
      <w:pPr>
        <w:pStyle w:val="Didascalia"/>
        <w:spacing w:before="120" w:after="0"/>
        <w:jc w:val="center"/>
      </w:pPr>
      <w:r>
        <w:t xml:space="preserve">Tabella </w:t>
      </w:r>
      <w:r>
        <w:fldChar w:fldCharType="begin"/>
      </w:r>
      <w:r>
        <w:instrText xml:space="preserve"> SEQ Tabella \* ARABIC </w:instrText>
      </w:r>
      <w:r>
        <w:fldChar w:fldCharType="separate"/>
      </w:r>
      <w:r w:rsidR="00670903">
        <w:rPr>
          <w:noProof/>
        </w:rPr>
        <w:t>29</w:t>
      </w:r>
      <w:r>
        <w:rPr>
          <w:noProof/>
        </w:rPr>
        <w:fldChar w:fldCharType="end"/>
      </w:r>
      <w:r>
        <w:t>- Offerta ricettiva (Fonte: DMO Piemonte)</w:t>
      </w:r>
    </w:p>
    <w:p w14:paraId="56DF9BB4" w14:textId="77777777" w:rsidR="00872434" w:rsidRDefault="00872434" w:rsidP="00872434">
      <w:pPr>
        <w:spacing w:before="120" w:after="0" w:line="240" w:lineRule="auto"/>
      </w:pPr>
      <w:r>
        <w:lastRenderedPageBreak/>
        <w:t xml:space="preserve">Complessivamente, il Bacino Sud Est del Piemonte rappresenta una destinazione turistica dalla richiesta in forte crescita (contribuendo alle presenze complessive della Regione Piemonte per il 7,9%), sia a livello nazionale che soprattutto internazionale, in grado di attrarre flussi diversificati di turismo lento, più consapevole e sostenibile, legato al patrimonio culturale, paesaggistico ed enogastronomico. Il territorio sta rispondendo positivamente all’emergente domanda, potenziando l’offerta dei servizi e la loro qualità. In tale scenario, si inserisce anche il servizio del trasporto pubblico locale, che vede la necessità di porsi a supporto delle diversificate esigenze turistiche emergenti. Nelle offerte si chiederà, pertanto, agli operatori economici di sviluppare soluzioni di TPL flessibili, in grado di rispondere ai movimenti turistici e di raggiungere il target mediante campagne informative ad hoc sui principali portali di comunicazione. </w:t>
      </w:r>
    </w:p>
    <w:p w14:paraId="5B65296C" w14:textId="77777777" w:rsidR="00872434" w:rsidRPr="00F27715" w:rsidRDefault="00872434" w:rsidP="00872434">
      <w:pPr>
        <w:pStyle w:val="Titolo2"/>
        <w:ind w:left="567"/>
      </w:pPr>
      <w:bookmarkStart w:id="181" w:name="_Toc197695678"/>
      <w:bookmarkStart w:id="182" w:name="_Toc204616491"/>
      <w:bookmarkStart w:id="183" w:name="_Toc205213722"/>
      <w:r w:rsidRPr="00F27715">
        <w:t>Domanda di trasporto-Sviluppi</w:t>
      </w:r>
      <w:bookmarkEnd w:id="181"/>
      <w:bookmarkEnd w:id="182"/>
      <w:bookmarkEnd w:id="183"/>
    </w:p>
    <w:p w14:paraId="52F2F6B0" w14:textId="77777777" w:rsidR="00872434" w:rsidRDefault="00872434" w:rsidP="00872434">
      <w:pPr>
        <w:spacing w:before="120" w:after="0" w:line="240" w:lineRule="auto"/>
      </w:pPr>
      <w:r w:rsidRPr="00A5003C">
        <w:t>Una delle sfide principali per l'</w:t>
      </w:r>
      <w:r>
        <w:t>AMP</w:t>
      </w:r>
      <w:r w:rsidRPr="00A5003C">
        <w:t xml:space="preserve"> e per le aziende partecipanti alle gare del Trasporto Pubblico Locale </w:t>
      </w:r>
      <w:r>
        <w:t xml:space="preserve"> </w:t>
      </w:r>
      <w:r w:rsidRPr="00A5003C">
        <w:t xml:space="preserve"> in Piemonte è quella di individuare i fattori di analisi e le tendenze per stimare la domanda di mobilità futura. Questo capitolo mira a fornire indirizzi e prospettive per anticipare le tendenze in atto nei comportamenti di mobilità, offrendo</w:t>
      </w:r>
      <w:r>
        <w:t xml:space="preserve"> alcune considerazioni che si ritengono rilevanti per il periodo del prossimo contratto di servizio (circa 2026-2032).</w:t>
      </w:r>
    </w:p>
    <w:p w14:paraId="4DEEB1B4" w14:textId="77777777" w:rsidR="00872434" w:rsidRDefault="00872434" w:rsidP="00872434">
      <w:pPr>
        <w:spacing w:before="120" w:after="0" w:line="240" w:lineRule="auto"/>
      </w:pPr>
      <w:r w:rsidRPr="009E7851">
        <w:t xml:space="preserve">In primo luogo, è fondamentale prestare attenzione ai </w:t>
      </w:r>
      <w:r w:rsidRPr="007943E4">
        <w:rPr>
          <w:u w:val="single"/>
        </w:rPr>
        <w:t>cambi generazionali</w:t>
      </w:r>
      <w:r w:rsidRPr="009E7851">
        <w:t xml:space="preserve">, che rispetto al passato, introducono </w:t>
      </w:r>
      <w:r>
        <w:t xml:space="preserve">sempre più </w:t>
      </w:r>
      <w:r w:rsidRPr="009E7851">
        <w:t>significative novità nei comportamenti di mobilità.</w:t>
      </w:r>
      <w:r>
        <w:t xml:space="preserve"> Dall’analisi speditiva della letteratura, emergono alcuni principali elementi che caratterizzano i comportamenti della popolazione in funzione della generazione di appartenenza. Senza voler essere esaustivi, e solo al fine di fornire suggestioni sull’approccio al tema, si richiama</w:t>
      </w:r>
      <w:r w:rsidRPr="00ED470A">
        <w:t xml:space="preserve"> </w:t>
      </w:r>
      <w:r>
        <w:t>una panoramica delle principali differenze</w:t>
      </w:r>
      <w:r>
        <w:rPr>
          <w:rStyle w:val="Rimandonotaapidipagina"/>
        </w:rPr>
        <w:t xml:space="preserve"> </w:t>
      </w:r>
      <w:r>
        <w:rPr>
          <w:rStyle w:val="Rimandonotaapidipagina"/>
        </w:rPr>
        <w:footnoteReference w:id="24"/>
      </w:r>
      <w:r w:rsidRPr="00090BAA">
        <w:rPr>
          <w:rStyle w:val="Rimandonotaapidipagina"/>
          <w:vertAlign w:val="baseline"/>
        </w:rPr>
        <w:t>:</w:t>
      </w:r>
    </w:p>
    <w:p w14:paraId="59241238" w14:textId="77777777" w:rsidR="00872434" w:rsidRDefault="00872434" w:rsidP="00872434">
      <w:pPr>
        <w:pStyle w:val="Paragrafoelenco"/>
        <w:numPr>
          <w:ilvl w:val="0"/>
          <w:numId w:val="27"/>
        </w:numPr>
        <w:spacing w:before="120" w:after="0" w:line="240" w:lineRule="auto"/>
        <w:ind w:left="714" w:hanging="357"/>
        <w:contextualSpacing w:val="0"/>
      </w:pPr>
      <w:r>
        <w:t xml:space="preserve">Baby Boomers (1946-1964) sono i cittadini che durante i prossimi 6 anni avranno tra 62 e 86 anni: I Baby Boomers tendono ad avere un forte legame con l'auto privata, che rappresenta il principale mezzo di trasporto per questa generazione. Questo comportamento è influenzato da fattori come la maggiore disponibilità economica e la cultura dell'automobile diffusa durante la loro giovinezza. Tuttavia, con l'avanzare dell'età, si nota una crescente attenzione verso la mobilità accessibile, il trasporto pubblico ed </w:t>
      </w:r>
      <w:r w:rsidRPr="00152556">
        <w:t>i servizi di mobilità assistita, c</w:t>
      </w:r>
      <w:r>
        <w:t>ome i taxi soprattutto per le esigenze di salute e benessere. C</w:t>
      </w:r>
      <w:r w:rsidRPr="00152556">
        <w:t xml:space="preserve">'è </w:t>
      </w:r>
      <w:r>
        <w:t xml:space="preserve">pertanto </w:t>
      </w:r>
      <w:r w:rsidRPr="00152556">
        <w:t xml:space="preserve">una crescente necessità di adattare i servizi di mobilità per rispondere alle esigenze </w:t>
      </w:r>
      <w:r>
        <w:t xml:space="preserve">degli anziani, che si può sintetizzare in </w:t>
      </w:r>
      <w:r w:rsidRPr="00152556">
        <w:t>accessibilità migliorata e se</w:t>
      </w:r>
      <w:r>
        <w:t>rvizi di trasporto su richiesta</w:t>
      </w:r>
      <w:r w:rsidRPr="00152556">
        <w:t xml:space="preserve">. </w:t>
      </w:r>
    </w:p>
    <w:p w14:paraId="57DBC14A" w14:textId="77777777" w:rsidR="00872434" w:rsidRDefault="00872434" w:rsidP="00872434">
      <w:pPr>
        <w:pStyle w:val="Paragrafoelenco"/>
        <w:numPr>
          <w:ilvl w:val="0"/>
          <w:numId w:val="27"/>
        </w:numPr>
        <w:spacing w:before="120" w:after="0" w:line="240" w:lineRule="auto"/>
        <w:ind w:left="714" w:hanging="357"/>
        <w:contextualSpacing w:val="0"/>
      </w:pPr>
      <w:r>
        <w:t>Generazione X (1965-1980) sono i cittadini che durante i prossimi 6 anni avranno tra 46 e 67 anni: la Generazione X, pur mantenendo un uso significativo dell'auto privata, è anche aperta all'uso del trasporto pubblico e delle soluzioni di mobilità condivisa. La Generazione X è spesso influenzata da fattori come la necessità di bilanciare lavoro e vita familiare, che richiede flessibilità nei mezzi di trasporto.</w:t>
      </w:r>
    </w:p>
    <w:p w14:paraId="249310A5" w14:textId="77777777" w:rsidR="00872434" w:rsidRDefault="00872434" w:rsidP="00872434">
      <w:pPr>
        <w:pStyle w:val="Paragrafoelenco"/>
        <w:numPr>
          <w:ilvl w:val="0"/>
          <w:numId w:val="27"/>
        </w:numPr>
        <w:spacing w:before="120" w:after="0" w:line="240" w:lineRule="auto"/>
        <w:ind w:left="714" w:hanging="357"/>
        <w:contextualSpacing w:val="0"/>
      </w:pPr>
      <w:r>
        <w:t>Generazione Y-Millennials (1981-1996)</w:t>
      </w:r>
      <w:r w:rsidRPr="00685D5D">
        <w:t xml:space="preserve"> </w:t>
      </w:r>
      <w:r>
        <w:t>sono i cittadini che durante i prossimi 6 anni avranno tra 30 e 51 anni: i Millennials sono noti per la loro preferenza verso soluzioni di mobilità sostenibile e condivisa. Questa generazione tende a utilizzare meno l'auto privata rispetto alle generazioni precedenti, preferendo il trasporto pubblico, il car-sharing, la bicicletta e i monopattini elettrici. I Millennials sono anche più propensi a utilizzare tecnologie digitali per pianificare i loro spostamenti e a partecipare a iniziative di mobilità urbana sostenibile.</w:t>
      </w:r>
    </w:p>
    <w:p w14:paraId="38F25ED6" w14:textId="77777777" w:rsidR="00872434" w:rsidRDefault="00872434" w:rsidP="00872434">
      <w:pPr>
        <w:pStyle w:val="Paragrafoelenco"/>
        <w:numPr>
          <w:ilvl w:val="0"/>
          <w:numId w:val="27"/>
        </w:numPr>
        <w:spacing w:before="120" w:after="0" w:line="240" w:lineRule="auto"/>
        <w:ind w:left="714" w:hanging="357"/>
        <w:contextualSpacing w:val="0"/>
      </w:pPr>
      <w:r>
        <w:lastRenderedPageBreak/>
        <w:t>Generazione Z (1997-2012)</w:t>
      </w:r>
      <w:r w:rsidRPr="00152556">
        <w:t xml:space="preserve"> </w:t>
      </w:r>
      <w:r>
        <w:t>sono i cittadini che durante i prossimi 6 anni avranno tra 14 e 35 anni: la Generazione Z, che riguarda studenti e giovani che entrano nel mondo del lavoro e della mobilità indipendente, mostra una forte inclinazione verso la mobilità digitale e sostenibile ed una più scarsa propensione all’utilizzo del mezzo privato. Questa generazione è altamente connessa e utilizza app di viaggio e servizi di mobilità condivisa con grande frequenza. La Generazione Z è anche molto attenta alle questioni ambientali e preferisce soluzioni di trasporto che riducano l'impatto ecologico.</w:t>
      </w:r>
    </w:p>
    <w:p w14:paraId="452D09DD" w14:textId="77777777" w:rsidR="00872434" w:rsidRDefault="00872434" w:rsidP="00872434">
      <w:pPr>
        <w:spacing w:before="120" w:after="0" w:line="240" w:lineRule="auto"/>
      </w:pPr>
      <w:r>
        <w:t>Questi comportamenti di mobilità sono influenzati da una combinazione di fattori psicologici, socio-economici, demografici e territoriali; la figura seguente schematizza alcune caratteristiche “generazionali” che hanno influenza sulle scelte di mobilità dei cittadini. Il trasporto pubblico deve saper interpretare l’insieme di questi fattori calandoli sulla realtà territoriale specifica per sviluppare soluzioni efficaci e sostenibili.</w:t>
      </w:r>
    </w:p>
    <w:p w14:paraId="6BE0401E" w14:textId="77777777" w:rsidR="00872434" w:rsidRDefault="00872434" w:rsidP="00872434">
      <w:pPr>
        <w:spacing w:before="120" w:after="0" w:line="240" w:lineRule="auto"/>
      </w:pPr>
      <w:r w:rsidRPr="00E763FF">
        <w:rPr>
          <w:noProof/>
        </w:rPr>
        <w:drawing>
          <wp:inline distT="0" distB="0" distL="0" distR="0" wp14:anchorId="7473ADF4" wp14:editId="14E54CC6">
            <wp:extent cx="5759450" cy="2811780"/>
            <wp:effectExtent l="0" t="0" r="0" b="7620"/>
            <wp:docPr id="1281265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9450" cy="2811780"/>
                    </a:xfrm>
                    <a:prstGeom prst="rect">
                      <a:avLst/>
                    </a:prstGeom>
                    <a:noFill/>
                    <a:ln>
                      <a:noFill/>
                    </a:ln>
                  </pic:spPr>
                </pic:pic>
              </a:graphicData>
            </a:graphic>
          </wp:inline>
        </w:drawing>
      </w:r>
    </w:p>
    <w:p w14:paraId="1508C120" w14:textId="64E88BCA" w:rsidR="00872434" w:rsidRDefault="00872434" w:rsidP="00872434">
      <w:pPr>
        <w:pStyle w:val="Didascalia"/>
        <w:spacing w:before="120" w:after="0"/>
        <w:jc w:val="center"/>
      </w:pPr>
      <w:r w:rsidRPr="00002207">
        <w:t xml:space="preserve">Figura </w:t>
      </w:r>
      <w:r>
        <w:fldChar w:fldCharType="begin"/>
      </w:r>
      <w:r>
        <w:instrText xml:space="preserve"> SEQ Figura \* ARABIC </w:instrText>
      </w:r>
      <w:r>
        <w:fldChar w:fldCharType="separate"/>
      </w:r>
      <w:r w:rsidR="00670903">
        <w:rPr>
          <w:noProof/>
        </w:rPr>
        <w:t>17</w:t>
      </w:r>
      <w:r>
        <w:rPr>
          <w:noProof/>
        </w:rPr>
        <w:fldChar w:fldCharType="end"/>
      </w:r>
      <w:r w:rsidRPr="00002207">
        <w:t xml:space="preserve"> – </w:t>
      </w:r>
      <w:r>
        <w:t>Generazioni, influenze e comportamenti</w:t>
      </w:r>
    </w:p>
    <w:p w14:paraId="0BE5B6C7" w14:textId="77777777" w:rsidR="00872434" w:rsidRDefault="00872434" w:rsidP="00872434">
      <w:pPr>
        <w:spacing w:before="120" w:after="0" w:line="240" w:lineRule="auto"/>
      </w:pPr>
      <w:r>
        <w:t xml:space="preserve">Un altro aspetto fondamentale per il futuro del Trasporto Pubblico Locale (TPL) in Piemonte riguarda le </w:t>
      </w:r>
      <w:r w:rsidRPr="00090BAA">
        <w:rPr>
          <w:u w:val="single"/>
        </w:rPr>
        <w:t>Sfide e le opportunità offerte dalle nuove tecnologie</w:t>
      </w:r>
      <w:r>
        <w:t>. L'uso dell'intelligenza artificiale (IA) e dei Big Data sta rivoluzionando la pianificazione e la gestione dei trasporti, permettendo di ottimizzare i percorsi, guidare la domanda e migliorare la sicurezza. La digitalizzazione dei sistemi di trasporto e delle imprese rappresenta una svolta strategica che richiede un attento investimento in infrastrutture digitali.</w:t>
      </w:r>
    </w:p>
    <w:p w14:paraId="06A1B515" w14:textId="77777777" w:rsidR="00872434" w:rsidRDefault="00872434" w:rsidP="00872434">
      <w:pPr>
        <w:spacing w:before="120" w:after="0" w:line="240" w:lineRule="auto"/>
      </w:pPr>
      <w:r>
        <w:t>L'intelligenza artificiale e i Big Data offrono strumenti potenti per analizzare grandi quantità di dati provenienti da diverse fonti, come i dati di traffico, i dati di utilizzo dei servizi di trasporto pubblico e i dati demografici. Queste tecnologie permettono di ottimizzare i percorsi dei mezzi di trasporto pubblico, favorendo la soddisfazione della domanda, riducendo i tempi di viaggio ed anche migliorando l'efficienza operativa. L'IA può essere utilizzata per monitorare in tempo reale le condizioni del traffico e dei veicoli, identificando potenziali rischi e migliorando la sicurezza dei passeggeri.</w:t>
      </w:r>
    </w:p>
    <w:p w14:paraId="04AC905E" w14:textId="77777777" w:rsidR="00872434" w:rsidRDefault="00872434" w:rsidP="00872434">
      <w:pPr>
        <w:spacing w:before="120" w:after="0" w:line="240" w:lineRule="auto"/>
      </w:pPr>
      <w:r>
        <w:t>Le tecnologie e l'intelligenza artificiale stanno anche migliorando l'esperienza dei passeggeri, offrendo servizi personalizzati e informazioni in tempo reale; assistenti virtuali e app di viaggio stanno diventando sempre più comuni, fornendo supporto agli utenti durante i loro spostamenti offrendo servizi personalizzati ed aggiornamenti in tempo reale su eventuali ritardi, modifiche ai percorsi e altre informazioni rilevanti.</w:t>
      </w:r>
    </w:p>
    <w:p w14:paraId="6B2B204A" w14:textId="77777777" w:rsidR="00872434" w:rsidRDefault="00872434" w:rsidP="00872434">
      <w:pPr>
        <w:spacing w:before="120" w:after="0" w:line="240" w:lineRule="auto"/>
      </w:pPr>
      <w:r>
        <w:lastRenderedPageBreak/>
        <w:t>La pianificazione dei trasporti tramite l’IA favorirà i concetti di Integrazione Modale e di Mobility as a Service (MaaS), integrando diversi mezzi di trasporto in un'unica piattaforma digitale. Questo approccio facilita l'accesso ai servizi di mobilità e migliora l'efficienza del sistema di trasporto pubblico. Le piattaforme MaaS permettono agli utenti di pianificare, prenotare e pagare i loro spostamenti attraverso un'unica applicazione, offrendo soluzioni di mobilità personalizzate e flessibili.</w:t>
      </w:r>
    </w:p>
    <w:p w14:paraId="7082B549" w14:textId="77777777" w:rsidR="00872434" w:rsidRDefault="00872434" w:rsidP="00872434">
      <w:pPr>
        <w:spacing w:before="120" w:after="0" w:line="240" w:lineRule="auto"/>
      </w:pPr>
      <w:r>
        <w:t>Per sfruttarli a pieno è necessaria la digitalizzazione dei Sistemi di Trasporto e delle imprese, attraverso uno strategico investimento in infrastrutture digitali, che devono includere diverse componenti chiave, le principali delle quali sono:</w:t>
      </w:r>
    </w:p>
    <w:p w14:paraId="61719BD7" w14:textId="77777777" w:rsidR="00872434" w:rsidRDefault="00872434" w:rsidP="00872434">
      <w:pPr>
        <w:pStyle w:val="Paragrafoelenco"/>
        <w:numPr>
          <w:ilvl w:val="0"/>
          <w:numId w:val="28"/>
        </w:numPr>
        <w:spacing w:before="120" w:after="0" w:line="240" w:lineRule="auto"/>
      </w:pPr>
      <w:r>
        <w:t>Bigliettazione Elettronica: L'adozione di sistemi di bigliettazione elettronica facilita l'accesso ai servizi di trasporto pubblico e riduce la necessità di biglietti cartacei, migliorando l'efficienza e la sostenibilità.</w:t>
      </w:r>
    </w:p>
    <w:p w14:paraId="5E747DB7" w14:textId="77777777" w:rsidR="00872434" w:rsidRDefault="00872434" w:rsidP="00872434">
      <w:pPr>
        <w:pStyle w:val="Paragrafoelenco"/>
        <w:numPr>
          <w:ilvl w:val="0"/>
          <w:numId w:val="28"/>
        </w:numPr>
        <w:spacing w:before="120" w:after="0" w:line="240" w:lineRule="auto"/>
      </w:pPr>
      <w:r>
        <w:t>Gestione Integrata dell'Organizzazione: La digitalizzazione permette una gestione integrata e centralizzata delle operazioni, migliorando la coordinazione e la risposta alle esigenze degli utenti.</w:t>
      </w:r>
    </w:p>
    <w:p w14:paraId="3607C3ED" w14:textId="77777777" w:rsidR="00872434" w:rsidRDefault="00872434" w:rsidP="00872434">
      <w:pPr>
        <w:pStyle w:val="Paragrafoelenco"/>
        <w:numPr>
          <w:ilvl w:val="0"/>
          <w:numId w:val="28"/>
        </w:numPr>
        <w:spacing w:before="120" w:after="0" w:line="240" w:lineRule="auto"/>
      </w:pPr>
      <w:r>
        <w:t>Raccolta dei Dati e delle Informazioni: La raccolta e l'analisi dei dati in tempo reale consentono di monitorare le prestazioni del servizio e di apportare miglioramenti continui.</w:t>
      </w:r>
    </w:p>
    <w:p w14:paraId="62F42AE5" w14:textId="77777777" w:rsidR="00872434" w:rsidRDefault="00872434" w:rsidP="00872434">
      <w:pPr>
        <w:pStyle w:val="Paragrafoelenco"/>
        <w:numPr>
          <w:ilvl w:val="0"/>
          <w:numId w:val="28"/>
        </w:numPr>
        <w:spacing w:before="120" w:after="0" w:line="240" w:lineRule="auto"/>
      </w:pPr>
      <w:r>
        <w:t>Customer Care e Rapporto con l'Utente: Le tecnologie digitali migliorano il customer care, offrendo canali di comunicazione diretti e personalizzati con gli utenti, e permettono di raccogliere feedback per migliorare il servizio.</w:t>
      </w:r>
    </w:p>
    <w:p w14:paraId="4C1E7E30" w14:textId="77777777" w:rsidR="00872434" w:rsidRDefault="00872434" w:rsidP="00872434">
      <w:pPr>
        <w:spacing w:before="120" w:after="0" w:line="240" w:lineRule="auto"/>
      </w:pPr>
      <w:r w:rsidRPr="00D26E93">
        <w:t xml:space="preserve">In sintesi, la sfida per prevedere la domanda da servire si basa su </w:t>
      </w:r>
      <w:r>
        <w:t xml:space="preserve">almeno </w:t>
      </w:r>
      <w:r w:rsidRPr="00D26E93">
        <w:t>due componenti fondamentali: l'analisi dei cambiamenti generazionali e le opportunità offerte dalle sfide tecnologiche.</w:t>
      </w:r>
    </w:p>
    <w:p w14:paraId="48DBDFF6" w14:textId="77777777" w:rsidR="00872434" w:rsidRDefault="00872434" w:rsidP="00872434">
      <w:pPr>
        <w:spacing w:before="120" w:after="0" w:line="240" w:lineRule="auto"/>
      </w:pPr>
      <w:r w:rsidRPr="00D26E93">
        <w:t>Nella procedura di gara</w:t>
      </w:r>
      <w:r>
        <w:t xml:space="preserve"> </w:t>
      </w:r>
      <w:r w:rsidRPr="00D26E93">
        <w:t>AMP richiederà alle imprese di indicare i metodi e gli strumenti che utilizzano e/o intendono utilizzare per sviluppare azioni strategiche in questi ambiti</w:t>
      </w:r>
      <w:r>
        <w:t xml:space="preserve"> od in altri che riterranno rilevanti</w:t>
      </w:r>
      <w:r w:rsidRPr="00D26E93">
        <w:t>.</w:t>
      </w:r>
    </w:p>
    <w:p w14:paraId="362BC91E" w14:textId="77777777" w:rsidR="00872434" w:rsidRPr="00DD2E45" w:rsidRDefault="00872434" w:rsidP="00872434">
      <w:pPr>
        <w:spacing w:before="120" w:after="0" w:line="240" w:lineRule="auto"/>
      </w:pPr>
      <w:r w:rsidRPr="00DD2E45">
        <w:t>Da un punto di vista demografico l’ISTAT</w:t>
      </w:r>
      <w:r w:rsidRPr="00DD2E45">
        <w:rPr>
          <w:rStyle w:val="Rimandonotaapidipagina"/>
        </w:rPr>
        <w:footnoteReference w:id="25"/>
      </w:r>
      <w:r w:rsidRPr="00DD2E45">
        <w:t xml:space="preserve"> fornisce per il Bacino Sud Est un andamento previsionale della popolazione per il periodo 2027-2033 nel suo complesso in lievissimo calo rispetto ad oggi (-1,45%), con fluttuazioni fra le differenti classi di età. In particolare, rispetto all’intera popolazione la generazione Z (+1,7%) e la generazione Y-Millennials (+1%) sono quelle che hanno una previsione d’incremento maggiore rispetto ad altre fasce.</w:t>
      </w:r>
    </w:p>
    <w:p w14:paraId="48CF5B31" w14:textId="77777777" w:rsidR="00872434" w:rsidRPr="00C128A7" w:rsidRDefault="00872434" w:rsidP="00872434">
      <w:pPr>
        <w:spacing w:before="120" w:after="0" w:line="240" w:lineRule="auto"/>
      </w:pPr>
      <w:r w:rsidRPr="00C128A7">
        <w:t>Si può ipotizzare quindi una maggiore domanda di trasporto pubblico legate a queste fasce generazionali che date le caratteristiche comportamentali in precedenza descritte si può supporre meno sistematiche e più propense a forme di mobilità condivisa rispetto ad oggi per soggetti di pari età. Tale domanda potrà essere catturata:</w:t>
      </w:r>
    </w:p>
    <w:p w14:paraId="55EA31BA" w14:textId="77777777" w:rsidR="00872434" w:rsidRPr="00C128A7" w:rsidRDefault="00872434" w:rsidP="00872434">
      <w:pPr>
        <w:pStyle w:val="Paragrafoelenco"/>
        <w:numPr>
          <w:ilvl w:val="0"/>
          <w:numId w:val="34"/>
        </w:numPr>
        <w:spacing w:before="120" w:after="0" w:line="240" w:lineRule="auto"/>
        <w:ind w:left="714" w:hanging="357"/>
        <w:contextualSpacing w:val="0"/>
      </w:pPr>
      <w:r w:rsidRPr="00C128A7">
        <w:t>Promuovendo una sempre maggiore digitalizzazione del servizio e una maggiore flessibilità</w:t>
      </w:r>
    </w:p>
    <w:p w14:paraId="14829EFD" w14:textId="77777777" w:rsidR="00872434" w:rsidRPr="00C128A7" w:rsidRDefault="00872434" w:rsidP="00872434">
      <w:pPr>
        <w:pStyle w:val="Paragrafoelenco"/>
        <w:numPr>
          <w:ilvl w:val="0"/>
          <w:numId w:val="34"/>
        </w:numPr>
        <w:spacing w:before="120" w:after="0" w:line="240" w:lineRule="auto"/>
        <w:ind w:left="714" w:hanging="357"/>
        <w:contextualSpacing w:val="0"/>
      </w:pPr>
      <w:r w:rsidRPr="00C128A7">
        <w:t>Un’offerta con standard di qualità sempre più elevati (offerta regolare, cadenzata, accessibile)</w:t>
      </w:r>
    </w:p>
    <w:p w14:paraId="721A1165" w14:textId="77777777" w:rsidR="00872434" w:rsidRPr="00C128A7" w:rsidRDefault="00872434" w:rsidP="00872434">
      <w:pPr>
        <w:pStyle w:val="Paragrafoelenco"/>
        <w:numPr>
          <w:ilvl w:val="0"/>
          <w:numId w:val="34"/>
        </w:numPr>
        <w:spacing w:before="120" w:after="0" w:line="240" w:lineRule="auto"/>
        <w:ind w:left="714" w:hanging="357"/>
        <w:contextualSpacing w:val="0"/>
      </w:pPr>
      <w:r w:rsidRPr="00C128A7">
        <w:t>Ampliando l’offerta nelle fasce di morbida o nei giorni feriali.</w:t>
      </w:r>
    </w:p>
    <w:p w14:paraId="2B5BE188" w14:textId="77777777" w:rsidR="00335312" w:rsidRDefault="00872434" w:rsidP="00872434">
      <w:pPr>
        <w:pStyle w:val="NormaleWeb"/>
        <w:spacing w:before="120" w:after="0" w:line="240" w:lineRule="auto"/>
        <w:sectPr w:rsidR="00335312" w:rsidSect="0031622C">
          <w:footerReference w:type="default" r:id="rId56"/>
          <w:pgSz w:w="11906" w:h="16838"/>
          <w:pgMar w:top="1418" w:right="1418" w:bottom="1418" w:left="1418" w:header="709" w:footer="709" w:gutter="0"/>
          <w:pgBorders w:offsetFrom="page">
            <w:right w:val="single" w:sz="48" w:space="24" w:color="A5C34C" w:themeColor="accent6" w:themeShade="BF"/>
          </w:pgBorders>
          <w:cols w:space="708"/>
          <w:docGrid w:linePitch="360"/>
        </w:sectPr>
      </w:pPr>
      <w:r w:rsidRPr="00C128A7">
        <w:t>L’Agenzia ritiene che lavorando su tali aspetti sia possibile recuperare nel corso dei futuri affidamenti il gap ancora presente di circa il 6% tra la domanda di TPL soddisfatta pre COVID e la domanda soddisfatta attuale, seppur in presenza di una variazione dei comportamenti meno sistematici ma maggiormente resilienti delle future generazioni “adulte” e una popolazione scolastica in riduzione.</w:t>
      </w:r>
    </w:p>
    <w:p w14:paraId="32CB8979" w14:textId="77777777" w:rsidR="00335312" w:rsidRDefault="00335312" w:rsidP="00335312">
      <w:pPr>
        <w:pStyle w:val="Titolo1"/>
        <w:spacing w:after="360"/>
        <w:ind w:left="431" w:hanging="431"/>
      </w:pPr>
      <w:bookmarkStart w:id="184" w:name="_Toc204328723"/>
      <w:bookmarkStart w:id="185" w:name="_Toc205213723"/>
      <w:r>
        <w:lastRenderedPageBreak/>
        <w:t>Analisi offerta di trasporto del Bacino Sud Est</w:t>
      </w:r>
      <w:bookmarkEnd w:id="184"/>
      <w:bookmarkEnd w:id="185"/>
    </w:p>
    <w:p w14:paraId="4565ABD1" w14:textId="77777777" w:rsidR="00335312" w:rsidRDefault="00335312" w:rsidP="00335312">
      <w:pPr>
        <w:pStyle w:val="Titolo2"/>
        <w:ind w:left="567"/>
      </w:pPr>
      <w:bookmarkStart w:id="186" w:name="_Toc193195703"/>
      <w:bookmarkStart w:id="187" w:name="_Toc1221289343"/>
      <w:bookmarkStart w:id="188" w:name="_Toc197695680"/>
      <w:bookmarkStart w:id="189" w:name="_Toc204328724"/>
      <w:bookmarkStart w:id="190" w:name="_Toc205213724"/>
      <w:r>
        <w:t>Offerta di trasporto attuale</w:t>
      </w:r>
      <w:bookmarkEnd w:id="186"/>
      <w:bookmarkEnd w:id="187"/>
      <w:bookmarkEnd w:id="188"/>
      <w:bookmarkEnd w:id="189"/>
      <w:bookmarkEnd w:id="190"/>
    </w:p>
    <w:p w14:paraId="687D47FE" w14:textId="77777777" w:rsidR="00335312" w:rsidRDefault="00335312" w:rsidP="00335312">
      <w:pPr>
        <w:pStyle w:val="Titolo3"/>
        <w:spacing w:before="120" w:after="0" w:line="240" w:lineRule="auto"/>
        <w:ind w:left="720"/>
      </w:pPr>
      <w:bookmarkStart w:id="191" w:name="_Toc193195704"/>
      <w:bookmarkStart w:id="192" w:name="_Toc595939406"/>
      <w:bookmarkStart w:id="193" w:name="_Toc197695681"/>
      <w:bookmarkStart w:id="194" w:name="_Toc204328725"/>
      <w:bookmarkStart w:id="195" w:name="_Toc205213725"/>
      <w:r>
        <w:t>Servizi ferroviari</w:t>
      </w:r>
      <w:bookmarkEnd w:id="191"/>
      <w:bookmarkEnd w:id="192"/>
      <w:bookmarkEnd w:id="193"/>
      <w:bookmarkEnd w:id="194"/>
      <w:bookmarkEnd w:id="195"/>
      <w:r>
        <w:t xml:space="preserve"> </w:t>
      </w:r>
    </w:p>
    <w:p w14:paraId="293FB7A9" w14:textId="77777777" w:rsidR="00335312" w:rsidRDefault="00335312" w:rsidP="00335312">
      <w:pPr>
        <w:spacing w:before="120" w:after="0" w:line="240" w:lineRule="auto"/>
      </w:pPr>
      <w:r>
        <w:t>Nel seguente paragrafo per completezza di informazioni, anche se non sarà oggetto dei lotti di gara, è riportata una breve descrizione del sistema ferroviario presente nel Bacino Sud Est, con il quale il servizio automobilistico dovrà integrarsi.</w:t>
      </w:r>
    </w:p>
    <w:p w14:paraId="0C75A6D0" w14:textId="77777777" w:rsidR="00335312" w:rsidRDefault="00335312" w:rsidP="00335312">
      <w:pPr>
        <w:spacing w:before="120" w:after="0" w:line="240" w:lineRule="auto"/>
      </w:pPr>
      <w:r>
        <w:t>Il sistema è costituito da differenti tipologie di servizio e differenti operatori di seguito descritti:</w:t>
      </w:r>
    </w:p>
    <w:p w14:paraId="188D39EE" w14:textId="77777777" w:rsidR="00335312" w:rsidRDefault="00335312" w:rsidP="00335312">
      <w:pPr>
        <w:pStyle w:val="Paragrafoelenco"/>
        <w:numPr>
          <w:ilvl w:val="0"/>
          <w:numId w:val="91"/>
        </w:numPr>
        <w:spacing w:before="120" w:after="0" w:line="240" w:lineRule="auto"/>
        <w:contextualSpacing w:val="0"/>
      </w:pPr>
      <w:r>
        <w:t>“Trenitalia spa” che eroga servizi di carattere Regionale e Regionale Veloce nell’ambito del contratto di servizio “SFM Servizio Ferroviario Metropolitano” e del contratto di servizio “SFR Servizio Ferroviario Regionale” entrambi contrattualizzati dall’Agenzia, oltre ai servizi di carattere nazionale ed internazionale non gestiti dall’Agenzia;</w:t>
      </w:r>
    </w:p>
    <w:p w14:paraId="7CF4140F" w14:textId="77777777" w:rsidR="00335312" w:rsidRDefault="00335312" w:rsidP="00335312">
      <w:pPr>
        <w:pStyle w:val="Paragrafoelenco"/>
        <w:numPr>
          <w:ilvl w:val="0"/>
          <w:numId w:val="91"/>
        </w:numPr>
        <w:spacing w:before="120" w:after="0" w:line="240" w:lineRule="auto"/>
        <w:contextualSpacing w:val="0"/>
      </w:pPr>
      <w:r>
        <w:t>“Trenord Srl” che eroga servizi ferroviari interregionali (Lombardia–Piemonte) non gestiti dall’Agenzia.</w:t>
      </w:r>
    </w:p>
    <w:p w14:paraId="0308AD34" w14:textId="27649C8E" w:rsidR="00335312" w:rsidRDefault="00335312" w:rsidP="00335312">
      <w:pPr>
        <w:spacing w:before="120" w:after="0" w:line="240" w:lineRule="auto"/>
      </w:pPr>
      <w:r>
        <w:t>Sarà richiesto nei futuri affidamenti di garantire l’integrazione con i servizi ferroviari presenti sul territorio.</w:t>
      </w:r>
      <w:r w:rsidR="001A246B">
        <w:t xml:space="preserve"> </w:t>
      </w:r>
      <w:r>
        <w:t>I servizi regionali programmati dall’Agenzia sono dettagliati nella tabella seguente.</w:t>
      </w: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47"/>
        <w:gridCol w:w="1559"/>
        <w:gridCol w:w="1843"/>
        <w:gridCol w:w="1559"/>
        <w:gridCol w:w="1559"/>
      </w:tblGrid>
      <w:tr w:rsidR="00335312" w:rsidRPr="001D451C" w14:paraId="6D9B515C" w14:textId="77777777" w:rsidTr="002A21C0">
        <w:tc>
          <w:tcPr>
            <w:tcW w:w="2547" w:type="dxa"/>
            <w:shd w:val="clear" w:color="auto" w:fill="A5C34C" w:themeFill="accent6" w:themeFillShade="BF"/>
            <w:vAlign w:val="center"/>
          </w:tcPr>
          <w:p w14:paraId="7EE95D0F" w14:textId="77777777" w:rsidR="00335312" w:rsidRPr="001D451C" w:rsidRDefault="00335312" w:rsidP="002A21C0">
            <w:pPr>
              <w:spacing w:before="120" w:after="0" w:line="240" w:lineRule="auto"/>
              <w:rPr>
                <w:rFonts w:ascii="Calibri" w:hAnsi="Calibri" w:cs="Calibri"/>
                <w:b/>
              </w:rPr>
            </w:pPr>
            <w:r w:rsidRPr="001D451C">
              <w:rPr>
                <w:rFonts w:ascii="Calibri" w:hAnsi="Calibri" w:cs="Calibri"/>
                <w:b/>
              </w:rPr>
              <w:t>Linea/Relazione</w:t>
            </w:r>
          </w:p>
        </w:tc>
        <w:tc>
          <w:tcPr>
            <w:tcW w:w="1559" w:type="dxa"/>
            <w:shd w:val="clear" w:color="auto" w:fill="A5C34C" w:themeFill="accent6" w:themeFillShade="BF"/>
            <w:vAlign w:val="center"/>
          </w:tcPr>
          <w:p w14:paraId="59A3F8FE" w14:textId="77777777" w:rsidR="00335312" w:rsidRPr="001D451C" w:rsidRDefault="00335312" w:rsidP="002A21C0">
            <w:pPr>
              <w:spacing w:before="120" w:after="0" w:line="240" w:lineRule="auto"/>
              <w:rPr>
                <w:rFonts w:ascii="Calibri" w:hAnsi="Calibri" w:cs="Calibri"/>
                <w:b/>
              </w:rPr>
            </w:pPr>
            <w:r w:rsidRPr="001D451C">
              <w:rPr>
                <w:rFonts w:ascii="Calibri" w:hAnsi="Calibri" w:cs="Calibri"/>
                <w:b/>
              </w:rPr>
              <w:t>Sistema ferroviario</w:t>
            </w:r>
          </w:p>
        </w:tc>
        <w:tc>
          <w:tcPr>
            <w:tcW w:w="1843" w:type="dxa"/>
            <w:shd w:val="clear" w:color="auto" w:fill="A5C34C" w:themeFill="accent6" w:themeFillShade="BF"/>
            <w:vAlign w:val="center"/>
          </w:tcPr>
          <w:p w14:paraId="02941273" w14:textId="77777777" w:rsidR="00335312" w:rsidRPr="001D451C" w:rsidRDefault="00335312" w:rsidP="002A21C0">
            <w:pPr>
              <w:spacing w:before="120" w:after="0" w:line="240" w:lineRule="auto"/>
              <w:rPr>
                <w:rFonts w:ascii="Calibri" w:hAnsi="Calibri" w:cs="Calibri"/>
                <w:b/>
              </w:rPr>
            </w:pPr>
            <w:r w:rsidRPr="001D451C">
              <w:rPr>
                <w:rFonts w:ascii="Calibri" w:hAnsi="Calibri" w:cs="Calibri"/>
                <w:b/>
              </w:rPr>
              <w:t>Operatore</w:t>
            </w:r>
          </w:p>
        </w:tc>
        <w:tc>
          <w:tcPr>
            <w:tcW w:w="1559" w:type="dxa"/>
            <w:shd w:val="clear" w:color="auto" w:fill="A5C34C" w:themeFill="accent6" w:themeFillShade="BF"/>
            <w:vAlign w:val="center"/>
          </w:tcPr>
          <w:p w14:paraId="05948805" w14:textId="77777777" w:rsidR="00335312" w:rsidRPr="001D451C" w:rsidRDefault="00335312" w:rsidP="002A21C0">
            <w:pPr>
              <w:spacing w:before="120" w:after="0" w:line="240" w:lineRule="auto"/>
              <w:rPr>
                <w:rFonts w:ascii="Calibri" w:hAnsi="Calibri" w:cs="Calibri"/>
                <w:b/>
              </w:rPr>
            </w:pPr>
            <w:r w:rsidRPr="001D451C">
              <w:rPr>
                <w:rFonts w:ascii="Calibri" w:hAnsi="Calibri" w:cs="Calibri"/>
                <w:b/>
              </w:rPr>
              <w:t>Contratto</w:t>
            </w:r>
          </w:p>
        </w:tc>
        <w:tc>
          <w:tcPr>
            <w:tcW w:w="1559" w:type="dxa"/>
            <w:shd w:val="clear" w:color="auto" w:fill="A5C34C" w:themeFill="accent6" w:themeFillShade="BF"/>
            <w:vAlign w:val="center"/>
          </w:tcPr>
          <w:p w14:paraId="2E32CAD0" w14:textId="77777777" w:rsidR="00335312" w:rsidRPr="001D451C" w:rsidRDefault="00335312" w:rsidP="002A21C0">
            <w:pPr>
              <w:spacing w:before="120" w:after="0" w:line="240" w:lineRule="auto"/>
              <w:rPr>
                <w:rFonts w:ascii="Calibri" w:hAnsi="Calibri" w:cs="Calibri"/>
                <w:b/>
              </w:rPr>
            </w:pPr>
            <w:r w:rsidRPr="001D451C">
              <w:rPr>
                <w:rFonts w:ascii="Calibri" w:hAnsi="Calibri" w:cs="Calibri"/>
                <w:b/>
              </w:rPr>
              <w:t>Produzione annua treni*km</w:t>
            </w:r>
          </w:p>
        </w:tc>
      </w:tr>
      <w:tr w:rsidR="00335312" w:rsidRPr="001D451C" w14:paraId="7D99E77E" w14:textId="77777777" w:rsidTr="002A21C0">
        <w:tc>
          <w:tcPr>
            <w:tcW w:w="2547" w:type="dxa"/>
            <w:vAlign w:val="center"/>
          </w:tcPr>
          <w:p w14:paraId="7A8D3622"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Caselle Aeroporto - Torino - Asti</w:t>
            </w:r>
          </w:p>
        </w:tc>
        <w:tc>
          <w:tcPr>
            <w:tcW w:w="1559" w:type="dxa"/>
            <w:vAlign w:val="center"/>
          </w:tcPr>
          <w:p w14:paraId="1662BAC1"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Metropolitano SFM</w:t>
            </w:r>
            <w:r>
              <w:rPr>
                <w:rFonts w:ascii="Calibri" w:hAnsi="Calibri" w:cs="Calibri"/>
              </w:rPr>
              <w:t xml:space="preserve"> 6</w:t>
            </w:r>
          </w:p>
        </w:tc>
        <w:tc>
          <w:tcPr>
            <w:tcW w:w="1843" w:type="dxa"/>
            <w:vAlign w:val="center"/>
          </w:tcPr>
          <w:p w14:paraId="64A33017"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6378C21D"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n.236 09/10/2020</w:t>
            </w:r>
          </w:p>
        </w:tc>
        <w:tc>
          <w:tcPr>
            <w:tcW w:w="1559" w:type="dxa"/>
            <w:vAlign w:val="center"/>
          </w:tcPr>
          <w:p w14:paraId="2ABBB19F"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785.808</w:t>
            </w:r>
          </w:p>
        </w:tc>
      </w:tr>
      <w:tr w:rsidR="00335312" w:rsidRPr="001D451C" w14:paraId="62711145" w14:textId="77777777" w:rsidTr="002A21C0">
        <w:tc>
          <w:tcPr>
            <w:tcW w:w="2547" w:type="dxa"/>
            <w:vAlign w:val="center"/>
          </w:tcPr>
          <w:p w14:paraId="1452B899"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Alessandria - Acqui - Savona</w:t>
            </w:r>
          </w:p>
        </w:tc>
        <w:tc>
          <w:tcPr>
            <w:tcW w:w="1559" w:type="dxa"/>
            <w:vAlign w:val="center"/>
          </w:tcPr>
          <w:p w14:paraId="448087BE"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11E46CC7"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032DBF3A"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0D0DB8A4"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584.237</w:t>
            </w:r>
          </w:p>
        </w:tc>
      </w:tr>
      <w:tr w:rsidR="00335312" w:rsidRPr="001D451C" w14:paraId="0C8F776C" w14:textId="77777777" w:rsidTr="002A21C0">
        <w:tc>
          <w:tcPr>
            <w:tcW w:w="2547" w:type="dxa"/>
            <w:vAlign w:val="center"/>
          </w:tcPr>
          <w:p w14:paraId="26B05C8D"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Alessandria - Arquata -[Genova]</w:t>
            </w:r>
          </w:p>
        </w:tc>
        <w:tc>
          <w:tcPr>
            <w:tcW w:w="1559" w:type="dxa"/>
            <w:vAlign w:val="center"/>
          </w:tcPr>
          <w:p w14:paraId="56DB4545"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34FD3CD0"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7212BBBF"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53B97377"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100.316</w:t>
            </w:r>
          </w:p>
        </w:tc>
      </w:tr>
      <w:tr w:rsidR="00335312" w:rsidRPr="001D451C" w14:paraId="4FE002FC" w14:textId="77777777" w:rsidTr="002A21C0">
        <w:tc>
          <w:tcPr>
            <w:tcW w:w="2547" w:type="dxa"/>
            <w:vAlign w:val="center"/>
          </w:tcPr>
          <w:p w14:paraId="76E51FE1"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Asti - Acqui</w:t>
            </w:r>
          </w:p>
        </w:tc>
        <w:tc>
          <w:tcPr>
            <w:tcW w:w="1559" w:type="dxa"/>
            <w:vAlign w:val="center"/>
          </w:tcPr>
          <w:p w14:paraId="4F04FD0A"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0D6C3DAE"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0C86F5E9"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309499E0"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184.042</w:t>
            </w:r>
          </w:p>
        </w:tc>
      </w:tr>
      <w:tr w:rsidR="00335312" w:rsidRPr="001D451C" w14:paraId="33728355" w14:textId="77777777" w:rsidTr="002A21C0">
        <w:tc>
          <w:tcPr>
            <w:tcW w:w="2547" w:type="dxa"/>
            <w:vAlign w:val="center"/>
          </w:tcPr>
          <w:p w14:paraId="5FDF6ADE"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Asti - Alessandria - Voghera</w:t>
            </w:r>
          </w:p>
        </w:tc>
        <w:tc>
          <w:tcPr>
            <w:tcW w:w="1559" w:type="dxa"/>
            <w:vAlign w:val="center"/>
          </w:tcPr>
          <w:p w14:paraId="1913A104"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2114CC2E"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35E9BD41"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630E3776"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319.028</w:t>
            </w:r>
          </w:p>
        </w:tc>
      </w:tr>
      <w:tr w:rsidR="00335312" w:rsidRPr="001D451C" w14:paraId="6CEC9E0A" w14:textId="77777777" w:rsidTr="002A21C0">
        <w:tc>
          <w:tcPr>
            <w:tcW w:w="2547" w:type="dxa"/>
            <w:vAlign w:val="center"/>
          </w:tcPr>
          <w:p w14:paraId="4B252912"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Chivasso - Casale - Alessandria</w:t>
            </w:r>
          </w:p>
        </w:tc>
        <w:tc>
          <w:tcPr>
            <w:tcW w:w="1559" w:type="dxa"/>
            <w:vAlign w:val="center"/>
          </w:tcPr>
          <w:p w14:paraId="6BA58588"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4800A51F"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5BCB73B2"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272260E9"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583.015</w:t>
            </w:r>
          </w:p>
        </w:tc>
      </w:tr>
      <w:tr w:rsidR="00335312" w:rsidRPr="001D451C" w14:paraId="00074B13" w14:textId="77777777" w:rsidTr="002A21C0">
        <w:tc>
          <w:tcPr>
            <w:tcW w:w="2547" w:type="dxa"/>
            <w:vAlign w:val="center"/>
          </w:tcPr>
          <w:p w14:paraId="4C77C5D7"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Torino - Alessandria – Genova</w:t>
            </w:r>
          </w:p>
        </w:tc>
        <w:tc>
          <w:tcPr>
            <w:tcW w:w="1559" w:type="dxa"/>
            <w:vAlign w:val="center"/>
          </w:tcPr>
          <w:p w14:paraId="29EDABA3"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1DDE6096"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772C2232"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7328D1D8"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2.019.029</w:t>
            </w:r>
          </w:p>
        </w:tc>
      </w:tr>
      <w:tr w:rsidR="00335312" w:rsidRPr="001D451C" w14:paraId="4262729E" w14:textId="77777777" w:rsidTr="002A21C0">
        <w:tc>
          <w:tcPr>
            <w:tcW w:w="2547" w:type="dxa"/>
            <w:vAlign w:val="center"/>
          </w:tcPr>
          <w:p w14:paraId="32D7D844"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Alba – Asti</w:t>
            </w:r>
          </w:p>
        </w:tc>
        <w:tc>
          <w:tcPr>
            <w:tcW w:w="1559" w:type="dxa"/>
            <w:vAlign w:val="center"/>
          </w:tcPr>
          <w:p w14:paraId="1D9083AB"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4C180BDD"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518C07D5"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04155B76"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101.882</w:t>
            </w:r>
          </w:p>
        </w:tc>
      </w:tr>
      <w:tr w:rsidR="00335312" w:rsidRPr="001D451C" w14:paraId="52A05C8A" w14:textId="77777777" w:rsidTr="002A21C0">
        <w:tc>
          <w:tcPr>
            <w:tcW w:w="2547" w:type="dxa"/>
            <w:vAlign w:val="center"/>
          </w:tcPr>
          <w:p w14:paraId="55D3EC71" w14:textId="77777777" w:rsidR="00335312" w:rsidRPr="001D451C" w:rsidRDefault="00335312" w:rsidP="002A21C0">
            <w:pPr>
              <w:spacing w:before="120" w:after="0" w:line="240" w:lineRule="auto"/>
              <w:jc w:val="left"/>
              <w:rPr>
                <w:rFonts w:ascii="Calibri" w:hAnsi="Calibri" w:cs="Calibri"/>
              </w:rPr>
            </w:pPr>
            <w:r>
              <w:rPr>
                <w:rFonts w:ascii="Calibri" w:hAnsi="Calibri" w:cs="Calibri"/>
              </w:rPr>
              <w:t>Casale – Mortara</w:t>
            </w:r>
          </w:p>
        </w:tc>
        <w:tc>
          <w:tcPr>
            <w:tcW w:w="1559" w:type="dxa"/>
            <w:vAlign w:val="center"/>
          </w:tcPr>
          <w:p w14:paraId="3E228B1C" w14:textId="77777777" w:rsidR="00335312" w:rsidRPr="001D451C" w:rsidRDefault="00335312" w:rsidP="002A21C0">
            <w:pPr>
              <w:spacing w:before="120" w:after="0" w:line="240" w:lineRule="auto"/>
              <w:jc w:val="center"/>
              <w:rPr>
                <w:rFonts w:ascii="Calibri" w:hAnsi="Calibri" w:cs="Calibri"/>
              </w:rPr>
            </w:pPr>
            <w:r w:rsidRPr="001D451C">
              <w:rPr>
                <w:rFonts w:ascii="Calibri" w:hAnsi="Calibri" w:cs="Calibri"/>
              </w:rPr>
              <w:t>Regionale SFR</w:t>
            </w:r>
          </w:p>
        </w:tc>
        <w:tc>
          <w:tcPr>
            <w:tcW w:w="1843" w:type="dxa"/>
            <w:vAlign w:val="center"/>
          </w:tcPr>
          <w:p w14:paraId="4E3F85C4"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Trenitalia spa</w:t>
            </w:r>
          </w:p>
        </w:tc>
        <w:tc>
          <w:tcPr>
            <w:tcW w:w="1559" w:type="dxa"/>
            <w:vAlign w:val="center"/>
          </w:tcPr>
          <w:p w14:paraId="75FB8CD0" w14:textId="77777777" w:rsidR="00335312" w:rsidRPr="001D451C" w:rsidRDefault="00335312" w:rsidP="002A21C0">
            <w:pPr>
              <w:spacing w:before="120" w:after="0" w:line="240" w:lineRule="auto"/>
              <w:rPr>
                <w:rFonts w:ascii="Calibri" w:hAnsi="Calibri" w:cs="Calibri"/>
              </w:rPr>
            </w:pPr>
            <w:r w:rsidRPr="001D451C">
              <w:rPr>
                <w:rFonts w:ascii="Calibri" w:hAnsi="Calibri" w:cs="Calibri"/>
              </w:rPr>
              <w:t>n.296-08/09/2022</w:t>
            </w:r>
          </w:p>
        </w:tc>
        <w:tc>
          <w:tcPr>
            <w:tcW w:w="1559" w:type="dxa"/>
            <w:vAlign w:val="center"/>
          </w:tcPr>
          <w:p w14:paraId="4E55F4E2" w14:textId="77777777" w:rsidR="00335312" w:rsidRPr="001D451C" w:rsidRDefault="00335312" w:rsidP="002A21C0">
            <w:pPr>
              <w:spacing w:before="120" w:after="0" w:line="240" w:lineRule="auto"/>
              <w:jc w:val="right"/>
              <w:rPr>
                <w:rFonts w:ascii="Calibri" w:hAnsi="Calibri" w:cs="Calibri"/>
              </w:rPr>
            </w:pPr>
            <w:r>
              <w:rPr>
                <w:rFonts w:ascii="Calibri" w:hAnsi="Calibri" w:cs="Calibri"/>
              </w:rPr>
              <w:t>100.738</w:t>
            </w:r>
          </w:p>
        </w:tc>
      </w:tr>
    </w:tbl>
    <w:p w14:paraId="6D0AFD30" w14:textId="2EDD903F" w:rsidR="00335312" w:rsidRPr="002D5CA8" w:rsidRDefault="00335312" w:rsidP="00335312">
      <w:pPr>
        <w:pStyle w:val="Didascalia"/>
        <w:spacing w:before="120" w:after="0"/>
        <w:jc w:val="center"/>
        <w:rPr>
          <w:i w:val="0"/>
        </w:rPr>
      </w:pPr>
      <w:r>
        <w:t xml:space="preserve">Tabella </w:t>
      </w:r>
      <w:r>
        <w:fldChar w:fldCharType="begin"/>
      </w:r>
      <w:r>
        <w:instrText xml:space="preserve"> SEQ Tabella \* ARABIC </w:instrText>
      </w:r>
      <w:r>
        <w:fldChar w:fldCharType="separate"/>
      </w:r>
      <w:r w:rsidR="00670903">
        <w:rPr>
          <w:noProof/>
        </w:rPr>
        <w:t>30</w:t>
      </w:r>
      <w:r>
        <w:rPr>
          <w:noProof/>
        </w:rPr>
        <w:fldChar w:fldCharType="end"/>
      </w:r>
      <w:r>
        <w:rPr>
          <w:i w:val="0"/>
        </w:rPr>
        <w:t xml:space="preserve"> – </w:t>
      </w:r>
      <w:r w:rsidRPr="00677A61">
        <w:rPr>
          <w:iCs w:val="0"/>
        </w:rPr>
        <w:t xml:space="preserve">Quadro del servizio ferroviario nel Bacino </w:t>
      </w:r>
      <w:r>
        <w:rPr>
          <w:iCs w:val="0"/>
        </w:rPr>
        <w:t>Sud Est</w:t>
      </w:r>
    </w:p>
    <w:p w14:paraId="599FF938" w14:textId="77777777" w:rsidR="00335312" w:rsidRDefault="00335312" w:rsidP="00335312">
      <w:pPr>
        <w:spacing w:before="120" w:after="0" w:line="240" w:lineRule="auto"/>
      </w:pPr>
    </w:p>
    <w:p w14:paraId="6928D101" w14:textId="77777777" w:rsidR="00335312" w:rsidRDefault="00335312" w:rsidP="00335312">
      <w:pPr>
        <w:spacing w:before="120" w:after="0" w:line="240" w:lineRule="auto"/>
      </w:pPr>
      <w:r>
        <w:t xml:space="preserve">Nel Bacino Sud Est sono altresì presenti le seguenti linee ferroviarie sulle quali il servizio è sospeso: </w:t>
      </w:r>
    </w:p>
    <w:p w14:paraId="5DE6F046" w14:textId="77777777" w:rsidR="00335312" w:rsidRDefault="00335312" w:rsidP="00335312">
      <w:pPr>
        <w:pStyle w:val="Paragrafoelenco"/>
        <w:numPr>
          <w:ilvl w:val="0"/>
          <w:numId w:val="25"/>
        </w:numPr>
        <w:spacing w:before="120" w:after="0" w:line="240" w:lineRule="auto"/>
      </w:pPr>
      <w:r>
        <w:t>Alessandria - Ovada</w:t>
      </w:r>
    </w:p>
    <w:p w14:paraId="7F9C9042" w14:textId="77777777" w:rsidR="00335312" w:rsidRDefault="00335312" w:rsidP="00335312">
      <w:pPr>
        <w:pStyle w:val="Paragrafoelenco"/>
        <w:numPr>
          <w:ilvl w:val="0"/>
          <w:numId w:val="25"/>
        </w:numPr>
        <w:spacing w:before="120" w:after="0" w:line="240" w:lineRule="auto"/>
      </w:pPr>
      <w:r>
        <w:t>Asti - Chivasso</w:t>
      </w:r>
    </w:p>
    <w:p w14:paraId="34572438" w14:textId="77777777" w:rsidR="00335312" w:rsidRDefault="00335312" w:rsidP="00335312">
      <w:pPr>
        <w:pStyle w:val="Paragrafoelenco"/>
        <w:numPr>
          <w:ilvl w:val="0"/>
          <w:numId w:val="25"/>
        </w:numPr>
        <w:spacing w:before="120" w:after="0" w:line="240" w:lineRule="auto"/>
      </w:pPr>
      <w:r w:rsidRPr="003D2DD0">
        <w:t>Alessandria</w:t>
      </w:r>
      <w:r>
        <w:t xml:space="preserve"> </w:t>
      </w:r>
      <w:r w:rsidRPr="003D2DD0">
        <w:t>-</w:t>
      </w:r>
      <w:r>
        <w:t xml:space="preserve"> Nizza - </w:t>
      </w:r>
      <w:r w:rsidRPr="003D2DD0">
        <w:t>Castagnole delle Lanze</w:t>
      </w:r>
      <w:r>
        <w:t xml:space="preserve"> </w:t>
      </w:r>
      <w:r w:rsidRPr="003D2DD0">
        <w:t>-</w:t>
      </w:r>
      <w:r>
        <w:t xml:space="preserve"> </w:t>
      </w:r>
      <w:r w:rsidRPr="003D2DD0">
        <w:t>Alba</w:t>
      </w:r>
      <w:r>
        <w:t>;</w:t>
      </w:r>
    </w:p>
    <w:p w14:paraId="0E155615" w14:textId="77777777" w:rsidR="00335312" w:rsidRDefault="00335312" w:rsidP="00335312">
      <w:pPr>
        <w:pStyle w:val="Paragrafoelenco"/>
        <w:numPr>
          <w:ilvl w:val="0"/>
          <w:numId w:val="25"/>
        </w:numPr>
        <w:spacing w:before="120" w:after="0" w:line="240" w:lineRule="auto"/>
      </w:pPr>
      <w:r>
        <w:t>Asti - Casale - Mortara;</w:t>
      </w:r>
    </w:p>
    <w:p w14:paraId="63942005" w14:textId="77777777" w:rsidR="00335312" w:rsidRDefault="00335312" w:rsidP="00335312">
      <w:pPr>
        <w:pStyle w:val="Paragrafoelenco"/>
        <w:numPr>
          <w:ilvl w:val="0"/>
          <w:numId w:val="25"/>
        </w:numPr>
        <w:spacing w:before="120" w:after="0" w:line="240" w:lineRule="auto"/>
      </w:pPr>
      <w:r>
        <w:t>Casale - Vercelli;</w:t>
      </w:r>
    </w:p>
    <w:p w14:paraId="449D4917" w14:textId="77777777" w:rsidR="00335312" w:rsidRDefault="00335312" w:rsidP="00335312">
      <w:pPr>
        <w:spacing w:before="120" w:after="0" w:line="240" w:lineRule="auto"/>
      </w:pPr>
      <w:r>
        <w:t>Sulla linea Alessandria-Ovada è sospeso solo il servizio di trasporto passeggeri mentre quello merci è ancora attivo;</w:t>
      </w:r>
      <w:r w:rsidRPr="00A1607E">
        <w:t xml:space="preserve"> </w:t>
      </w:r>
      <w:r>
        <w:t xml:space="preserve">sulla linea Asti - Chivasso sono programmati sporadici servizi con treni storici a valenza turistica. Sulle rimanenti </w:t>
      </w:r>
      <w:r w:rsidRPr="00B72CE2">
        <w:t>tre linee</w:t>
      </w:r>
      <w:r>
        <w:t xml:space="preserve"> non sono presenti servizi ferroviari.</w:t>
      </w:r>
    </w:p>
    <w:p w14:paraId="6109D90F" w14:textId="77777777" w:rsidR="00335312" w:rsidRDefault="00335312" w:rsidP="00335312">
      <w:pPr>
        <w:spacing w:before="120" w:after="0" w:line="240" w:lineRule="auto"/>
      </w:pPr>
      <w:r>
        <w:t xml:space="preserve">Tranne che per la linea Alessandria Ovada, per ripristinare il servizio regionale è necessario effettuare lavori di ripristino e </w:t>
      </w:r>
      <w:r w:rsidRPr="00B72CE2">
        <w:t>ammodernamento dell'infrastruttura. Le tempistiche di questi interventi possono variare in base alle specifiche esigenze di ciascuna infrastruttura.</w:t>
      </w:r>
      <w:r>
        <w:t xml:space="preserve"> Tutti gli studi e gli aggiornamenti relativi alle linee sospese sono consultabili sul sito di AMP </w:t>
      </w:r>
      <w:r>
        <w:rPr>
          <w:rStyle w:val="Rimandonotaapidipagina"/>
        </w:rPr>
        <w:footnoteReference w:id="26"/>
      </w:r>
    </w:p>
    <w:p w14:paraId="51D90F42" w14:textId="77777777" w:rsidR="00335312" w:rsidRDefault="00335312" w:rsidP="00335312">
      <w:pPr>
        <w:spacing w:before="120" w:after="0" w:line="240" w:lineRule="auto"/>
      </w:pPr>
    </w:p>
    <w:p w14:paraId="0F2B25A8" w14:textId="77777777" w:rsidR="00335312" w:rsidRDefault="00335312" w:rsidP="00335312">
      <w:pPr>
        <w:spacing w:before="120" w:after="0" w:line="240" w:lineRule="auto"/>
        <w:jc w:val="center"/>
      </w:pPr>
      <w:r>
        <w:rPr>
          <w:noProof/>
        </w:rPr>
        <w:drawing>
          <wp:inline distT="0" distB="0" distL="0" distR="0" wp14:anchorId="02144FA2" wp14:editId="5DB4D87D">
            <wp:extent cx="5635488" cy="3985895"/>
            <wp:effectExtent l="0" t="0" r="3810" b="0"/>
            <wp:docPr id="2145285967" name="Immagine 2145285967" descr="C:\Users\Tensi\AppData\Local\Microsoft\Windows\INetCache\Content.Word\Fig 20 - Rete ferrovia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nsi\AppData\Local\Microsoft\Windows\INetCache\Content.Word\Fig 20 - Rete ferroviaria.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51290" cy="3997072"/>
                    </a:xfrm>
                    <a:prstGeom prst="rect">
                      <a:avLst/>
                    </a:prstGeom>
                    <a:noFill/>
                    <a:ln>
                      <a:noFill/>
                    </a:ln>
                  </pic:spPr>
                </pic:pic>
              </a:graphicData>
            </a:graphic>
          </wp:inline>
        </w:drawing>
      </w:r>
    </w:p>
    <w:p w14:paraId="055046DF" w14:textId="7FEA01CD" w:rsidR="00335312" w:rsidRPr="00382ABF" w:rsidRDefault="00335312" w:rsidP="00335312">
      <w:pPr>
        <w:pStyle w:val="Didascalia"/>
        <w:jc w:val="center"/>
        <w:rPr>
          <w:rFonts w:cs="Times New Roman"/>
          <w:szCs w:val="22"/>
        </w:rPr>
      </w:pPr>
      <w:r w:rsidRPr="00382ABF">
        <w:t xml:space="preserve">Figura </w:t>
      </w:r>
      <w:r>
        <w:fldChar w:fldCharType="begin"/>
      </w:r>
      <w:r>
        <w:instrText xml:space="preserve"> SEQ Figura \* ARABIC </w:instrText>
      </w:r>
      <w:r>
        <w:fldChar w:fldCharType="separate"/>
      </w:r>
      <w:r w:rsidR="00670903">
        <w:rPr>
          <w:noProof/>
        </w:rPr>
        <w:t>18</w:t>
      </w:r>
      <w:r>
        <w:rPr>
          <w:noProof/>
        </w:rPr>
        <w:fldChar w:fldCharType="end"/>
      </w:r>
      <w:r w:rsidRPr="00382ABF">
        <w:t xml:space="preserve"> </w:t>
      </w:r>
      <w:r>
        <w:t>–</w:t>
      </w:r>
      <w:r w:rsidRPr="00382ABF">
        <w:t xml:space="preserve"> </w:t>
      </w:r>
      <w:r>
        <w:t>Mappa della rete ferroviaria del Bacino Sud Est</w:t>
      </w:r>
    </w:p>
    <w:p w14:paraId="73BB8C43" w14:textId="77777777" w:rsidR="00335312" w:rsidRDefault="00335312" w:rsidP="00335312">
      <w:pPr>
        <w:spacing w:before="120" w:after="0" w:line="240" w:lineRule="auto"/>
      </w:pPr>
      <w:r>
        <w:t>E’ importante segnalare che è in corso di sviluppo un servizio coordinato fra le Regioni Lombardia, Liguria e Piemonte per la revisione dei servizi interregionali; a partire dall’orario ferroviario dicembre 2025 – dicembre 2026 si avrà:</w:t>
      </w:r>
    </w:p>
    <w:p w14:paraId="7D00C977" w14:textId="77777777" w:rsidR="00335312" w:rsidRDefault="00335312" w:rsidP="00335312">
      <w:pPr>
        <w:pStyle w:val="Paragrafoelenco"/>
        <w:numPr>
          <w:ilvl w:val="0"/>
          <w:numId w:val="18"/>
        </w:numPr>
        <w:spacing w:before="120" w:after="0" w:line="240" w:lineRule="auto"/>
        <w:ind w:left="357" w:hanging="357"/>
        <w:contextualSpacing w:val="0"/>
      </w:pPr>
      <w:r>
        <w:lastRenderedPageBreak/>
        <w:t>un servizio cadenzato biorario sulla direttrice Asti – Alessandria – Tortona – Milano operato da Trenitalia nell’ambito del Cds con Regione Piemonte e da Trenord nell’ambito del Cds con Regione Lombardia;</w:t>
      </w:r>
    </w:p>
    <w:p w14:paraId="223DE66C" w14:textId="77777777" w:rsidR="00335312" w:rsidRDefault="00335312" w:rsidP="00335312">
      <w:pPr>
        <w:pStyle w:val="Paragrafoelenco"/>
        <w:numPr>
          <w:ilvl w:val="0"/>
          <w:numId w:val="18"/>
        </w:numPr>
        <w:spacing w:before="120" w:after="0" w:line="240" w:lineRule="auto"/>
        <w:ind w:left="357" w:hanging="357"/>
        <w:contextualSpacing w:val="0"/>
      </w:pPr>
      <w:r>
        <w:t>un servizio cadenzato biorario sulla direttrice Novi – Tortona – Milano operato da Trenord nell’ambito del Cds con Regione Lombardia;</w:t>
      </w:r>
    </w:p>
    <w:p w14:paraId="3BBD9161" w14:textId="77777777" w:rsidR="00335312" w:rsidRDefault="00335312" w:rsidP="00335312">
      <w:pPr>
        <w:pStyle w:val="Paragrafoelenco"/>
        <w:numPr>
          <w:ilvl w:val="0"/>
          <w:numId w:val="18"/>
        </w:numPr>
        <w:spacing w:before="120" w:after="0" w:line="240" w:lineRule="auto"/>
        <w:ind w:left="357" w:hanging="357"/>
        <w:contextualSpacing w:val="0"/>
      </w:pPr>
      <w:r>
        <w:t>un servizio cadenzato orario sulla direttrice Genova – Tortona – Milano operato da Trenitalia nell’ambito del Cds con Regione Liguria;</w:t>
      </w:r>
    </w:p>
    <w:p w14:paraId="727F0F66" w14:textId="77777777" w:rsidR="00335312" w:rsidRDefault="00335312" w:rsidP="00335312">
      <w:pPr>
        <w:spacing w:before="120" w:after="0" w:line="240" w:lineRule="auto"/>
      </w:pPr>
      <w:r>
        <w:t>I tre servizi sono coordinati nella stazione di Tortona che potrà contare su un servizio semi-orario per Milano.</w:t>
      </w:r>
    </w:p>
    <w:p w14:paraId="0F7EC21B" w14:textId="77777777" w:rsidR="00335312" w:rsidRDefault="00335312" w:rsidP="00335312">
      <w:pPr>
        <w:spacing w:before="120" w:after="0" w:line="240" w:lineRule="auto"/>
      </w:pPr>
      <w:r w:rsidRPr="005D6240">
        <w:t xml:space="preserve">Nelle proposte progettuali per la </w:t>
      </w:r>
      <w:r>
        <w:t>programmazione</w:t>
      </w:r>
      <w:r w:rsidRPr="005D6240">
        <w:t xml:space="preserve"> dei servizi automobilistici di bacino, particolare attenzione sarà dedicata ai nodi interessati dal servizio ferroviario, con un focus specifico sul nodo ferroviario di Tortona.</w:t>
      </w:r>
    </w:p>
    <w:p w14:paraId="0CE937A4" w14:textId="77777777" w:rsidR="00335312" w:rsidRDefault="00335312" w:rsidP="00335312">
      <w:pPr>
        <w:pStyle w:val="Titolo3"/>
        <w:ind w:left="720"/>
      </w:pPr>
      <w:bookmarkStart w:id="196" w:name="_Toc204328726"/>
      <w:bookmarkStart w:id="197" w:name="_Ref205204887"/>
      <w:bookmarkStart w:id="198" w:name="_Toc205213726"/>
      <w:r>
        <w:t>Servizi automobilistici di TPL urbano ed extraurbano del Bacino Sud Est</w:t>
      </w:r>
      <w:bookmarkEnd w:id="196"/>
      <w:bookmarkEnd w:id="197"/>
      <w:bookmarkEnd w:id="198"/>
    </w:p>
    <w:p w14:paraId="6A083A09" w14:textId="77777777" w:rsidR="00335312" w:rsidRDefault="00335312" w:rsidP="00335312">
      <w:pPr>
        <w:spacing w:before="120" w:after="0" w:line="240" w:lineRule="auto"/>
        <w:rPr>
          <w:rFonts w:cs="Times New Roman"/>
        </w:rPr>
      </w:pPr>
      <w:r>
        <w:rPr>
          <w:rFonts w:cs="Times New Roman"/>
        </w:rPr>
        <w:t xml:space="preserve">Dal 2019 </w:t>
      </w:r>
      <w:r w:rsidRPr="00155017">
        <w:rPr>
          <w:rFonts w:cs="Times New Roman"/>
        </w:rPr>
        <w:t xml:space="preserve">i servizi per il trasporto urbano ed extraurbano </w:t>
      </w:r>
      <w:r>
        <w:rPr>
          <w:rFonts w:cs="Times New Roman"/>
        </w:rPr>
        <w:t xml:space="preserve">del Bacino Sud Est </w:t>
      </w:r>
      <w:r w:rsidRPr="00155017">
        <w:rPr>
          <w:rFonts w:cs="Times New Roman"/>
        </w:rPr>
        <w:t>sono af</w:t>
      </w:r>
      <w:r>
        <w:rPr>
          <w:rFonts w:cs="Times New Roman"/>
        </w:rPr>
        <w:t>fidati tramite 5 diversi contratti di servizio ad altrettante aziende o consorzi: i servizi extraurbani provinciali sono affidati al consorzio SCAT per la provincia di Alessandria e al consorzio COAS per la provincia di Asti, mentre i servizi urbani delle principali conurbazioni vengono svolti dalle aziende AMC a Casale Monferrato, AMAG ad Alessandria e, a partire dal 2021, da ASP ad Asti.</w:t>
      </w:r>
    </w:p>
    <w:p w14:paraId="2DC49696" w14:textId="62C76258" w:rsidR="00335312" w:rsidRDefault="00335312" w:rsidP="00335312">
      <w:pPr>
        <w:spacing w:before="120" w:after="0" w:line="240" w:lineRule="auto"/>
        <w:rPr>
          <w:rFonts w:cs="Times New Roman"/>
          <w:color w:val="000000" w:themeColor="text1"/>
        </w:rPr>
      </w:pPr>
      <w:r w:rsidRPr="00FE6B37">
        <w:rPr>
          <w:rFonts w:cs="Times New Roman"/>
          <w:color w:val="000000" w:themeColor="text1"/>
        </w:rPr>
        <w:t xml:space="preserve">La produzione </w:t>
      </w:r>
      <w:r>
        <w:rPr>
          <w:rFonts w:cs="Times New Roman"/>
          <w:color w:val="000000" w:themeColor="text1"/>
        </w:rPr>
        <w:t xml:space="preserve">annuale </w:t>
      </w:r>
      <w:r w:rsidRPr="00FE6B37">
        <w:rPr>
          <w:rFonts w:cs="Times New Roman"/>
          <w:color w:val="000000" w:themeColor="text1"/>
        </w:rPr>
        <w:t xml:space="preserve">è di </w:t>
      </w:r>
      <w:r>
        <w:rPr>
          <w:rFonts w:cs="Times New Roman"/>
          <w:color w:val="000000" w:themeColor="text1"/>
        </w:rPr>
        <w:t>circa 13,6</w:t>
      </w:r>
      <w:r w:rsidRPr="00FE6B37">
        <w:rPr>
          <w:rFonts w:cs="Times New Roman"/>
          <w:color w:val="000000" w:themeColor="text1"/>
        </w:rPr>
        <w:t xml:space="preserve"> milioni di veicoli-km/anno di cui </w:t>
      </w:r>
      <w:r>
        <w:rPr>
          <w:rFonts w:cs="Times New Roman"/>
          <w:color w:val="000000" w:themeColor="text1"/>
        </w:rPr>
        <w:t xml:space="preserve">3,1 milioni di </w:t>
      </w:r>
      <w:r w:rsidRPr="00FE6B37">
        <w:rPr>
          <w:rFonts w:cs="Times New Roman"/>
          <w:color w:val="000000" w:themeColor="text1"/>
        </w:rPr>
        <w:t>veicoli-km/anno</w:t>
      </w:r>
      <w:r>
        <w:rPr>
          <w:rFonts w:cs="Times New Roman"/>
          <w:color w:val="000000" w:themeColor="text1"/>
        </w:rPr>
        <w:t xml:space="preserve"> per i</w:t>
      </w:r>
      <w:r w:rsidRPr="00FE6B37">
        <w:rPr>
          <w:rFonts w:cs="Times New Roman"/>
          <w:color w:val="000000" w:themeColor="text1"/>
        </w:rPr>
        <w:t xml:space="preserve"> servizi urbani </w:t>
      </w:r>
      <w:r>
        <w:rPr>
          <w:rFonts w:cs="Times New Roman"/>
          <w:color w:val="000000" w:themeColor="text1"/>
        </w:rPr>
        <w:t>delle diverse conurbazioni, di cui si riporta nella  il dettaglio in termini di relazioni servite, n° corse e produzione totale e contribuita riferiti al 2024.</w:t>
      </w:r>
    </w:p>
    <w:p w14:paraId="69D1D2DA" w14:textId="77777777" w:rsidR="00335312" w:rsidRDefault="00335312" w:rsidP="00335312">
      <w:pPr>
        <w:spacing w:before="120" w:after="0" w:line="240" w:lineRule="auto"/>
        <w:rPr>
          <w:rFonts w:cs="Times New Roman"/>
          <w:color w:val="000000" w:themeColor="text1"/>
        </w:rPr>
      </w:pPr>
    </w:p>
    <w:tbl>
      <w:tblPr>
        <w:tblW w:w="9100" w:type="dxa"/>
        <w:tblCellMar>
          <w:left w:w="70" w:type="dxa"/>
          <w:right w:w="70" w:type="dxa"/>
        </w:tblCellMar>
        <w:tblLook w:val="04A0" w:firstRow="1" w:lastRow="0" w:firstColumn="1" w:lastColumn="0" w:noHBand="0" w:noVBand="1"/>
      </w:tblPr>
      <w:tblGrid>
        <w:gridCol w:w="1008"/>
        <w:gridCol w:w="4923"/>
        <w:gridCol w:w="753"/>
        <w:gridCol w:w="1214"/>
        <w:gridCol w:w="1202"/>
      </w:tblGrid>
      <w:tr w:rsidR="00335312" w:rsidRPr="00EE3E83" w14:paraId="4A364D85" w14:textId="77777777" w:rsidTr="002A21C0">
        <w:trPr>
          <w:trHeight w:val="852"/>
        </w:trPr>
        <w:tc>
          <w:tcPr>
            <w:tcW w:w="1008" w:type="dxa"/>
            <w:tcBorders>
              <w:top w:val="double" w:sz="6" w:space="0" w:color="A6A6A6"/>
              <w:left w:val="double" w:sz="6" w:space="0" w:color="A6A6A6"/>
              <w:bottom w:val="single" w:sz="8" w:space="0" w:color="A6A6A6"/>
              <w:right w:val="single" w:sz="8" w:space="0" w:color="A6A6A6"/>
            </w:tcBorders>
            <w:shd w:val="clear" w:color="000000" w:fill="A5C34C"/>
            <w:vAlign w:val="center"/>
            <w:hideMark/>
          </w:tcPr>
          <w:p w14:paraId="3192F7A6"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bookmarkStart w:id="199" w:name="_Hlk192768796" w:colFirst="1" w:colLast="4"/>
            <w:bookmarkStart w:id="200" w:name="_Ref191045451"/>
            <w:bookmarkStart w:id="201" w:name="_Ref191045420"/>
            <w:bookmarkStart w:id="202" w:name="_Hlk205055752"/>
            <w:r w:rsidRPr="00EE3E83">
              <w:rPr>
                <w:rFonts w:ascii="Calibri" w:eastAsia="Times New Roman" w:hAnsi="Calibri" w:cs="Calibri"/>
                <w:b/>
                <w:bCs/>
                <w:color w:val="000000"/>
                <w:sz w:val="18"/>
                <w:szCs w:val="18"/>
              </w:rPr>
              <w:t>Codice Linea</w:t>
            </w:r>
          </w:p>
        </w:tc>
        <w:tc>
          <w:tcPr>
            <w:tcW w:w="4923" w:type="dxa"/>
            <w:tcBorders>
              <w:top w:val="double" w:sz="6" w:space="0" w:color="A6A6A6"/>
              <w:left w:val="nil"/>
              <w:bottom w:val="single" w:sz="8" w:space="0" w:color="A6A6A6"/>
              <w:right w:val="single" w:sz="8" w:space="0" w:color="A6A6A6"/>
            </w:tcBorders>
            <w:shd w:val="clear" w:color="000000" w:fill="A5C34C"/>
            <w:vAlign w:val="center"/>
            <w:hideMark/>
          </w:tcPr>
          <w:p w14:paraId="6E3357D8" w14:textId="77777777" w:rsidR="00335312" w:rsidRPr="00EE3E83" w:rsidRDefault="00335312" w:rsidP="002A21C0">
            <w:pPr>
              <w:spacing w:after="0" w:line="240" w:lineRule="auto"/>
              <w:jc w:val="lef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Descrizione Linea</w:t>
            </w:r>
          </w:p>
        </w:tc>
        <w:tc>
          <w:tcPr>
            <w:tcW w:w="753" w:type="dxa"/>
            <w:tcBorders>
              <w:top w:val="double" w:sz="6" w:space="0" w:color="A6A6A6"/>
              <w:left w:val="nil"/>
              <w:bottom w:val="single" w:sz="8" w:space="0" w:color="A6A6A6"/>
              <w:right w:val="single" w:sz="8" w:space="0" w:color="A6A6A6"/>
            </w:tcBorders>
            <w:shd w:val="clear" w:color="000000" w:fill="A5C34C"/>
            <w:vAlign w:val="center"/>
            <w:hideMark/>
          </w:tcPr>
          <w:p w14:paraId="42BDF0AE"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Numero corse</w:t>
            </w:r>
          </w:p>
        </w:tc>
        <w:tc>
          <w:tcPr>
            <w:tcW w:w="1214" w:type="dxa"/>
            <w:tcBorders>
              <w:top w:val="double" w:sz="6" w:space="0" w:color="A6A6A6"/>
              <w:left w:val="nil"/>
              <w:bottom w:val="single" w:sz="8" w:space="0" w:color="A6A6A6"/>
              <w:right w:val="single" w:sz="8" w:space="0" w:color="A6A6A6"/>
            </w:tcBorders>
            <w:shd w:val="clear" w:color="000000" w:fill="A5C34C"/>
            <w:vAlign w:val="center"/>
            <w:hideMark/>
          </w:tcPr>
          <w:p w14:paraId="0BC71CC1"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xml:space="preserve"> vett-km/anno di linea </w:t>
            </w:r>
          </w:p>
        </w:tc>
        <w:tc>
          <w:tcPr>
            <w:tcW w:w="1202" w:type="dxa"/>
            <w:tcBorders>
              <w:top w:val="double" w:sz="6" w:space="0" w:color="A6A6A6"/>
              <w:left w:val="nil"/>
              <w:bottom w:val="single" w:sz="8" w:space="0" w:color="A6A6A6"/>
              <w:right w:val="double" w:sz="6" w:space="0" w:color="A6A6A6"/>
            </w:tcBorders>
            <w:shd w:val="clear" w:color="000000" w:fill="A5C34C"/>
            <w:vAlign w:val="center"/>
            <w:hideMark/>
          </w:tcPr>
          <w:p w14:paraId="70A6CDE9"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xml:space="preserve"> vett-km/anno contribuiti </w:t>
            </w:r>
          </w:p>
        </w:tc>
      </w:tr>
      <w:bookmarkEnd w:id="199"/>
      <w:tr w:rsidR="00335312" w:rsidRPr="00EE3E83" w14:paraId="6A3EAD50"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048B41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a015</w:t>
            </w:r>
          </w:p>
        </w:tc>
        <w:tc>
          <w:tcPr>
            <w:tcW w:w="4923" w:type="dxa"/>
            <w:tcBorders>
              <w:top w:val="nil"/>
              <w:left w:val="nil"/>
              <w:bottom w:val="single" w:sz="8" w:space="0" w:color="A6A6A6"/>
              <w:right w:val="single" w:sz="8" w:space="0" w:color="A6A6A6"/>
            </w:tcBorders>
            <w:vAlign w:val="center"/>
            <w:hideMark/>
          </w:tcPr>
          <w:p w14:paraId="2032C3B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ALESSANDRIA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VALENZA</w:t>
            </w:r>
          </w:p>
        </w:tc>
        <w:tc>
          <w:tcPr>
            <w:tcW w:w="753" w:type="dxa"/>
            <w:tcBorders>
              <w:top w:val="nil"/>
              <w:left w:val="nil"/>
              <w:bottom w:val="single" w:sz="8" w:space="0" w:color="A6A6A6"/>
              <w:right w:val="single" w:sz="8" w:space="0" w:color="A6A6A6"/>
            </w:tcBorders>
            <w:noWrap/>
            <w:vAlign w:val="center"/>
            <w:hideMark/>
          </w:tcPr>
          <w:p w14:paraId="568AC44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38</w:t>
            </w:r>
          </w:p>
        </w:tc>
        <w:tc>
          <w:tcPr>
            <w:tcW w:w="1214" w:type="dxa"/>
            <w:tcBorders>
              <w:top w:val="nil"/>
              <w:left w:val="nil"/>
              <w:bottom w:val="single" w:sz="8" w:space="0" w:color="A6A6A6"/>
              <w:right w:val="single" w:sz="8" w:space="0" w:color="A6A6A6"/>
            </w:tcBorders>
            <w:noWrap/>
            <w:vAlign w:val="center"/>
            <w:hideMark/>
          </w:tcPr>
          <w:p w14:paraId="2499BE1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 163.152 </w:t>
            </w:r>
          </w:p>
        </w:tc>
        <w:tc>
          <w:tcPr>
            <w:tcW w:w="1202" w:type="dxa"/>
            <w:tcBorders>
              <w:top w:val="nil"/>
              <w:left w:val="nil"/>
              <w:bottom w:val="single" w:sz="8" w:space="0" w:color="A6A6A6"/>
              <w:right w:val="double" w:sz="6" w:space="0" w:color="A6A6A6"/>
            </w:tcBorders>
            <w:noWrap/>
            <w:vAlign w:val="center"/>
            <w:hideMark/>
          </w:tcPr>
          <w:p w14:paraId="391EB62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163.152 </w:t>
            </w:r>
          </w:p>
        </w:tc>
      </w:tr>
      <w:tr w:rsidR="00335312" w:rsidRPr="00EE3E83" w14:paraId="681B8DF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18BCA4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w:t>
            </w:r>
          </w:p>
        </w:tc>
        <w:tc>
          <w:tcPr>
            <w:tcW w:w="4923" w:type="dxa"/>
            <w:tcBorders>
              <w:top w:val="nil"/>
              <w:left w:val="nil"/>
              <w:bottom w:val="single" w:sz="8" w:space="0" w:color="A6A6A6"/>
              <w:right w:val="single" w:sz="8" w:space="0" w:color="A6A6A6"/>
            </w:tcBorders>
            <w:shd w:val="clear" w:color="000000" w:fill="DFF2D0"/>
            <w:vAlign w:val="center"/>
            <w:hideMark/>
          </w:tcPr>
          <w:p w14:paraId="6ADBD51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ASTI - BALDICHIERI B.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PRATOMORONE</w:t>
            </w:r>
          </w:p>
        </w:tc>
        <w:tc>
          <w:tcPr>
            <w:tcW w:w="753" w:type="dxa"/>
            <w:tcBorders>
              <w:top w:val="nil"/>
              <w:left w:val="nil"/>
              <w:bottom w:val="single" w:sz="8" w:space="0" w:color="A6A6A6"/>
              <w:right w:val="single" w:sz="8" w:space="0" w:color="A6A6A6"/>
            </w:tcBorders>
            <w:shd w:val="clear" w:color="000000" w:fill="DFF2D0"/>
            <w:noWrap/>
            <w:vAlign w:val="center"/>
            <w:hideMark/>
          </w:tcPr>
          <w:p w14:paraId="0E89CDC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11</w:t>
            </w:r>
          </w:p>
        </w:tc>
        <w:tc>
          <w:tcPr>
            <w:tcW w:w="1214" w:type="dxa"/>
            <w:tcBorders>
              <w:top w:val="nil"/>
              <w:left w:val="nil"/>
              <w:bottom w:val="single" w:sz="8" w:space="0" w:color="A6A6A6"/>
              <w:right w:val="single" w:sz="8" w:space="0" w:color="A6A6A6"/>
            </w:tcBorders>
            <w:shd w:val="clear" w:color="000000" w:fill="DFF2D0"/>
            <w:noWrap/>
            <w:vAlign w:val="center"/>
            <w:hideMark/>
          </w:tcPr>
          <w:p w14:paraId="57A7761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39.114 </w:t>
            </w:r>
          </w:p>
        </w:tc>
        <w:tc>
          <w:tcPr>
            <w:tcW w:w="1202" w:type="dxa"/>
            <w:tcBorders>
              <w:top w:val="nil"/>
              <w:left w:val="nil"/>
              <w:bottom w:val="single" w:sz="8" w:space="0" w:color="A6A6A6"/>
              <w:right w:val="double" w:sz="6" w:space="0" w:color="A6A6A6"/>
            </w:tcBorders>
            <w:shd w:val="clear" w:color="000000" w:fill="DFF2D0"/>
            <w:noWrap/>
            <w:vAlign w:val="center"/>
            <w:hideMark/>
          </w:tcPr>
          <w:p w14:paraId="4E6A892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39.114 </w:t>
            </w:r>
          </w:p>
        </w:tc>
      </w:tr>
      <w:tr w:rsidR="00335312" w:rsidRPr="00EE3E83" w14:paraId="253FE71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422AB9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21</w:t>
            </w:r>
          </w:p>
        </w:tc>
        <w:tc>
          <w:tcPr>
            <w:tcW w:w="4923" w:type="dxa"/>
            <w:tcBorders>
              <w:top w:val="nil"/>
              <w:left w:val="nil"/>
              <w:bottom w:val="single" w:sz="8" w:space="0" w:color="A6A6A6"/>
              <w:right w:val="single" w:sz="8" w:space="0" w:color="A6A6A6"/>
            </w:tcBorders>
            <w:vAlign w:val="center"/>
            <w:hideMark/>
          </w:tcPr>
          <w:p w14:paraId="411E0F7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MOMBERCELLI - VINCHIO - NIZZA M.TO</w:t>
            </w:r>
          </w:p>
        </w:tc>
        <w:tc>
          <w:tcPr>
            <w:tcW w:w="753" w:type="dxa"/>
            <w:tcBorders>
              <w:top w:val="nil"/>
              <w:left w:val="nil"/>
              <w:bottom w:val="single" w:sz="8" w:space="0" w:color="A6A6A6"/>
              <w:right w:val="single" w:sz="8" w:space="0" w:color="A6A6A6"/>
            </w:tcBorders>
            <w:noWrap/>
            <w:vAlign w:val="center"/>
            <w:hideMark/>
          </w:tcPr>
          <w:p w14:paraId="3944C80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w:t>
            </w:r>
          </w:p>
        </w:tc>
        <w:tc>
          <w:tcPr>
            <w:tcW w:w="1214" w:type="dxa"/>
            <w:tcBorders>
              <w:top w:val="nil"/>
              <w:left w:val="nil"/>
              <w:bottom w:val="single" w:sz="8" w:space="0" w:color="A6A6A6"/>
              <w:right w:val="single" w:sz="8" w:space="0" w:color="A6A6A6"/>
            </w:tcBorders>
            <w:noWrap/>
            <w:vAlign w:val="center"/>
            <w:hideMark/>
          </w:tcPr>
          <w:p w14:paraId="1EBADFC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12.129 </w:t>
            </w:r>
          </w:p>
        </w:tc>
        <w:tc>
          <w:tcPr>
            <w:tcW w:w="1202" w:type="dxa"/>
            <w:tcBorders>
              <w:top w:val="nil"/>
              <w:left w:val="nil"/>
              <w:bottom w:val="single" w:sz="8" w:space="0" w:color="A6A6A6"/>
              <w:right w:val="double" w:sz="6" w:space="0" w:color="A6A6A6"/>
            </w:tcBorders>
            <w:noWrap/>
            <w:vAlign w:val="center"/>
            <w:hideMark/>
          </w:tcPr>
          <w:p w14:paraId="0226CAD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12.129 </w:t>
            </w:r>
          </w:p>
        </w:tc>
      </w:tr>
      <w:tr w:rsidR="00335312" w:rsidRPr="00EE3E83" w14:paraId="548C1EC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F90CFB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22</w:t>
            </w:r>
          </w:p>
        </w:tc>
        <w:tc>
          <w:tcPr>
            <w:tcW w:w="4923" w:type="dxa"/>
            <w:tcBorders>
              <w:top w:val="nil"/>
              <w:left w:val="nil"/>
              <w:bottom w:val="single" w:sz="8" w:space="0" w:color="A6A6A6"/>
              <w:right w:val="single" w:sz="8" w:space="0" w:color="A6A6A6"/>
            </w:tcBorders>
            <w:shd w:val="clear" w:color="000000" w:fill="DFF2D0"/>
            <w:vAlign w:val="center"/>
            <w:hideMark/>
          </w:tcPr>
          <w:p w14:paraId="117DB47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MOMBERCELLI - BELVEGLIO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NIZZA</w:t>
            </w:r>
          </w:p>
        </w:tc>
        <w:tc>
          <w:tcPr>
            <w:tcW w:w="753" w:type="dxa"/>
            <w:tcBorders>
              <w:top w:val="nil"/>
              <w:left w:val="nil"/>
              <w:bottom w:val="single" w:sz="8" w:space="0" w:color="A6A6A6"/>
              <w:right w:val="single" w:sz="8" w:space="0" w:color="A6A6A6"/>
            </w:tcBorders>
            <w:shd w:val="clear" w:color="000000" w:fill="DFF2D0"/>
            <w:noWrap/>
            <w:vAlign w:val="center"/>
            <w:hideMark/>
          </w:tcPr>
          <w:p w14:paraId="1E800A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shd w:val="clear" w:color="000000" w:fill="DFF2D0"/>
            <w:noWrap/>
            <w:vAlign w:val="center"/>
            <w:hideMark/>
          </w:tcPr>
          <w:p w14:paraId="311CB3F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50.580 </w:t>
            </w:r>
          </w:p>
        </w:tc>
        <w:tc>
          <w:tcPr>
            <w:tcW w:w="1202" w:type="dxa"/>
            <w:tcBorders>
              <w:top w:val="nil"/>
              <w:left w:val="nil"/>
              <w:bottom w:val="single" w:sz="8" w:space="0" w:color="A6A6A6"/>
              <w:right w:val="double" w:sz="6" w:space="0" w:color="A6A6A6"/>
            </w:tcBorders>
            <w:shd w:val="clear" w:color="000000" w:fill="DFF2D0"/>
            <w:noWrap/>
            <w:vAlign w:val="center"/>
            <w:hideMark/>
          </w:tcPr>
          <w:p w14:paraId="3531DA2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50.580 </w:t>
            </w:r>
          </w:p>
        </w:tc>
      </w:tr>
      <w:tr w:rsidR="00335312" w:rsidRPr="00EE3E83" w14:paraId="1B34356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E85B31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23</w:t>
            </w:r>
          </w:p>
        </w:tc>
        <w:tc>
          <w:tcPr>
            <w:tcW w:w="4923" w:type="dxa"/>
            <w:tcBorders>
              <w:top w:val="nil"/>
              <w:left w:val="nil"/>
              <w:bottom w:val="single" w:sz="8" w:space="0" w:color="A6A6A6"/>
              <w:right w:val="single" w:sz="8" w:space="0" w:color="A6A6A6"/>
            </w:tcBorders>
            <w:vAlign w:val="center"/>
            <w:hideMark/>
          </w:tcPr>
          <w:p w14:paraId="0A34BB2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VALLECERRINA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ASTI</w:t>
            </w:r>
          </w:p>
        </w:tc>
        <w:tc>
          <w:tcPr>
            <w:tcW w:w="753" w:type="dxa"/>
            <w:tcBorders>
              <w:top w:val="nil"/>
              <w:left w:val="nil"/>
              <w:bottom w:val="single" w:sz="8" w:space="0" w:color="A6A6A6"/>
              <w:right w:val="single" w:sz="8" w:space="0" w:color="A6A6A6"/>
            </w:tcBorders>
            <w:noWrap/>
            <w:vAlign w:val="center"/>
            <w:hideMark/>
          </w:tcPr>
          <w:p w14:paraId="23FB637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w:t>
            </w:r>
          </w:p>
        </w:tc>
        <w:tc>
          <w:tcPr>
            <w:tcW w:w="1214" w:type="dxa"/>
            <w:tcBorders>
              <w:top w:val="nil"/>
              <w:left w:val="nil"/>
              <w:bottom w:val="single" w:sz="8" w:space="0" w:color="A6A6A6"/>
              <w:right w:val="single" w:sz="8" w:space="0" w:color="A6A6A6"/>
            </w:tcBorders>
            <w:noWrap/>
            <w:vAlign w:val="center"/>
            <w:hideMark/>
          </w:tcPr>
          <w:p w14:paraId="7E237F7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151.424 </w:t>
            </w:r>
          </w:p>
        </w:tc>
        <w:tc>
          <w:tcPr>
            <w:tcW w:w="1202" w:type="dxa"/>
            <w:tcBorders>
              <w:top w:val="nil"/>
              <w:left w:val="nil"/>
              <w:bottom w:val="single" w:sz="8" w:space="0" w:color="A6A6A6"/>
              <w:right w:val="double" w:sz="6" w:space="0" w:color="A6A6A6"/>
            </w:tcBorders>
            <w:noWrap/>
            <w:vAlign w:val="center"/>
            <w:hideMark/>
          </w:tcPr>
          <w:p w14:paraId="32DE74D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151.424 </w:t>
            </w:r>
          </w:p>
        </w:tc>
      </w:tr>
      <w:tr w:rsidR="00335312" w:rsidRPr="00EE3E83" w14:paraId="3909DC2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CF1116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27</w:t>
            </w:r>
          </w:p>
        </w:tc>
        <w:tc>
          <w:tcPr>
            <w:tcW w:w="4923" w:type="dxa"/>
            <w:tcBorders>
              <w:top w:val="nil"/>
              <w:left w:val="nil"/>
              <w:bottom w:val="single" w:sz="8" w:space="0" w:color="A6A6A6"/>
              <w:right w:val="single" w:sz="8" w:space="0" w:color="A6A6A6"/>
            </w:tcBorders>
            <w:shd w:val="clear" w:color="000000" w:fill="DFF2D0"/>
            <w:vAlign w:val="center"/>
            <w:hideMark/>
          </w:tcPr>
          <w:p w14:paraId="0735484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CANALE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ASTI</w:t>
            </w:r>
          </w:p>
        </w:tc>
        <w:tc>
          <w:tcPr>
            <w:tcW w:w="753" w:type="dxa"/>
            <w:tcBorders>
              <w:top w:val="nil"/>
              <w:left w:val="nil"/>
              <w:bottom w:val="single" w:sz="8" w:space="0" w:color="A6A6A6"/>
              <w:right w:val="single" w:sz="8" w:space="0" w:color="A6A6A6"/>
            </w:tcBorders>
            <w:shd w:val="clear" w:color="000000" w:fill="DFF2D0"/>
            <w:noWrap/>
            <w:vAlign w:val="center"/>
            <w:hideMark/>
          </w:tcPr>
          <w:p w14:paraId="2221A30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52</w:t>
            </w:r>
          </w:p>
        </w:tc>
        <w:tc>
          <w:tcPr>
            <w:tcW w:w="1214" w:type="dxa"/>
            <w:tcBorders>
              <w:top w:val="nil"/>
              <w:left w:val="nil"/>
              <w:bottom w:val="single" w:sz="8" w:space="0" w:color="A6A6A6"/>
              <w:right w:val="single" w:sz="8" w:space="0" w:color="A6A6A6"/>
            </w:tcBorders>
            <w:shd w:val="clear" w:color="000000" w:fill="DFF2D0"/>
            <w:noWrap/>
            <w:vAlign w:val="center"/>
            <w:hideMark/>
          </w:tcPr>
          <w:p w14:paraId="7F7927D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180.299 </w:t>
            </w:r>
          </w:p>
        </w:tc>
        <w:tc>
          <w:tcPr>
            <w:tcW w:w="1202" w:type="dxa"/>
            <w:tcBorders>
              <w:top w:val="nil"/>
              <w:left w:val="nil"/>
              <w:bottom w:val="single" w:sz="8" w:space="0" w:color="A6A6A6"/>
              <w:right w:val="double" w:sz="6" w:space="0" w:color="A6A6A6"/>
            </w:tcBorders>
            <w:shd w:val="clear" w:color="000000" w:fill="DFF2D0"/>
            <w:noWrap/>
            <w:vAlign w:val="center"/>
            <w:hideMark/>
          </w:tcPr>
          <w:p w14:paraId="65F9BE6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180.299 </w:t>
            </w:r>
          </w:p>
        </w:tc>
      </w:tr>
      <w:tr w:rsidR="00335312" w:rsidRPr="00EE3E83" w14:paraId="68BCB48E"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A502F4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30</w:t>
            </w:r>
          </w:p>
        </w:tc>
        <w:tc>
          <w:tcPr>
            <w:tcW w:w="4923" w:type="dxa"/>
            <w:tcBorders>
              <w:top w:val="nil"/>
              <w:left w:val="nil"/>
              <w:bottom w:val="single" w:sz="8" w:space="0" w:color="A6A6A6"/>
              <w:right w:val="single" w:sz="8" w:space="0" w:color="A6A6A6"/>
            </w:tcBorders>
            <w:vAlign w:val="center"/>
            <w:hideMark/>
          </w:tcPr>
          <w:p w14:paraId="013329A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ALTAVILLA-GRANA-ASTI E DEV</w:t>
            </w:r>
          </w:p>
        </w:tc>
        <w:tc>
          <w:tcPr>
            <w:tcW w:w="753" w:type="dxa"/>
            <w:tcBorders>
              <w:top w:val="nil"/>
              <w:left w:val="nil"/>
              <w:bottom w:val="single" w:sz="8" w:space="0" w:color="A6A6A6"/>
              <w:right w:val="single" w:sz="8" w:space="0" w:color="A6A6A6"/>
            </w:tcBorders>
            <w:noWrap/>
            <w:vAlign w:val="center"/>
            <w:hideMark/>
          </w:tcPr>
          <w:p w14:paraId="22D1207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79</w:t>
            </w:r>
          </w:p>
        </w:tc>
        <w:tc>
          <w:tcPr>
            <w:tcW w:w="1214" w:type="dxa"/>
            <w:tcBorders>
              <w:top w:val="nil"/>
              <w:left w:val="nil"/>
              <w:bottom w:val="single" w:sz="8" w:space="0" w:color="A6A6A6"/>
              <w:right w:val="single" w:sz="8" w:space="0" w:color="A6A6A6"/>
            </w:tcBorders>
            <w:noWrap/>
            <w:vAlign w:val="center"/>
            <w:hideMark/>
          </w:tcPr>
          <w:p w14:paraId="4BD65AC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186.145 </w:t>
            </w:r>
          </w:p>
        </w:tc>
        <w:tc>
          <w:tcPr>
            <w:tcW w:w="1202" w:type="dxa"/>
            <w:tcBorders>
              <w:top w:val="nil"/>
              <w:left w:val="nil"/>
              <w:bottom w:val="single" w:sz="8" w:space="0" w:color="A6A6A6"/>
              <w:right w:val="double" w:sz="6" w:space="0" w:color="A6A6A6"/>
            </w:tcBorders>
            <w:noWrap/>
            <w:vAlign w:val="center"/>
            <w:hideMark/>
          </w:tcPr>
          <w:p w14:paraId="7966685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186.145 </w:t>
            </w:r>
          </w:p>
        </w:tc>
      </w:tr>
      <w:tr w:rsidR="00335312" w:rsidRPr="00EE3E83" w14:paraId="3BCA2985"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A67903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31</w:t>
            </w:r>
          </w:p>
        </w:tc>
        <w:tc>
          <w:tcPr>
            <w:tcW w:w="4923" w:type="dxa"/>
            <w:tcBorders>
              <w:top w:val="nil"/>
              <w:left w:val="nil"/>
              <w:bottom w:val="single" w:sz="8" w:space="0" w:color="A6A6A6"/>
              <w:right w:val="single" w:sz="8" w:space="0" w:color="A6A6A6"/>
            </w:tcBorders>
            <w:shd w:val="clear" w:color="000000" w:fill="DFF2D0"/>
            <w:vAlign w:val="center"/>
            <w:hideMark/>
          </w:tcPr>
          <w:p w14:paraId="621465A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ALTAVILLA-MONCALVO-ASTI CON DIR. CASALE</w:t>
            </w:r>
          </w:p>
        </w:tc>
        <w:tc>
          <w:tcPr>
            <w:tcW w:w="753" w:type="dxa"/>
            <w:tcBorders>
              <w:top w:val="nil"/>
              <w:left w:val="nil"/>
              <w:bottom w:val="single" w:sz="8" w:space="0" w:color="A6A6A6"/>
              <w:right w:val="single" w:sz="8" w:space="0" w:color="A6A6A6"/>
            </w:tcBorders>
            <w:shd w:val="clear" w:color="000000" w:fill="DFF2D0"/>
            <w:noWrap/>
            <w:vAlign w:val="center"/>
            <w:hideMark/>
          </w:tcPr>
          <w:p w14:paraId="438C58B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1214" w:type="dxa"/>
            <w:tcBorders>
              <w:top w:val="nil"/>
              <w:left w:val="nil"/>
              <w:bottom w:val="single" w:sz="8" w:space="0" w:color="A6A6A6"/>
              <w:right w:val="single" w:sz="8" w:space="0" w:color="A6A6A6"/>
            </w:tcBorders>
            <w:shd w:val="clear" w:color="000000" w:fill="DFF2D0"/>
            <w:noWrap/>
            <w:vAlign w:val="center"/>
            <w:hideMark/>
          </w:tcPr>
          <w:p w14:paraId="7A341BE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171.037 </w:t>
            </w:r>
          </w:p>
        </w:tc>
        <w:tc>
          <w:tcPr>
            <w:tcW w:w="1202" w:type="dxa"/>
            <w:tcBorders>
              <w:top w:val="nil"/>
              <w:left w:val="nil"/>
              <w:bottom w:val="single" w:sz="8" w:space="0" w:color="A6A6A6"/>
              <w:right w:val="double" w:sz="6" w:space="0" w:color="A6A6A6"/>
            </w:tcBorders>
            <w:shd w:val="clear" w:color="000000" w:fill="DFF2D0"/>
            <w:noWrap/>
            <w:vAlign w:val="center"/>
            <w:hideMark/>
          </w:tcPr>
          <w:p w14:paraId="3C203CD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171.037 </w:t>
            </w:r>
          </w:p>
        </w:tc>
      </w:tr>
      <w:tr w:rsidR="00335312" w:rsidRPr="00EE3E83" w14:paraId="4281E0F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5A7960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32</w:t>
            </w:r>
          </w:p>
        </w:tc>
        <w:tc>
          <w:tcPr>
            <w:tcW w:w="4923" w:type="dxa"/>
            <w:tcBorders>
              <w:top w:val="nil"/>
              <w:left w:val="nil"/>
              <w:bottom w:val="single" w:sz="8" w:space="0" w:color="A6A6A6"/>
              <w:right w:val="single" w:sz="8" w:space="0" w:color="A6A6A6"/>
            </w:tcBorders>
            <w:vAlign w:val="center"/>
            <w:hideMark/>
          </w:tcPr>
          <w:p w14:paraId="1932712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ASTI MOVICENTRO - ASTI HOTEL SALERA</w:t>
            </w:r>
          </w:p>
        </w:tc>
        <w:tc>
          <w:tcPr>
            <w:tcW w:w="753" w:type="dxa"/>
            <w:tcBorders>
              <w:top w:val="nil"/>
              <w:left w:val="nil"/>
              <w:bottom w:val="single" w:sz="8" w:space="0" w:color="A6A6A6"/>
              <w:right w:val="single" w:sz="8" w:space="0" w:color="A6A6A6"/>
            </w:tcBorders>
            <w:noWrap/>
            <w:vAlign w:val="center"/>
            <w:hideMark/>
          </w:tcPr>
          <w:p w14:paraId="3F2C391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1214" w:type="dxa"/>
            <w:tcBorders>
              <w:top w:val="nil"/>
              <w:left w:val="nil"/>
              <w:bottom w:val="single" w:sz="8" w:space="0" w:color="A6A6A6"/>
              <w:right w:val="single" w:sz="8" w:space="0" w:color="A6A6A6"/>
            </w:tcBorders>
            <w:noWrap/>
            <w:vAlign w:val="center"/>
            <w:hideMark/>
          </w:tcPr>
          <w:p w14:paraId="1E960EB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2.100 </w:t>
            </w:r>
          </w:p>
        </w:tc>
        <w:tc>
          <w:tcPr>
            <w:tcW w:w="1202" w:type="dxa"/>
            <w:tcBorders>
              <w:top w:val="nil"/>
              <w:left w:val="nil"/>
              <w:bottom w:val="single" w:sz="8" w:space="0" w:color="A6A6A6"/>
              <w:right w:val="double" w:sz="6" w:space="0" w:color="A6A6A6"/>
            </w:tcBorders>
            <w:noWrap/>
            <w:vAlign w:val="center"/>
            <w:hideMark/>
          </w:tcPr>
          <w:p w14:paraId="7DBFCF5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2.100 </w:t>
            </w:r>
          </w:p>
        </w:tc>
      </w:tr>
      <w:tr w:rsidR="00335312" w:rsidRPr="00EE3E83" w14:paraId="603BFA3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B9F818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34</w:t>
            </w:r>
          </w:p>
        </w:tc>
        <w:tc>
          <w:tcPr>
            <w:tcW w:w="4923" w:type="dxa"/>
            <w:tcBorders>
              <w:top w:val="nil"/>
              <w:left w:val="nil"/>
              <w:bottom w:val="single" w:sz="8" w:space="0" w:color="A6A6A6"/>
              <w:right w:val="single" w:sz="8" w:space="0" w:color="A6A6A6"/>
            </w:tcBorders>
            <w:shd w:val="clear" w:color="000000" w:fill="DFF2D0"/>
            <w:vAlign w:val="center"/>
            <w:hideMark/>
          </w:tcPr>
          <w:p w14:paraId="0137E05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CASTELNUOVO D.B.-ASTI</w:t>
            </w:r>
          </w:p>
        </w:tc>
        <w:tc>
          <w:tcPr>
            <w:tcW w:w="753" w:type="dxa"/>
            <w:tcBorders>
              <w:top w:val="nil"/>
              <w:left w:val="nil"/>
              <w:bottom w:val="single" w:sz="8" w:space="0" w:color="A6A6A6"/>
              <w:right w:val="single" w:sz="8" w:space="0" w:color="A6A6A6"/>
            </w:tcBorders>
            <w:shd w:val="clear" w:color="000000" w:fill="DFF2D0"/>
            <w:noWrap/>
            <w:vAlign w:val="center"/>
            <w:hideMark/>
          </w:tcPr>
          <w:p w14:paraId="57A574F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57</w:t>
            </w:r>
          </w:p>
        </w:tc>
        <w:tc>
          <w:tcPr>
            <w:tcW w:w="1214" w:type="dxa"/>
            <w:tcBorders>
              <w:top w:val="nil"/>
              <w:left w:val="nil"/>
              <w:bottom w:val="single" w:sz="8" w:space="0" w:color="A6A6A6"/>
              <w:right w:val="single" w:sz="8" w:space="0" w:color="A6A6A6"/>
            </w:tcBorders>
            <w:shd w:val="clear" w:color="000000" w:fill="DFF2D0"/>
            <w:noWrap/>
            <w:vAlign w:val="center"/>
            <w:hideMark/>
          </w:tcPr>
          <w:p w14:paraId="0184228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170.831 </w:t>
            </w:r>
          </w:p>
        </w:tc>
        <w:tc>
          <w:tcPr>
            <w:tcW w:w="1202" w:type="dxa"/>
            <w:tcBorders>
              <w:top w:val="nil"/>
              <w:left w:val="nil"/>
              <w:bottom w:val="single" w:sz="8" w:space="0" w:color="A6A6A6"/>
              <w:right w:val="double" w:sz="6" w:space="0" w:color="A6A6A6"/>
            </w:tcBorders>
            <w:shd w:val="clear" w:color="000000" w:fill="DFF2D0"/>
            <w:noWrap/>
            <w:vAlign w:val="center"/>
            <w:hideMark/>
          </w:tcPr>
          <w:p w14:paraId="452CBC2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170.831 </w:t>
            </w:r>
          </w:p>
        </w:tc>
      </w:tr>
      <w:tr w:rsidR="00335312" w:rsidRPr="00EE3E83" w14:paraId="153C651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7FAFC8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35</w:t>
            </w:r>
          </w:p>
        </w:tc>
        <w:tc>
          <w:tcPr>
            <w:tcW w:w="4923" w:type="dxa"/>
            <w:tcBorders>
              <w:top w:val="nil"/>
              <w:left w:val="nil"/>
              <w:bottom w:val="single" w:sz="8" w:space="0" w:color="A6A6A6"/>
              <w:right w:val="single" w:sz="8" w:space="0" w:color="A6A6A6"/>
            </w:tcBorders>
            <w:vAlign w:val="center"/>
            <w:hideMark/>
          </w:tcPr>
          <w:p w14:paraId="72B78EA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SCOLASTICA DI CASTELNUOVO D.B. - I.I.S. ANDRIANO</w:t>
            </w:r>
          </w:p>
        </w:tc>
        <w:tc>
          <w:tcPr>
            <w:tcW w:w="753" w:type="dxa"/>
            <w:tcBorders>
              <w:top w:val="nil"/>
              <w:left w:val="nil"/>
              <w:bottom w:val="single" w:sz="8" w:space="0" w:color="A6A6A6"/>
              <w:right w:val="single" w:sz="8" w:space="0" w:color="A6A6A6"/>
            </w:tcBorders>
            <w:noWrap/>
            <w:vAlign w:val="center"/>
            <w:hideMark/>
          </w:tcPr>
          <w:p w14:paraId="06E795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17</w:t>
            </w:r>
          </w:p>
        </w:tc>
        <w:tc>
          <w:tcPr>
            <w:tcW w:w="1214" w:type="dxa"/>
            <w:tcBorders>
              <w:top w:val="nil"/>
              <w:left w:val="nil"/>
              <w:bottom w:val="single" w:sz="8" w:space="0" w:color="A6A6A6"/>
              <w:right w:val="single" w:sz="8" w:space="0" w:color="A6A6A6"/>
            </w:tcBorders>
            <w:noWrap/>
            <w:vAlign w:val="center"/>
            <w:hideMark/>
          </w:tcPr>
          <w:p w14:paraId="7D5C2F7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40.038 </w:t>
            </w:r>
          </w:p>
        </w:tc>
        <w:tc>
          <w:tcPr>
            <w:tcW w:w="1202" w:type="dxa"/>
            <w:tcBorders>
              <w:top w:val="nil"/>
              <w:left w:val="nil"/>
              <w:bottom w:val="single" w:sz="8" w:space="0" w:color="A6A6A6"/>
              <w:right w:val="double" w:sz="6" w:space="0" w:color="A6A6A6"/>
            </w:tcBorders>
            <w:noWrap/>
            <w:vAlign w:val="center"/>
            <w:hideMark/>
          </w:tcPr>
          <w:p w14:paraId="5495E34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40.038 </w:t>
            </w:r>
          </w:p>
        </w:tc>
      </w:tr>
      <w:tr w:rsidR="00335312" w:rsidRPr="00EE3E83" w14:paraId="4666644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8FE345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4923" w:type="dxa"/>
            <w:tcBorders>
              <w:top w:val="nil"/>
              <w:left w:val="nil"/>
              <w:bottom w:val="single" w:sz="8" w:space="0" w:color="A6A6A6"/>
              <w:right w:val="single" w:sz="8" w:space="0" w:color="A6A6A6"/>
            </w:tcBorders>
            <w:shd w:val="clear" w:color="000000" w:fill="DFF2D0"/>
            <w:vAlign w:val="center"/>
            <w:hideMark/>
          </w:tcPr>
          <w:p w14:paraId="5B29B38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ROCCHETTA P-CANELLI</w:t>
            </w:r>
          </w:p>
        </w:tc>
        <w:tc>
          <w:tcPr>
            <w:tcW w:w="753" w:type="dxa"/>
            <w:tcBorders>
              <w:top w:val="nil"/>
              <w:left w:val="nil"/>
              <w:bottom w:val="single" w:sz="8" w:space="0" w:color="A6A6A6"/>
              <w:right w:val="single" w:sz="8" w:space="0" w:color="A6A6A6"/>
            </w:tcBorders>
            <w:shd w:val="clear" w:color="000000" w:fill="DFF2D0"/>
            <w:noWrap/>
            <w:vAlign w:val="center"/>
            <w:hideMark/>
          </w:tcPr>
          <w:p w14:paraId="69DA4E4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FF2D0"/>
            <w:noWrap/>
            <w:vAlign w:val="center"/>
            <w:hideMark/>
          </w:tcPr>
          <w:p w14:paraId="76F94DF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784 </w:t>
            </w:r>
          </w:p>
        </w:tc>
        <w:tc>
          <w:tcPr>
            <w:tcW w:w="1202" w:type="dxa"/>
            <w:tcBorders>
              <w:top w:val="nil"/>
              <w:left w:val="nil"/>
              <w:bottom w:val="single" w:sz="8" w:space="0" w:color="A6A6A6"/>
              <w:right w:val="double" w:sz="6" w:space="0" w:color="A6A6A6"/>
            </w:tcBorders>
            <w:shd w:val="clear" w:color="000000" w:fill="DFF2D0"/>
            <w:noWrap/>
            <w:vAlign w:val="center"/>
            <w:hideMark/>
          </w:tcPr>
          <w:p w14:paraId="5530A63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784 </w:t>
            </w:r>
          </w:p>
        </w:tc>
      </w:tr>
      <w:tr w:rsidR="00335312" w:rsidRPr="00EE3E83" w14:paraId="6BD6862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121C3C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37</w:t>
            </w:r>
          </w:p>
        </w:tc>
        <w:tc>
          <w:tcPr>
            <w:tcW w:w="4923" w:type="dxa"/>
            <w:tcBorders>
              <w:top w:val="nil"/>
              <w:left w:val="nil"/>
              <w:bottom w:val="single" w:sz="8" w:space="0" w:color="A6A6A6"/>
              <w:right w:val="single" w:sz="8" w:space="0" w:color="A6A6A6"/>
            </w:tcBorders>
            <w:vAlign w:val="center"/>
            <w:hideMark/>
          </w:tcPr>
          <w:p w14:paraId="67603D7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MOMBERCELLI-ASTI</w:t>
            </w:r>
          </w:p>
        </w:tc>
        <w:tc>
          <w:tcPr>
            <w:tcW w:w="753" w:type="dxa"/>
            <w:tcBorders>
              <w:top w:val="nil"/>
              <w:left w:val="nil"/>
              <w:bottom w:val="single" w:sz="8" w:space="0" w:color="A6A6A6"/>
              <w:right w:val="single" w:sz="8" w:space="0" w:color="A6A6A6"/>
            </w:tcBorders>
            <w:noWrap/>
            <w:vAlign w:val="center"/>
            <w:hideMark/>
          </w:tcPr>
          <w:p w14:paraId="7222394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noWrap/>
            <w:vAlign w:val="center"/>
            <w:hideMark/>
          </w:tcPr>
          <w:p w14:paraId="25FCEE4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83.665 </w:t>
            </w:r>
          </w:p>
        </w:tc>
        <w:tc>
          <w:tcPr>
            <w:tcW w:w="1202" w:type="dxa"/>
            <w:tcBorders>
              <w:top w:val="nil"/>
              <w:left w:val="nil"/>
              <w:bottom w:val="single" w:sz="8" w:space="0" w:color="A6A6A6"/>
              <w:right w:val="double" w:sz="6" w:space="0" w:color="A6A6A6"/>
            </w:tcBorders>
            <w:noWrap/>
            <w:vAlign w:val="center"/>
            <w:hideMark/>
          </w:tcPr>
          <w:p w14:paraId="734CFEC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83.665 </w:t>
            </w:r>
          </w:p>
        </w:tc>
      </w:tr>
      <w:tr w:rsidR="00335312" w:rsidRPr="00EE3E83" w14:paraId="03D60C2E"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FE5AE8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39</w:t>
            </w:r>
          </w:p>
        </w:tc>
        <w:tc>
          <w:tcPr>
            <w:tcW w:w="4923" w:type="dxa"/>
            <w:tcBorders>
              <w:top w:val="nil"/>
              <w:left w:val="nil"/>
              <w:bottom w:val="single" w:sz="8" w:space="0" w:color="A6A6A6"/>
              <w:right w:val="single" w:sz="8" w:space="0" w:color="A6A6A6"/>
            </w:tcBorders>
            <w:shd w:val="clear" w:color="000000" w:fill="DFF2D0"/>
            <w:vAlign w:val="center"/>
            <w:hideMark/>
          </w:tcPr>
          <w:p w14:paraId="496576F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CORTEMILIA-ACQUI TERME-CANELLI</w:t>
            </w:r>
          </w:p>
        </w:tc>
        <w:tc>
          <w:tcPr>
            <w:tcW w:w="753" w:type="dxa"/>
            <w:tcBorders>
              <w:top w:val="nil"/>
              <w:left w:val="nil"/>
              <w:bottom w:val="single" w:sz="8" w:space="0" w:color="A6A6A6"/>
              <w:right w:val="single" w:sz="8" w:space="0" w:color="A6A6A6"/>
            </w:tcBorders>
            <w:shd w:val="clear" w:color="000000" w:fill="DFF2D0"/>
            <w:noWrap/>
            <w:vAlign w:val="center"/>
            <w:hideMark/>
          </w:tcPr>
          <w:p w14:paraId="5490C5B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90</w:t>
            </w:r>
          </w:p>
        </w:tc>
        <w:tc>
          <w:tcPr>
            <w:tcW w:w="1214" w:type="dxa"/>
            <w:tcBorders>
              <w:top w:val="nil"/>
              <w:left w:val="nil"/>
              <w:bottom w:val="single" w:sz="8" w:space="0" w:color="A6A6A6"/>
              <w:right w:val="single" w:sz="8" w:space="0" w:color="A6A6A6"/>
            </w:tcBorders>
            <w:shd w:val="clear" w:color="000000" w:fill="DFF2D0"/>
            <w:noWrap/>
            <w:vAlign w:val="center"/>
            <w:hideMark/>
          </w:tcPr>
          <w:p w14:paraId="50FE6A0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200.214 </w:t>
            </w:r>
          </w:p>
        </w:tc>
        <w:tc>
          <w:tcPr>
            <w:tcW w:w="1202" w:type="dxa"/>
            <w:tcBorders>
              <w:top w:val="nil"/>
              <w:left w:val="nil"/>
              <w:bottom w:val="single" w:sz="8" w:space="0" w:color="A6A6A6"/>
              <w:right w:val="double" w:sz="6" w:space="0" w:color="A6A6A6"/>
            </w:tcBorders>
            <w:shd w:val="clear" w:color="000000" w:fill="DFF2D0"/>
            <w:noWrap/>
            <w:vAlign w:val="center"/>
            <w:hideMark/>
          </w:tcPr>
          <w:p w14:paraId="4B36793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200.214 </w:t>
            </w:r>
          </w:p>
        </w:tc>
      </w:tr>
      <w:tr w:rsidR="00335312" w:rsidRPr="00EE3E83" w14:paraId="2B63F72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59DED3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40</w:t>
            </w:r>
          </w:p>
        </w:tc>
        <w:tc>
          <w:tcPr>
            <w:tcW w:w="4923" w:type="dxa"/>
            <w:tcBorders>
              <w:top w:val="nil"/>
              <w:left w:val="nil"/>
              <w:bottom w:val="single" w:sz="8" w:space="0" w:color="A6A6A6"/>
              <w:right w:val="single" w:sz="8" w:space="0" w:color="A6A6A6"/>
            </w:tcBorders>
            <w:vAlign w:val="center"/>
            <w:hideMark/>
          </w:tcPr>
          <w:p w14:paraId="56A2532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LOAZZOLO-CANELLI</w:t>
            </w:r>
          </w:p>
        </w:tc>
        <w:tc>
          <w:tcPr>
            <w:tcW w:w="753" w:type="dxa"/>
            <w:tcBorders>
              <w:top w:val="nil"/>
              <w:left w:val="nil"/>
              <w:bottom w:val="single" w:sz="8" w:space="0" w:color="A6A6A6"/>
              <w:right w:val="single" w:sz="8" w:space="0" w:color="A6A6A6"/>
            </w:tcBorders>
            <w:noWrap/>
            <w:vAlign w:val="center"/>
            <w:hideMark/>
          </w:tcPr>
          <w:p w14:paraId="2C5C3EB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69DF5DA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1.068 </w:t>
            </w:r>
          </w:p>
        </w:tc>
        <w:tc>
          <w:tcPr>
            <w:tcW w:w="1202" w:type="dxa"/>
            <w:tcBorders>
              <w:top w:val="nil"/>
              <w:left w:val="nil"/>
              <w:bottom w:val="single" w:sz="8" w:space="0" w:color="A6A6A6"/>
              <w:right w:val="double" w:sz="6" w:space="0" w:color="A6A6A6"/>
            </w:tcBorders>
            <w:noWrap/>
            <w:vAlign w:val="center"/>
            <w:hideMark/>
          </w:tcPr>
          <w:p w14:paraId="3919BC9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1.068 </w:t>
            </w:r>
          </w:p>
        </w:tc>
      </w:tr>
      <w:tr w:rsidR="00335312" w:rsidRPr="00EE3E83" w14:paraId="160DE3C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50D129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41</w:t>
            </w:r>
          </w:p>
        </w:tc>
        <w:tc>
          <w:tcPr>
            <w:tcW w:w="4923" w:type="dxa"/>
            <w:tcBorders>
              <w:top w:val="nil"/>
              <w:left w:val="nil"/>
              <w:bottom w:val="single" w:sz="8" w:space="0" w:color="A6A6A6"/>
              <w:right w:val="single" w:sz="8" w:space="0" w:color="A6A6A6"/>
            </w:tcBorders>
            <w:shd w:val="clear" w:color="000000" w:fill="DFF2D0"/>
            <w:vAlign w:val="center"/>
            <w:hideMark/>
          </w:tcPr>
          <w:p w14:paraId="518E337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CANELLI-ASTI</w:t>
            </w:r>
          </w:p>
        </w:tc>
        <w:tc>
          <w:tcPr>
            <w:tcW w:w="753" w:type="dxa"/>
            <w:tcBorders>
              <w:top w:val="nil"/>
              <w:left w:val="nil"/>
              <w:bottom w:val="single" w:sz="8" w:space="0" w:color="A6A6A6"/>
              <w:right w:val="single" w:sz="8" w:space="0" w:color="A6A6A6"/>
            </w:tcBorders>
            <w:shd w:val="clear" w:color="000000" w:fill="DFF2D0"/>
            <w:noWrap/>
            <w:vAlign w:val="center"/>
            <w:hideMark/>
          </w:tcPr>
          <w:p w14:paraId="575A5B6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57</w:t>
            </w:r>
          </w:p>
        </w:tc>
        <w:tc>
          <w:tcPr>
            <w:tcW w:w="1214" w:type="dxa"/>
            <w:tcBorders>
              <w:top w:val="nil"/>
              <w:left w:val="nil"/>
              <w:bottom w:val="single" w:sz="8" w:space="0" w:color="A6A6A6"/>
              <w:right w:val="single" w:sz="8" w:space="0" w:color="A6A6A6"/>
            </w:tcBorders>
            <w:shd w:val="clear" w:color="000000" w:fill="DFF2D0"/>
            <w:noWrap/>
            <w:vAlign w:val="center"/>
            <w:hideMark/>
          </w:tcPr>
          <w:p w14:paraId="4071C7E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198.444 </w:t>
            </w:r>
          </w:p>
        </w:tc>
        <w:tc>
          <w:tcPr>
            <w:tcW w:w="1202" w:type="dxa"/>
            <w:tcBorders>
              <w:top w:val="nil"/>
              <w:left w:val="nil"/>
              <w:bottom w:val="single" w:sz="8" w:space="0" w:color="A6A6A6"/>
              <w:right w:val="double" w:sz="6" w:space="0" w:color="A6A6A6"/>
            </w:tcBorders>
            <w:shd w:val="clear" w:color="000000" w:fill="DFF2D0"/>
            <w:noWrap/>
            <w:vAlign w:val="center"/>
            <w:hideMark/>
          </w:tcPr>
          <w:p w14:paraId="680EACF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198.444 </w:t>
            </w:r>
          </w:p>
        </w:tc>
      </w:tr>
      <w:tr w:rsidR="00335312" w:rsidRPr="00EE3E83" w14:paraId="116E74B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DE8530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lastRenderedPageBreak/>
              <w:t>42</w:t>
            </w:r>
          </w:p>
        </w:tc>
        <w:tc>
          <w:tcPr>
            <w:tcW w:w="4923" w:type="dxa"/>
            <w:tcBorders>
              <w:top w:val="nil"/>
              <w:left w:val="nil"/>
              <w:bottom w:val="single" w:sz="8" w:space="0" w:color="A6A6A6"/>
              <w:right w:val="single" w:sz="8" w:space="0" w:color="A6A6A6"/>
            </w:tcBorders>
            <w:vAlign w:val="center"/>
            <w:hideMark/>
          </w:tcPr>
          <w:p w14:paraId="44C56E6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BUBBIO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CANELLI</w:t>
            </w:r>
          </w:p>
        </w:tc>
        <w:tc>
          <w:tcPr>
            <w:tcW w:w="753" w:type="dxa"/>
            <w:tcBorders>
              <w:top w:val="nil"/>
              <w:left w:val="nil"/>
              <w:bottom w:val="single" w:sz="8" w:space="0" w:color="A6A6A6"/>
              <w:right w:val="single" w:sz="8" w:space="0" w:color="A6A6A6"/>
            </w:tcBorders>
            <w:noWrap/>
            <w:vAlign w:val="center"/>
            <w:hideMark/>
          </w:tcPr>
          <w:p w14:paraId="65288CB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22</w:t>
            </w:r>
          </w:p>
        </w:tc>
        <w:tc>
          <w:tcPr>
            <w:tcW w:w="1214" w:type="dxa"/>
            <w:tcBorders>
              <w:top w:val="nil"/>
              <w:left w:val="nil"/>
              <w:bottom w:val="single" w:sz="8" w:space="0" w:color="A6A6A6"/>
              <w:right w:val="single" w:sz="8" w:space="0" w:color="A6A6A6"/>
            </w:tcBorders>
            <w:noWrap/>
            <w:vAlign w:val="center"/>
            <w:hideMark/>
          </w:tcPr>
          <w:p w14:paraId="5FAAACD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26.114 </w:t>
            </w:r>
          </w:p>
        </w:tc>
        <w:tc>
          <w:tcPr>
            <w:tcW w:w="1202" w:type="dxa"/>
            <w:tcBorders>
              <w:top w:val="nil"/>
              <w:left w:val="nil"/>
              <w:bottom w:val="single" w:sz="8" w:space="0" w:color="A6A6A6"/>
              <w:right w:val="double" w:sz="6" w:space="0" w:color="A6A6A6"/>
            </w:tcBorders>
            <w:noWrap/>
            <w:vAlign w:val="center"/>
            <w:hideMark/>
          </w:tcPr>
          <w:p w14:paraId="31B5403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26.114 </w:t>
            </w:r>
          </w:p>
        </w:tc>
      </w:tr>
      <w:tr w:rsidR="00335312" w:rsidRPr="00EE3E83" w14:paraId="21230700"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57FB94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43</w:t>
            </w:r>
          </w:p>
        </w:tc>
        <w:tc>
          <w:tcPr>
            <w:tcW w:w="4923" w:type="dxa"/>
            <w:tcBorders>
              <w:top w:val="nil"/>
              <w:left w:val="nil"/>
              <w:bottom w:val="single" w:sz="8" w:space="0" w:color="A6A6A6"/>
              <w:right w:val="single" w:sz="8" w:space="0" w:color="A6A6A6"/>
            </w:tcBorders>
            <w:shd w:val="clear" w:color="000000" w:fill="DFF2D0"/>
            <w:vAlign w:val="center"/>
            <w:hideMark/>
          </w:tcPr>
          <w:p w14:paraId="1FF32F0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NIZZA MONFERRATO - CASTAGNOLE LANZE</w:t>
            </w:r>
          </w:p>
        </w:tc>
        <w:tc>
          <w:tcPr>
            <w:tcW w:w="753" w:type="dxa"/>
            <w:tcBorders>
              <w:top w:val="nil"/>
              <w:left w:val="nil"/>
              <w:bottom w:val="single" w:sz="8" w:space="0" w:color="A6A6A6"/>
              <w:right w:val="single" w:sz="8" w:space="0" w:color="A6A6A6"/>
            </w:tcBorders>
            <w:shd w:val="clear" w:color="000000" w:fill="DFF2D0"/>
            <w:noWrap/>
            <w:vAlign w:val="center"/>
            <w:hideMark/>
          </w:tcPr>
          <w:p w14:paraId="4F61259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49</w:t>
            </w:r>
          </w:p>
        </w:tc>
        <w:tc>
          <w:tcPr>
            <w:tcW w:w="1214" w:type="dxa"/>
            <w:tcBorders>
              <w:top w:val="nil"/>
              <w:left w:val="nil"/>
              <w:bottom w:val="single" w:sz="8" w:space="0" w:color="A6A6A6"/>
              <w:right w:val="single" w:sz="8" w:space="0" w:color="A6A6A6"/>
            </w:tcBorders>
            <w:shd w:val="clear" w:color="000000" w:fill="DFF2D0"/>
            <w:noWrap/>
            <w:vAlign w:val="center"/>
            <w:hideMark/>
          </w:tcPr>
          <w:p w14:paraId="5CED101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267.074 </w:t>
            </w:r>
          </w:p>
        </w:tc>
        <w:tc>
          <w:tcPr>
            <w:tcW w:w="1202" w:type="dxa"/>
            <w:tcBorders>
              <w:top w:val="nil"/>
              <w:left w:val="nil"/>
              <w:bottom w:val="single" w:sz="8" w:space="0" w:color="A6A6A6"/>
              <w:right w:val="double" w:sz="6" w:space="0" w:color="A6A6A6"/>
            </w:tcBorders>
            <w:shd w:val="clear" w:color="000000" w:fill="DFF2D0"/>
            <w:noWrap/>
            <w:vAlign w:val="center"/>
            <w:hideMark/>
          </w:tcPr>
          <w:p w14:paraId="0D8E24B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267.074 </w:t>
            </w:r>
          </w:p>
        </w:tc>
      </w:tr>
      <w:tr w:rsidR="00335312" w:rsidRPr="00EE3E83" w14:paraId="4420CE7F"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7D05D4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45</w:t>
            </w:r>
          </w:p>
        </w:tc>
        <w:tc>
          <w:tcPr>
            <w:tcW w:w="4923" w:type="dxa"/>
            <w:tcBorders>
              <w:top w:val="nil"/>
              <w:left w:val="nil"/>
              <w:bottom w:val="single" w:sz="8" w:space="0" w:color="A6A6A6"/>
              <w:right w:val="single" w:sz="8" w:space="0" w:color="A6A6A6"/>
            </w:tcBorders>
            <w:vAlign w:val="center"/>
            <w:hideMark/>
          </w:tcPr>
          <w:p w14:paraId="6F970AD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TORINO-VILLANOVA-DUSINO-FERRERE-ASTI</w:t>
            </w:r>
          </w:p>
        </w:tc>
        <w:tc>
          <w:tcPr>
            <w:tcW w:w="753" w:type="dxa"/>
            <w:tcBorders>
              <w:top w:val="nil"/>
              <w:left w:val="nil"/>
              <w:bottom w:val="single" w:sz="8" w:space="0" w:color="A6A6A6"/>
              <w:right w:val="single" w:sz="8" w:space="0" w:color="A6A6A6"/>
            </w:tcBorders>
            <w:noWrap/>
            <w:vAlign w:val="center"/>
            <w:hideMark/>
          </w:tcPr>
          <w:p w14:paraId="1087ADB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55</w:t>
            </w:r>
          </w:p>
        </w:tc>
        <w:tc>
          <w:tcPr>
            <w:tcW w:w="1214" w:type="dxa"/>
            <w:tcBorders>
              <w:top w:val="nil"/>
              <w:left w:val="nil"/>
              <w:bottom w:val="single" w:sz="8" w:space="0" w:color="A6A6A6"/>
              <w:right w:val="single" w:sz="8" w:space="0" w:color="A6A6A6"/>
            </w:tcBorders>
            <w:noWrap/>
            <w:vAlign w:val="center"/>
            <w:hideMark/>
          </w:tcPr>
          <w:p w14:paraId="4020875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209.186 </w:t>
            </w:r>
          </w:p>
        </w:tc>
        <w:tc>
          <w:tcPr>
            <w:tcW w:w="1202" w:type="dxa"/>
            <w:tcBorders>
              <w:top w:val="nil"/>
              <w:left w:val="nil"/>
              <w:bottom w:val="single" w:sz="8" w:space="0" w:color="A6A6A6"/>
              <w:right w:val="double" w:sz="6" w:space="0" w:color="A6A6A6"/>
            </w:tcBorders>
            <w:noWrap/>
            <w:vAlign w:val="center"/>
            <w:hideMark/>
          </w:tcPr>
          <w:p w14:paraId="3AF42AF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209.186 </w:t>
            </w:r>
          </w:p>
        </w:tc>
      </w:tr>
      <w:tr w:rsidR="00335312" w:rsidRPr="00EE3E83" w14:paraId="45DE7654"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99EC1A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46</w:t>
            </w:r>
          </w:p>
        </w:tc>
        <w:tc>
          <w:tcPr>
            <w:tcW w:w="4923" w:type="dxa"/>
            <w:tcBorders>
              <w:top w:val="nil"/>
              <w:left w:val="nil"/>
              <w:bottom w:val="single" w:sz="8" w:space="0" w:color="A6A6A6"/>
              <w:right w:val="single" w:sz="8" w:space="0" w:color="A6A6A6"/>
            </w:tcBorders>
            <w:shd w:val="clear" w:color="000000" w:fill="DFF2D0"/>
            <w:vAlign w:val="center"/>
            <w:hideMark/>
          </w:tcPr>
          <w:p w14:paraId="1A7792D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BIANCHI-VILLANOVA-DUSINO-CHIERI</w:t>
            </w:r>
          </w:p>
        </w:tc>
        <w:tc>
          <w:tcPr>
            <w:tcW w:w="753" w:type="dxa"/>
            <w:tcBorders>
              <w:top w:val="nil"/>
              <w:left w:val="nil"/>
              <w:bottom w:val="single" w:sz="8" w:space="0" w:color="A6A6A6"/>
              <w:right w:val="single" w:sz="8" w:space="0" w:color="A6A6A6"/>
            </w:tcBorders>
            <w:shd w:val="clear" w:color="000000" w:fill="DFF2D0"/>
            <w:noWrap/>
            <w:vAlign w:val="center"/>
            <w:hideMark/>
          </w:tcPr>
          <w:p w14:paraId="7847EE0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23</w:t>
            </w:r>
          </w:p>
        </w:tc>
        <w:tc>
          <w:tcPr>
            <w:tcW w:w="1214" w:type="dxa"/>
            <w:tcBorders>
              <w:top w:val="nil"/>
              <w:left w:val="nil"/>
              <w:bottom w:val="single" w:sz="8" w:space="0" w:color="A6A6A6"/>
              <w:right w:val="single" w:sz="8" w:space="0" w:color="A6A6A6"/>
            </w:tcBorders>
            <w:shd w:val="clear" w:color="000000" w:fill="DFF2D0"/>
            <w:noWrap/>
            <w:vAlign w:val="center"/>
            <w:hideMark/>
          </w:tcPr>
          <w:p w14:paraId="7A848DA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96.850 </w:t>
            </w:r>
          </w:p>
        </w:tc>
        <w:tc>
          <w:tcPr>
            <w:tcW w:w="1202" w:type="dxa"/>
            <w:tcBorders>
              <w:top w:val="nil"/>
              <w:left w:val="nil"/>
              <w:bottom w:val="single" w:sz="8" w:space="0" w:color="A6A6A6"/>
              <w:right w:val="double" w:sz="6" w:space="0" w:color="A6A6A6"/>
            </w:tcBorders>
            <w:shd w:val="clear" w:color="000000" w:fill="DFF2D0"/>
            <w:noWrap/>
            <w:vAlign w:val="center"/>
            <w:hideMark/>
          </w:tcPr>
          <w:p w14:paraId="4A3A9E7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96.850 </w:t>
            </w:r>
          </w:p>
        </w:tc>
      </w:tr>
      <w:tr w:rsidR="00335312" w:rsidRPr="00EE3E83" w14:paraId="07A2FC00"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26E3D5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47</w:t>
            </w:r>
          </w:p>
        </w:tc>
        <w:tc>
          <w:tcPr>
            <w:tcW w:w="4923" w:type="dxa"/>
            <w:tcBorders>
              <w:top w:val="nil"/>
              <w:left w:val="nil"/>
              <w:bottom w:val="single" w:sz="8" w:space="0" w:color="A6A6A6"/>
              <w:right w:val="single" w:sz="8" w:space="0" w:color="A6A6A6"/>
            </w:tcBorders>
            <w:vAlign w:val="center"/>
            <w:hideMark/>
          </w:tcPr>
          <w:p w14:paraId="5A34481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ALBA - SAN DAMIANO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VALFENERA</w:t>
            </w:r>
          </w:p>
        </w:tc>
        <w:tc>
          <w:tcPr>
            <w:tcW w:w="753" w:type="dxa"/>
            <w:tcBorders>
              <w:top w:val="nil"/>
              <w:left w:val="nil"/>
              <w:bottom w:val="single" w:sz="8" w:space="0" w:color="A6A6A6"/>
              <w:right w:val="single" w:sz="8" w:space="0" w:color="A6A6A6"/>
            </w:tcBorders>
            <w:noWrap/>
            <w:vAlign w:val="center"/>
            <w:hideMark/>
          </w:tcPr>
          <w:p w14:paraId="22BE5C2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56</w:t>
            </w:r>
          </w:p>
        </w:tc>
        <w:tc>
          <w:tcPr>
            <w:tcW w:w="1214" w:type="dxa"/>
            <w:tcBorders>
              <w:top w:val="nil"/>
              <w:left w:val="nil"/>
              <w:bottom w:val="single" w:sz="8" w:space="0" w:color="A6A6A6"/>
              <w:right w:val="single" w:sz="8" w:space="0" w:color="A6A6A6"/>
            </w:tcBorders>
            <w:noWrap/>
            <w:vAlign w:val="center"/>
            <w:hideMark/>
          </w:tcPr>
          <w:p w14:paraId="7BE1D45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164.788 </w:t>
            </w:r>
          </w:p>
        </w:tc>
        <w:tc>
          <w:tcPr>
            <w:tcW w:w="1202" w:type="dxa"/>
            <w:tcBorders>
              <w:top w:val="nil"/>
              <w:left w:val="nil"/>
              <w:bottom w:val="single" w:sz="8" w:space="0" w:color="A6A6A6"/>
              <w:right w:val="double" w:sz="6" w:space="0" w:color="A6A6A6"/>
            </w:tcBorders>
            <w:noWrap/>
            <w:vAlign w:val="center"/>
            <w:hideMark/>
          </w:tcPr>
          <w:p w14:paraId="219C638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164.788 </w:t>
            </w:r>
          </w:p>
        </w:tc>
      </w:tr>
      <w:tr w:rsidR="00335312" w:rsidRPr="00EE3E83" w14:paraId="3BA1B09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2AA4A3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47 /</w:t>
            </w:r>
          </w:p>
        </w:tc>
        <w:tc>
          <w:tcPr>
            <w:tcW w:w="4923" w:type="dxa"/>
            <w:tcBorders>
              <w:top w:val="nil"/>
              <w:left w:val="nil"/>
              <w:bottom w:val="single" w:sz="8" w:space="0" w:color="A6A6A6"/>
              <w:right w:val="single" w:sz="8" w:space="0" w:color="A6A6A6"/>
            </w:tcBorders>
            <w:shd w:val="clear" w:color="000000" w:fill="DFF2D0"/>
            <w:vAlign w:val="center"/>
            <w:hideMark/>
          </w:tcPr>
          <w:p w14:paraId="29ED0A8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VALFENERA - TORINO CON DIRAM.</w:t>
            </w:r>
          </w:p>
        </w:tc>
        <w:tc>
          <w:tcPr>
            <w:tcW w:w="753" w:type="dxa"/>
            <w:tcBorders>
              <w:top w:val="nil"/>
              <w:left w:val="nil"/>
              <w:bottom w:val="single" w:sz="8" w:space="0" w:color="A6A6A6"/>
              <w:right w:val="single" w:sz="8" w:space="0" w:color="A6A6A6"/>
            </w:tcBorders>
            <w:shd w:val="clear" w:color="000000" w:fill="DFF2D0"/>
            <w:noWrap/>
            <w:vAlign w:val="center"/>
            <w:hideMark/>
          </w:tcPr>
          <w:p w14:paraId="05B89C0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59</w:t>
            </w:r>
          </w:p>
        </w:tc>
        <w:tc>
          <w:tcPr>
            <w:tcW w:w="1214" w:type="dxa"/>
            <w:tcBorders>
              <w:top w:val="nil"/>
              <w:left w:val="nil"/>
              <w:bottom w:val="single" w:sz="8" w:space="0" w:color="A6A6A6"/>
              <w:right w:val="single" w:sz="8" w:space="0" w:color="A6A6A6"/>
            </w:tcBorders>
            <w:shd w:val="clear" w:color="000000" w:fill="DFF2D0"/>
            <w:noWrap/>
            <w:vAlign w:val="center"/>
            <w:hideMark/>
          </w:tcPr>
          <w:p w14:paraId="164695F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96.618 </w:t>
            </w:r>
          </w:p>
        </w:tc>
        <w:tc>
          <w:tcPr>
            <w:tcW w:w="1202" w:type="dxa"/>
            <w:tcBorders>
              <w:top w:val="nil"/>
              <w:left w:val="nil"/>
              <w:bottom w:val="single" w:sz="8" w:space="0" w:color="A6A6A6"/>
              <w:right w:val="double" w:sz="6" w:space="0" w:color="A6A6A6"/>
            </w:tcBorders>
            <w:shd w:val="clear" w:color="000000" w:fill="DFF2D0"/>
            <w:noWrap/>
            <w:vAlign w:val="center"/>
            <w:hideMark/>
          </w:tcPr>
          <w:p w14:paraId="2CF4851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96.618 </w:t>
            </w:r>
          </w:p>
        </w:tc>
      </w:tr>
      <w:tr w:rsidR="00335312" w:rsidRPr="00EE3E83" w14:paraId="4F6C9A5A"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4FFB13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48</w:t>
            </w:r>
          </w:p>
        </w:tc>
        <w:tc>
          <w:tcPr>
            <w:tcW w:w="4923" w:type="dxa"/>
            <w:tcBorders>
              <w:top w:val="nil"/>
              <w:left w:val="nil"/>
              <w:bottom w:val="single" w:sz="8" w:space="0" w:color="A6A6A6"/>
              <w:right w:val="single" w:sz="8" w:space="0" w:color="A6A6A6"/>
            </w:tcBorders>
            <w:vAlign w:val="center"/>
            <w:hideMark/>
          </w:tcPr>
          <w:p w14:paraId="203FA06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ALBA-DUSINO SAN MICHELE</w:t>
            </w:r>
          </w:p>
        </w:tc>
        <w:tc>
          <w:tcPr>
            <w:tcW w:w="753" w:type="dxa"/>
            <w:tcBorders>
              <w:top w:val="nil"/>
              <w:left w:val="nil"/>
              <w:bottom w:val="single" w:sz="8" w:space="0" w:color="A6A6A6"/>
              <w:right w:val="single" w:sz="8" w:space="0" w:color="A6A6A6"/>
            </w:tcBorders>
            <w:noWrap/>
            <w:vAlign w:val="center"/>
            <w:hideMark/>
          </w:tcPr>
          <w:p w14:paraId="43F9FD3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w:t>
            </w:r>
          </w:p>
        </w:tc>
        <w:tc>
          <w:tcPr>
            <w:tcW w:w="1214" w:type="dxa"/>
            <w:tcBorders>
              <w:top w:val="nil"/>
              <w:left w:val="nil"/>
              <w:bottom w:val="single" w:sz="8" w:space="0" w:color="A6A6A6"/>
              <w:right w:val="single" w:sz="8" w:space="0" w:color="A6A6A6"/>
            </w:tcBorders>
            <w:noWrap/>
            <w:vAlign w:val="center"/>
            <w:hideMark/>
          </w:tcPr>
          <w:p w14:paraId="6874FB3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97.393 </w:t>
            </w:r>
          </w:p>
        </w:tc>
        <w:tc>
          <w:tcPr>
            <w:tcW w:w="1202" w:type="dxa"/>
            <w:tcBorders>
              <w:top w:val="nil"/>
              <w:left w:val="nil"/>
              <w:bottom w:val="single" w:sz="8" w:space="0" w:color="A6A6A6"/>
              <w:right w:val="double" w:sz="6" w:space="0" w:color="A6A6A6"/>
            </w:tcBorders>
            <w:noWrap/>
            <w:vAlign w:val="center"/>
            <w:hideMark/>
          </w:tcPr>
          <w:p w14:paraId="6AD6D9C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97.393 </w:t>
            </w:r>
          </w:p>
        </w:tc>
      </w:tr>
      <w:tr w:rsidR="00335312" w:rsidRPr="00EE3E83" w14:paraId="0BD8ABBF" w14:textId="77777777" w:rsidTr="002A21C0">
        <w:trPr>
          <w:trHeight w:val="492"/>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46A55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48 /</w:t>
            </w:r>
          </w:p>
        </w:tc>
        <w:tc>
          <w:tcPr>
            <w:tcW w:w="4923" w:type="dxa"/>
            <w:tcBorders>
              <w:top w:val="nil"/>
              <w:left w:val="nil"/>
              <w:bottom w:val="single" w:sz="8" w:space="0" w:color="A6A6A6"/>
              <w:right w:val="single" w:sz="8" w:space="0" w:color="A6A6A6"/>
            </w:tcBorders>
            <w:shd w:val="clear" w:color="000000" w:fill="DFF2D0"/>
            <w:vAlign w:val="center"/>
            <w:hideMark/>
          </w:tcPr>
          <w:p w14:paraId="4E5BEB3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DUSINO - RIVALTA FIAT AVIO - CON DEVIAZIONI E DIRAMAZIONI FIAT MIRAFIORI</w:t>
            </w:r>
          </w:p>
        </w:tc>
        <w:tc>
          <w:tcPr>
            <w:tcW w:w="753" w:type="dxa"/>
            <w:tcBorders>
              <w:top w:val="nil"/>
              <w:left w:val="nil"/>
              <w:bottom w:val="single" w:sz="8" w:space="0" w:color="A6A6A6"/>
              <w:right w:val="single" w:sz="8" w:space="0" w:color="A6A6A6"/>
            </w:tcBorders>
            <w:shd w:val="clear" w:color="000000" w:fill="DFF2D0"/>
            <w:noWrap/>
            <w:vAlign w:val="center"/>
            <w:hideMark/>
          </w:tcPr>
          <w:p w14:paraId="375ACAA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w:t>
            </w:r>
          </w:p>
        </w:tc>
        <w:tc>
          <w:tcPr>
            <w:tcW w:w="1214" w:type="dxa"/>
            <w:tcBorders>
              <w:top w:val="nil"/>
              <w:left w:val="nil"/>
              <w:bottom w:val="single" w:sz="8" w:space="0" w:color="A6A6A6"/>
              <w:right w:val="single" w:sz="8" w:space="0" w:color="A6A6A6"/>
            </w:tcBorders>
            <w:shd w:val="clear" w:color="000000" w:fill="DFF2D0"/>
            <w:noWrap/>
            <w:vAlign w:val="center"/>
            <w:hideMark/>
          </w:tcPr>
          <w:p w14:paraId="311C912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108.880 </w:t>
            </w:r>
          </w:p>
        </w:tc>
        <w:tc>
          <w:tcPr>
            <w:tcW w:w="1202" w:type="dxa"/>
            <w:tcBorders>
              <w:top w:val="nil"/>
              <w:left w:val="nil"/>
              <w:bottom w:val="single" w:sz="8" w:space="0" w:color="A6A6A6"/>
              <w:right w:val="double" w:sz="6" w:space="0" w:color="A6A6A6"/>
            </w:tcBorders>
            <w:shd w:val="clear" w:color="000000" w:fill="DFF2D0"/>
            <w:noWrap/>
            <w:vAlign w:val="center"/>
            <w:hideMark/>
          </w:tcPr>
          <w:p w14:paraId="2FF9590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108.880 </w:t>
            </w:r>
          </w:p>
        </w:tc>
      </w:tr>
      <w:tr w:rsidR="00335312" w:rsidRPr="00EE3E83" w14:paraId="0A16F69E"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241883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49</w:t>
            </w:r>
          </w:p>
        </w:tc>
        <w:tc>
          <w:tcPr>
            <w:tcW w:w="4923" w:type="dxa"/>
            <w:tcBorders>
              <w:top w:val="nil"/>
              <w:left w:val="nil"/>
              <w:bottom w:val="single" w:sz="8" w:space="0" w:color="A6A6A6"/>
              <w:right w:val="single" w:sz="8" w:space="0" w:color="A6A6A6"/>
            </w:tcBorders>
            <w:vAlign w:val="center"/>
            <w:hideMark/>
          </w:tcPr>
          <w:p w14:paraId="7712966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ASTI-GOVONE-ALBA DEV E DIRAM.</w:t>
            </w:r>
          </w:p>
        </w:tc>
        <w:tc>
          <w:tcPr>
            <w:tcW w:w="753" w:type="dxa"/>
            <w:tcBorders>
              <w:top w:val="nil"/>
              <w:left w:val="nil"/>
              <w:bottom w:val="single" w:sz="8" w:space="0" w:color="A6A6A6"/>
              <w:right w:val="single" w:sz="8" w:space="0" w:color="A6A6A6"/>
            </w:tcBorders>
            <w:noWrap/>
            <w:vAlign w:val="center"/>
            <w:hideMark/>
          </w:tcPr>
          <w:p w14:paraId="1F215FD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49</w:t>
            </w:r>
          </w:p>
        </w:tc>
        <w:tc>
          <w:tcPr>
            <w:tcW w:w="1214" w:type="dxa"/>
            <w:tcBorders>
              <w:top w:val="nil"/>
              <w:left w:val="nil"/>
              <w:bottom w:val="single" w:sz="8" w:space="0" w:color="A6A6A6"/>
              <w:right w:val="single" w:sz="8" w:space="0" w:color="A6A6A6"/>
            </w:tcBorders>
            <w:noWrap/>
            <w:vAlign w:val="center"/>
            <w:hideMark/>
          </w:tcPr>
          <w:p w14:paraId="5E65796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224.178 </w:t>
            </w:r>
          </w:p>
        </w:tc>
        <w:tc>
          <w:tcPr>
            <w:tcW w:w="1202" w:type="dxa"/>
            <w:tcBorders>
              <w:top w:val="nil"/>
              <w:left w:val="nil"/>
              <w:bottom w:val="single" w:sz="8" w:space="0" w:color="A6A6A6"/>
              <w:right w:val="double" w:sz="6" w:space="0" w:color="A6A6A6"/>
            </w:tcBorders>
            <w:noWrap/>
            <w:vAlign w:val="center"/>
            <w:hideMark/>
          </w:tcPr>
          <w:p w14:paraId="75EFC2F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224.178 </w:t>
            </w:r>
          </w:p>
        </w:tc>
      </w:tr>
      <w:tr w:rsidR="00335312" w:rsidRPr="00EE3E83" w14:paraId="1B9E308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DFFB52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50</w:t>
            </w:r>
          </w:p>
        </w:tc>
        <w:tc>
          <w:tcPr>
            <w:tcW w:w="4923" w:type="dxa"/>
            <w:tcBorders>
              <w:top w:val="nil"/>
              <w:left w:val="nil"/>
              <w:bottom w:val="single" w:sz="8" w:space="0" w:color="A6A6A6"/>
              <w:right w:val="single" w:sz="8" w:space="0" w:color="A6A6A6"/>
            </w:tcBorders>
            <w:shd w:val="clear" w:color="000000" w:fill="DFF2D0"/>
            <w:vAlign w:val="center"/>
            <w:hideMark/>
          </w:tcPr>
          <w:p w14:paraId="45D4B9D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ASTI-CINAGLIO-VILLANOVA CON DEV.</w:t>
            </w:r>
          </w:p>
        </w:tc>
        <w:tc>
          <w:tcPr>
            <w:tcW w:w="753" w:type="dxa"/>
            <w:tcBorders>
              <w:top w:val="nil"/>
              <w:left w:val="nil"/>
              <w:bottom w:val="single" w:sz="8" w:space="0" w:color="A6A6A6"/>
              <w:right w:val="single" w:sz="8" w:space="0" w:color="A6A6A6"/>
            </w:tcBorders>
            <w:shd w:val="clear" w:color="000000" w:fill="DFF2D0"/>
            <w:noWrap/>
            <w:vAlign w:val="center"/>
            <w:hideMark/>
          </w:tcPr>
          <w:p w14:paraId="0CEB04F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w:t>
            </w:r>
          </w:p>
        </w:tc>
        <w:tc>
          <w:tcPr>
            <w:tcW w:w="1214" w:type="dxa"/>
            <w:tcBorders>
              <w:top w:val="nil"/>
              <w:left w:val="nil"/>
              <w:bottom w:val="single" w:sz="8" w:space="0" w:color="A6A6A6"/>
              <w:right w:val="single" w:sz="8" w:space="0" w:color="A6A6A6"/>
            </w:tcBorders>
            <w:shd w:val="clear" w:color="000000" w:fill="DFF2D0"/>
            <w:noWrap/>
            <w:vAlign w:val="center"/>
            <w:hideMark/>
          </w:tcPr>
          <w:p w14:paraId="2F2A3B9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115.982 </w:t>
            </w:r>
          </w:p>
        </w:tc>
        <w:tc>
          <w:tcPr>
            <w:tcW w:w="1202" w:type="dxa"/>
            <w:tcBorders>
              <w:top w:val="nil"/>
              <w:left w:val="nil"/>
              <w:bottom w:val="single" w:sz="8" w:space="0" w:color="A6A6A6"/>
              <w:right w:val="double" w:sz="6" w:space="0" w:color="A6A6A6"/>
            </w:tcBorders>
            <w:shd w:val="clear" w:color="000000" w:fill="DFF2D0"/>
            <w:noWrap/>
            <w:vAlign w:val="center"/>
            <w:hideMark/>
          </w:tcPr>
          <w:p w14:paraId="023DE59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115.982 </w:t>
            </w:r>
          </w:p>
        </w:tc>
      </w:tr>
      <w:tr w:rsidR="00335312" w:rsidRPr="00EE3E83" w14:paraId="66CC84C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EB9180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51</w:t>
            </w:r>
          </w:p>
        </w:tc>
        <w:tc>
          <w:tcPr>
            <w:tcW w:w="4923" w:type="dxa"/>
            <w:tcBorders>
              <w:top w:val="nil"/>
              <w:left w:val="nil"/>
              <w:bottom w:val="single" w:sz="8" w:space="0" w:color="A6A6A6"/>
              <w:right w:val="single" w:sz="8" w:space="0" w:color="A6A6A6"/>
            </w:tcBorders>
            <w:vAlign w:val="center"/>
            <w:hideMark/>
          </w:tcPr>
          <w:p w14:paraId="3DDC3CC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VILLANOVA-MONTAFIA-VIALE-MONALE-ASTI FS</w:t>
            </w:r>
          </w:p>
        </w:tc>
        <w:tc>
          <w:tcPr>
            <w:tcW w:w="753" w:type="dxa"/>
            <w:tcBorders>
              <w:top w:val="nil"/>
              <w:left w:val="nil"/>
              <w:bottom w:val="single" w:sz="8" w:space="0" w:color="A6A6A6"/>
              <w:right w:val="single" w:sz="8" w:space="0" w:color="A6A6A6"/>
            </w:tcBorders>
            <w:noWrap/>
            <w:vAlign w:val="center"/>
            <w:hideMark/>
          </w:tcPr>
          <w:p w14:paraId="451495E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w:t>
            </w:r>
          </w:p>
        </w:tc>
        <w:tc>
          <w:tcPr>
            <w:tcW w:w="1214" w:type="dxa"/>
            <w:tcBorders>
              <w:top w:val="nil"/>
              <w:left w:val="nil"/>
              <w:bottom w:val="single" w:sz="8" w:space="0" w:color="A6A6A6"/>
              <w:right w:val="single" w:sz="8" w:space="0" w:color="A6A6A6"/>
            </w:tcBorders>
            <w:noWrap/>
            <w:vAlign w:val="center"/>
            <w:hideMark/>
          </w:tcPr>
          <w:p w14:paraId="41C6AEA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62.859 </w:t>
            </w:r>
          </w:p>
        </w:tc>
        <w:tc>
          <w:tcPr>
            <w:tcW w:w="1202" w:type="dxa"/>
            <w:tcBorders>
              <w:top w:val="nil"/>
              <w:left w:val="nil"/>
              <w:bottom w:val="single" w:sz="8" w:space="0" w:color="A6A6A6"/>
              <w:right w:val="double" w:sz="6" w:space="0" w:color="A6A6A6"/>
            </w:tcBorders>
            <w:noWrap/>
            <w:vAlign w:val="center"/>
            <w:hideMark/>
          </w:tcPr>
          <w:p w14:paraId="7E28302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62.859 </w:t>
            </w:r>
          </w:p>
        </w:tc>
      </w:tr>
      <w:tr w:rsidR="00335312" w:rsidRPr="00EE3E83" w14:paraId="49A988E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F0E0E0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56</w:t>
            </w:r>
          </w:p>
        </w:tc>
        <w:tc>
          <w:tcPr>
            <w:tcW w:w="4923" w:type="dxa"/>
            <w:tcBorders>
              <w:top w:val="nil"/>
              <w:left w:val="nil"/>
              <w:bottom w:val="single" w:sz="8" w:space="0" w:color="A6A6A6"/>
              <w:right w:val="single" w:sz="8" w:space="0" w:color="A6A6A6"/>
            </w:tcBorders>
            <w:shd w:val="clear" w:color="000000" w:fill="DFF2D0"/>
            <w:vAlign w:val="center"/>
            <w:hideMark/>
          </w:tcPr>
          <w:p w14:paraId="693CC63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VILLANOVA F.S.-VALFENERA DEV.</w:t>
            </w:r>
          </w:p>
        </w:tc>
        <w:tc>
          <w:tcPr>
            <w:tcW w:w="753" w:type="dxa"/>
            <w:tcBorders>
              <w:top w:val="nil"/>
              <w:left w:val="nil"/>
              <w:bottom w:val="single" w:sz="8" w:space="0" w:color="A6A6A6"/>
              <w:right w:val="single" w:sz="8" w:space="0" w:color="A6A6A6"/>
            </w:tcBorders>
            <w:shd w:val="clear" w:color="000000" w:fill="DFF2D0"/>
            <w:noWrap/>
            <w:vAlign w:val="center"/>
            <w:hideMark/>
          </w:tcPr>
          <w:p w14:paraId="5B8CCAC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shd w:val="clear" w:color="000000" w:fill="DFF2D0"/>
            <w:noWrap/>
            <w:vAlign w:val="center"/>
            <w:hideMark/>
          </w:tcPr>
          <w:p w14:paraId="434C00D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4.168 </w:t>
            </w:r>
          </w:p>
        </w:tc>
        <w:tc>
          <w:tcPr>
            <w:tcW w:w="1202" w:type="dxa"/>
            <w:tcBorders>
              <w:top w:val="nil"/>
              <w:left w:val="nil"/>
              <w:bottom w:val="single" w:sz="8" w:space="0" w:color="A6A6A6"/>
              <w:right w:val="double" w:sz="6" w:space="0" w:color="A6A6A6"/>
            </w:tcBorders>
            <w:shd w:val="clear" w:color="000000" w:fill="DFF2D0"/>
            <w:noWrap/>
            <w:vAlign w:val="center"/>
            <w:hideMark/>
          </w:tcPr>
          <w:p w14:paraId="55CA36E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w:t>
            </w:r>
            <w:r>
              <w:rPr>
                <w:rFonts w:ascii="Calibri" w:eastAsia="Times New Roman" w:hAnsi="Calibri" w:cstheme="minorHAnsi"/>
                <w:color w:val="000000"/>
                <w:sz w:val="18"/>
                <w:szCs w:val="18"/>
              </w:rPr>
              <w:t xml:space="preserve"> </w:t>
            </w:r>
          </w:p>
        </w:tc>
      </w:tr>
      <w:tr w:rsidR="00335312" w:rsidRPr="00EE3E83" w14:paraId="1C63759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7F69E6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58</w:t>
            </w:r>
          </w:p>
        </w:tc>
        <w:tc>
          <w:tcPr>
            <w:tcW w:w="4923" w:type="dxa"/>
            <w:tcBorders>
              <w:top w:val="nil"/>
              <w:left w:val="nil"/>
              <w:bottom w:val="single" w:sz="8" w:space="0" w:color="A6A6A6"/>
              <w:right w:val="single" w:sz="8" w:space="0" w:color="A6A6A6"/>
            </w:tcBorders>
            <w:vAlign w:val="center"/>
            <w:hideMark/>
          </w:tcPr>
          <w:p w14:paraId="1B269E2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MASIO-ASTI F.S.</w:t>
            </w:r>
          </w:p>
        </w:tc>
        <w:tc>
          <w:tcPr>
            <w:tcW w:w="753" w:type="dxa"/>
            <w:tcBorders>
              <w:top w:val="nil"/>
              <w:left w:val="nil"/>
              <w:bottom w:val="single" w:sz="8" w:space="0" w:color="A6A6A6"/>
              <w:right w:val="single" w:sz="8" w:space="0" w:color="A6A6A6"/>
            </w:tcBorders>
            <w:noWrap/>
            <w:vAlign w:val="center"/>
            <w:hideMark/>
          </w:tcPr>
          <w:p w14:paraId="338DC00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14</w:t>
            </w:r>
          </w:p>
        </w:tc>
        <w:tc>
          <w:tcPr>
            <w:tcW w:w="1214" w:type="dxa"/>
            <w:tcBorders>
              <w:top w:val="nil"/>
              <w:left w:val="nil"/>
              <w:bottom w:val="single" w:sz="8" w:space="0" w:color="A6A6A6"/>
              <w:right w:val="single" w:sz="8" w:space="0" w:color="A6A6A6"/>
            </w:tcBorders>
            <w:noWrap/>
            <w:vAlign w:val="center"/>
            <w:hideMark/>
          </w:tcPr>
          <w:p w14:paraId="600D2E3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71.890 </w:t>
            </w:r>
          </w:p>
        </w:tc>
        <w:tc>
          <w:tcPr>
            <w:tcW w:w="1202" w:type="dxa"/>
            <w:tcBorders>
              <w:top w:val="nil"/>
              <w:left w:val="nil"/>
              <w:bottom w:val="single" w:sz="8" w:space="0" w:color="A6A6A6"/>
              <w:right w:val="double" w:sz="6" w:space="0" w:color="A6A6A6"/>
            </w:tcBorders>
            <w:noWrap/>
            <w:vAlign w:val="center"/>
            <w:hideMark/>
          </w:tcPr>
          <w:p w14:paraId="74B344C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71.890 </w:t>
            </w:r>
          </w:p>
        </w:tc>
      </w:tr>
      <w:tr w:rsidR="00335312" w:rsidRPr="00EE3E83" w14:paraId="53280D55"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EA30B4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60</w:t>
            </w:r>
          </w:p>
        </w:tc>
        <w:tc>
          <w:tcPr>
            <w:tcW w:w="4923" w:type="dxa"/>
            <w:tcBorders>
              <w:top w:val="nil"/>
              <w:left w:val="nil"/>
              <w:bottom w:val="single" w:sz="8" w:space="0" w:color="A6A6A6"/>
              <w:right w:val="single" w:sz="8" w:space="0" w:color="A6A6A6"/>
            </w:tcBorders>
            <w:shd w:val="clear" w:color="000000" w:fill="DFF2D0"/>
            <w:vAlign w:val="center"/>
            <w:hideMark/>
          </w:tcPr>
          <w:p w14:paraId="3FF4927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ASTI-MONTALDO S. CON PROL. A MONTEGROSSO SM.</w:t>
            </w:r>
          </w:p>
        </w:tc>
        <w:tc>
          <w:tcPr>
            <w:tcW w:w="753" w:type="dxa"/>
            <w:tcBorders>
              <w:top w:val="nil"/>
              <w:left w:val="nil"/>
              <w:bottom w:val="single" w:sz="8" w:space="0" w:color="A6A6A6"/>
              <w:right w:val="single" w:sz="8" w:space="0" w:color="A6A6A6"/>
            </w:tcBorders>
            <w:shd w:val="clear" w:color="000000" w:fill="DFF2D0"/>
            <w:noWrap/>
            <w:vAlign w:val="center"/>
            <w:hideMark/>
          </w:tcPr>
          <w:p w14:paraId="24A29EE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w:t>
            </w:r>
          </w:p>
        </w:tc>
        <w:tc>
          <w:tcPr>
            <w:tcW w:w="1214" w:type="dxa"/>
            <w:tcBorders>
              <w:top w:val="nil"/>
              <w:left w:val="nil"/>
              <w:bottom w:val="single" w:sz="8" w:space="0" w:color="A6A6A6"/>
              <w:right w:val="single" w:sz="8" w:space="0" w:color="A6A6A6"/>
            </w:tcBorders>
            <w:shd w:val="clear" w:color="000000" w:fill="DFF2D0"/>
            <w:noWrap/>
            <w:vAlign w:val="center"/>
            <w:hideMark/>
          </w:tcPr>
          <w:p w14:paraId="0DB6604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79.570 </w:t>
            </w:r>
          </w:p>
        </w:tc>
        <w:tc>
          <w:tcPr>
            <w:tcW w:w="1202" w:type="dxa"/>
            <w:tcBorders>
              <w:top w:val="nil"/>
              <w:left w:val="nil"/>
              <w:bottom w:val="single" w:sz="8" w:space="0" w:color="A6A6A6"/>
              <w:right w:val="double" w:sz="6" w:space="0" w:color="A6A6A6"/>
            </w:tcBorders>
            <w:shd w:val="clear" w:color="000000" w:fill="DFF2D0"/>
            <w:noWrap/>
            <w:vAlign w:val="center"/>
            <w:hideMark/>
          </w:tcPr>
          <w:p w14:paraId="289765C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79.570 </w:t>
            </w:r>
          </w:p>
        </w:tc>
      </w:tr>
      <w:tr w:rsidR="00335312" w:rsidRPr="00EE3E83" w14:paraId="07C65C1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2945CC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64</w:t>
            </w:r>
          </w:p>
        </w:tc>
        <w:tc>
          <w:tcPr>
            <w:tcW w:w="4923" w:type="dxa"/>
            <w:tcBorders>
              <w:top w:val="nil"/>
              <w:left w:val="nil"/>
              <w:bottom w:val="single" w:sz="8" w:space="0" w:color="A6A6A6"/>
              <w:right w:val="single" w:sz="8" w:space="0" w:color="A6A6A6"/>
            </w:tcBorders>
            <w:vAlign w:val="center"/>
            <w:hideMark/>
          </w:tcPr>
          <w:p w14:paraId="50B7410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CALOSSO - COSTIGLIOLE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ASTI</w:t>
            </w:r>
          </w:p>
        </w:tc>
        <w:tc>
          <w:tcPr>
            <w:tcW w:w="753" w:type="dxa"/>
            <w:tcBorders>
              <w:top w:val="nil"/>
              <w:left w:val="nil"/>
              <w:bottom w:val="single" w:sz="8" w:space="0" w:color="A6A6A6"/>
              <w:right w:val="single" w:sz="8" w:space="0" w:color="A6A6A6"/>
            </w:tcBorders>
            <w:noWrap/>
            <w:vAlign w:val="center"/>
            <w:hideMark/>
          </w:tcPr>
          <w:p w14:paraId="2145F55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60</w:t>
            </w:r>
          </w:p>
        </w:tc>
        <w:tc>
          <w:tcPr>
            <w:tcW w:w="1214" w:type="dxa"/>
            <w:tcBorders>
              <w:top w:val="nil"/>
              <w:left w:val="nil"/>
              <w:bottom w:val="single" w:sz="8" w:space="0" w:color="A6A6A6"/>
              <w:right w:val="single" w:sz="8" w:space="0" w:color="A6A6A6"/>
            </w:tcBorders>
            <w:noWrap/>
            <w:vAlign w:val="center"/>
            <w:hideMark/>
          </w:tcPr>
          <w:p w14:paraId="13E10D7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114.083 </w:t>
            </w:r>
          </w:p>
        </w:tc>
        <w:tc>
          <w:tcPr>
            <w:tcW w:w="1202" w:type="dxa"/>
            <w:tcBorders>
              <w:top w:val="nil"/>
              <w:left w:val="nil"/>
              <w:bottom w:val="single" w:sz="8" w:space="0" w:color="A6A6A6"/>
              <w:right w:val="double" w:sz="6" w:space="0" w:color="A6A6A6"/>
            </w:tcBorders>
            <w:noWrap/>
            <w:vAlign w:val="center"/>
            <w:hideMark/>
          </w:tcPr>
          <w:p w14:paraId="3BCECE1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114.083 </w:t>
            </w:r>
          </w:p>
        </w:tc>
      </w:tr>
      <w:tr w:rsidR="00335312" w:rsidRPr="00EE3E83" w14:paraId="26AB8FE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FC6EC1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65</w:t>
            </w:r>
          </w:p>
        </w:tc>
        <w:tc>
          <w:tcPr>
            <w:tcW w:w="4923" w:type="dxa"/>
            <w:tcBorders>
              <w:top w:val="nil"/>
              <w:left w:val="nil"/>
              <w:bottom w:val="single" w:sz="8" w:space="0" w:color="A6A6A6"/>
              <w:right w:val="single" w:sz="8" w:space="0" w:color="A6A6A6"/>
            </w:tcBorders>
            <w:shd w:val="clear" w:color="000000" w:fill="DFF2D0"/>
            <w:vAlign w:val="center"/>
            <w:hideMark/>
          </w:tcPr>
          <w:p w14:paraId="6D5C081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COSTIGLIOLE - CANELLI</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COSTOGLIOLE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NIZZA</w:t>
            </w:r>
          </w:p>
        </w:tc>
        <w:tc>
          <w:tcPr>
            <w:tcW w:w="753" w:type="dxa"/>
            <w:tcBorders>
              <w:top w:val="nil"/>
              <w:left w:val="nil"/>
              <w:bottom w:val="single" w:sz="8" w:space="0" w:color="A6A6A6"/>
              <w:right w:val="single" w:sz="8" w:space="0" w:color="A6A6A6"/>
            </w:tcBorders>
            <w:shd w:val="clear" w:color="000000" w:fill="DFF2D0"/>
            <w:noWrap/>
            <w:vAlign w:val="center"/>
            <w:hideMark/>
          </w:tcPr>
          <w:p w14:paraId="7EB057F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shd w:val="clear" w:color="000000" w:fill="DFF2D0"/>
            <w:noWrap/>
            <w:vAlign w:val="center"/>
            <w:hideMark/>
          </w:tcPr>
          <w:p w14:paraId="4E2B7C5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2.029 </w:t>
            </w:r>
          </w:p>
        </w:tc>
        <w:tc>
          <w:tcPr>
            <w:tcW w:w="1202" w:type="dxa"/>
            <w:tcBorders>
              <w:top w:val="nil"/>
              <w:left w:val="nil"/>
              <w:bottom w:val="single" w:sz="8" w:space="0" w:color="A6A6A6"/>
              <w:right w:val="double" w:sz="6" w:space="0" w:color="A6A6A6"/>
            </w:tcBorders>
            <w:shd w:val="clear" w:color="000000" w:fill="DFF2D0"/>
            <w:noWrap/>
            <w:vAlign w:val="center"/>
            <w:hideMark/>
          </w:tcPr>
          <w:p w14:paraId="754D045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2.029 </w:t>
            </w:r>
          </w:p>
        </w:tc>
      </w:tr>
      <w:tr w:rsidR="00335312" w:rsidRPr="00EE3E83" w14:paraId="6B13572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EBCBA7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66</w:t>
            </w:r>
          </w:p>
        </w:tc>
        <w:tc>
          <w:tcPr>
            <w:tcW w:w="4923" w:type="dxa"/>
            <w:tcBorders>
              <w:top w:val="nil"/>
              <w:left w:val="nil"/>
              <w:bottom w:val="single" w:sz="8" w:space="0" w:color="A6A6A6"/>
              <w:right w:val="single" w:sz="8" w:space="0" w:color="A6A6A6"/>
            </w:tcBorders>
            <w:vAlign w:val="center"/>
            <w:hideMark/>
          </w:tcPr>
          <w:p w14:paraId="494ADC8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VIARIGI-ASTI F.S.</w:t>
            </w:r>
          </w:p>
        </w:tc>
        <w:tc>
          <w:tcPr>
            <w:tcW w:w="753" w:type="dxa"/>
            <w:tcBorders>
              <w:top w:val="nil"/>
              <w:left w:val="nil"/>
              <w:bottom w:val="single" w:sz="8" w:space="0" w:color="A6A6A6"/>
              <w:right w:val="single" w:sz="8" w:space="0" w:color="A6A6A6"/>
            </w:tcBorders>
            <w:noWrap/>
            <w:vAlign w:val="center"/>
            <w:hideMark/>
          </w:tcPr>
          <w:p w14:paraId="57FBB4D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25</w:t>
            </w:r>
          </w:p>
        </w:tc>
        <w:tc>
          <w:tcPr>
            <w:tcW w:w="1214" w:type="dxa"/>
            <w:tcBorders>
              <w:top w:val="nil"/>
              <w:left w:val="nil"/>
              <w:bottom w:val="single" w:sz="8" w:space="0" w:color="A6A6A6"/>
              <w:right w:val="single" w:sz="8" w:space="0" w:color="A6A6A6"/>
            </w:tcBorders>
            <w:noWrap/>
            <w:vAlign w:val="center"/>
            <w:hideMark/>
          </w:tcPr>
          <w:p w14:paraId="6E56392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68.580 </w:t>
            </w:r>
          </w:p>
        </w:tc>
        <w:tc>
          <w:tcPr>
            <w:tcW w:w="1202" w:type="dxa"/>
            <w:tcBorders>
              <w:top w:val="nil"/>
              <w:left w:val="nil"/>
              <w:bottom w:val="single" w:sz="8" w:space="0" w:color="A6A6A6"/>
              <w:right w:val="double" w:sz="6" w:space="0" w:color="A6A6A6"/>
            </w:tcBorders>
            <w:noWrap/>
            <w:vAlign w:val="center"/>
            <w:hideMark/>
          </w:tcPr>
          <w:p w14:paraId="7CDAA5B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68.580 </w:t>
            </w:r>
          </w:p>
        </w:tc>
      </w:tr>
      <w:tr w:rsidR="00335312" w:rsidRPr="00EE3E83" w14:paraId="6FDA5B64"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002997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67</w:t>
            </w:r>
          </w:p>
        </w:tc>
        <w:tc>
          <w:tcPr>
            <w:tcW w:w="4923" w:type="dxa"/>
            <w:tcBorders>
              <w:top w:val="nil"/>
              <w:left w:val="nil"/>
              <w:bottom w:val="single" w:sz="8" w:space="0" w:color="A6A6A6"/>
              <w:right w:val="single" w:sz="8" w:space="0" w:color="A6A6A6"/>
            </w:tcBorders>
            <w:shd w:val="clear" w:color="000000" w:fill="DFF2D0"/>
            <w:vAlign w:val="center"/>
            <w:hideMark/>
          </w:tcPr>
          <w:p w14:paraId="5EC6CD5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COSTIGLIOLE - CASTAGNOLE LANZE</w:t>
            </w:r>
          </w:p>
        </w:tc>
        <w:tc>
          <w:tcPr>
            <w:tcW w:w="753" w:type="dxa"/>
            <w:tcBorders>
              <w:top w:val="nil"/>
              <w:left w:val="nil"/>
              <w:bottom w:val="single" w:sz="8" w:space="0" w:color="A6A6A6"/>
              <w:right w:val="single" w:sz="8" w:space="0" w:color="A6A6A6"/>
            </w:tcBorders>
            <w:shd w:val="clear" w:color="000000" w:fill="DFF2D0"/>
            <w:noWrap/>
            <w:vAlign w:val="center"/>
            <w:hideMark/>
          </w:tcPr>
          <w:p w14:paraId="0BC04B4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26</w:t>
            </w:r>
          </w:p>
        </w:tc>
        <w:tc>
          <w:tcPr>
            <w:tcW w:w="1214" w:type="dxa"/>
            <w:tcBorders>
              <w:top w:val="nil"/>
              <w:left w:val="nil"/>
              <w:bottom w:val="single" w:sz="8" w:space="0" w:color="A6A6A6"/>
              <w:right w:val="single" w:sz="8" w:space="0" w:color="A6A6A6"/>
            </w:tcBorders>
            <w:shd w:val="clear" w:color="000000" w:fill="DFF2D0"/>
            <w:noWrap/>
            <w:vAlign w:val="center"/>
            <w:hideMark/>
          </w:tcPr>
          <w:p w14:paraId="6B1510B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25.808 </w:t>
            </w:r>
          </w:p>
        </w:tc>
        <w:tc>
          <w:tcPr>
            <w:tcW w:w="1202" w:type="dxa"/>
            <w:tcBorders>
              <w:top w:val="nil"/>
              <w:left w:val="nil"/>
              <w:bottom w:val="single" w:sz="8" w:space="0" w:color="A6A6A6"/>
              <w:right w:val="double" w:sz="6" w:space="0" w:color="A6A6A6"/>
            </w:tcBorders>
            <w:shd w:val="clear" w:color="000000" w:fill="DFF2D0"/>
            <w:noWrap/>
            <w:vAlign w:val="center"/>
            <w:hideMark/>
          </w:tcPr>
          <w:p w14:paraId="222E936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25.808 </w:t>
            </w:r>
          </w:p>
        </w:tc>
      </w:tr>
      <w:tr w:rsidR="00335312" w:rsidRPr="00EE3E83" w14:paraId="4BF8EE35" w14:textId="77777777" w:rsidTr="002A21C0">
        <w:trPr>
          <w:trHeight w:val="492"/>
        </w:trPr>
        <w:tc>
          <w:tcPr>
            <w:tcW w:w="1008" w:type="dxa"/>
            <w:tcBorders>
              <w:top w:val="nil"/>
              <w:left w:val="double" w:sz="6" w:space="0" w:color="A6A6A6"/>
              <w:bottom w:val="single" w:sz="8" w:space="0" w:color="A6A6A6"/>
              <w:right w:val="single" w:sz="8" w:space="0" w:color="A6A6A6"/>
            </w:tcBorders>
            <w:noWrap/>
            <w:vAlign w:val="center"/>
            <w:hideMark/>
          </w:tcPr>
          <w:p w14:paraId="26F0FE4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68</w:t>
            </w:r>
          </w:p>
        </w:tc>
        <w:tc>
          <w:tcPr>
            <w:tcW w:w="4923" w:type="dxa"/>
            <w:tcBorders>
              <w:top w:val="nil"/>
              <w:left w:val="nil"/>
              <w:bottom w:val="single" w:sz="8" w:space="0" w:color="A6A6A6"/>
              <w:right w:val="single" w:sz="8" w:space="0" w:color="A6A6A6"/>
            </w:tcBorders>
            <w:vAlign w:val="center"/>
            <w:hideMark/>
          </w:tcPr>
          <w:p w14:paraId="0657691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MONGARDINO-ASTI CON PROLUNGAMENTO ALLE FRAZIONI</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E MONTEGROSSO S.M.</w:t>
            </w:r>
          </w:p>
        </w:tc>
        <w:tc>
          <w:tcPr>
            <w:tcW w:w="753" w:type="dxa"/>
            <w:tcBorders>
              <w:top w:val="nil"/>
              <w:left w:val="nil"/>
              <w:bottom w:val="single" w:sz="8" w:space="0" w:color="A6A6A6"/>
              <w:right w:val="single" w:sz="8" w:space="0" w:color="A6A6A6"/>
            </w:tcBorders>
            <w:noWrap/>
            <w:vAlign w:val="center"/>
            <w:hideMark/>
          </w:tcPr>
          <w:p w14:paraId="62688BB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41</w:t>
            </w:r>
          </w:p>
        </w:tc>
        <w:tc>
          <w:tcPr>
            <w:tcW w:w="1214" w:type="dxa"/>
            <w:tcBorders>
              <w:top w:val="nil"/>
              <w:left w:val="nil"/>
              <w:bottom w:val="single" w:sz="8" w:space="0" w:color="A6A6A6"/>
              <w:right w:val="single" w:sz="8" w:space="0" w:color="A6A6A6"/>
            </w:tcBorders>
            <w:noWrap/>
            <w:vAlign w:val="center"/>
            <w:hideMark/>
          </w:tcPr>
          <w:p w14:paraId="5FC6152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28.055 </w:t>
            </w:r>
          </w:p>
        </w:tc>
        <w:tc>
          <w:tcPr>
            <w:tcW w:w="1202" w:type="dxa"/>
            <w:tcBorders>
              <w:top w:val="nil"/>
              <w:left w:val="nil"/>
              <w:bottom w:val="single" w:sz="8" w:space="0" w:color="A6A6A6"/>
              <w:right w:val="double" w:sz="6" w:space="0" w:color="A6A6A6"/>
            </w:tcBorders>
            <w:noWrap/>
            <w:vAlign w:val="center"/>
            <w:hideMark/>
          </w:tcPr>
          <w:p w14:paraId="4D2628D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28.055 </w:t>
            </w:r>
          </w:p>
        </w:tc>
      </w:tr>
      <w:tr w:rsidR="00335312" w:rsidRPr="00EE3E83" w14:paraId="41394EDD"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7D7530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71</w:t>
            </w:r>
          </w:p>
        </w:tc>
        <w:tc>
          <w:tcPr>
            <w:tcW w:w="4923" w:type="dxa"/>
            <w:tcBorders>
              <w:top w:val="nil"/>
              <w:left w:val="nil"/>
              <w:bottom w:val="single" w:sz="8" w:space="0" w:color="A6A6A6"/>
              <w:right w:val="single" w:sz="8" w:space="0" w:color="A6A6A6"/>
            </w:tcBorders>
            <w:shd w:val="clear" w:color="000000" w:fill="DFF2D0"/>
            <w:vAlign w:val="center"/>
            <w:hideMark/>
          </w:tcPr>
          <w:p w14:paraId="0A98087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ROCCHETTA-QUATTORDIO CON DIRAM.</w:t>
            </w:r>
          </w:p>
        </w:tc>
        <w:tc>
          <w:tcPr>
            <w:tcW w:w="753" w:type="dxa"/>
            <w:tcBorders>
              <w:top w:val="nil"/>
              <w:left w:val="nil"/>
              <w:bottom w:val="single" w:sz="8" w:space="0" w:color="A6A6A6"/>
              <w:right w:val="single" w:sz="8" w:space="0" w:color="A6A6A6"/>
            </w:tcBorders>
            <w:shd w:val="clear" w:color="000000" w:fill="DFF2D0"/>
            <w:noWrap/>
            <w:vAlign w:val="center"/>
            <w:hideMark/>
          </w:tcPr>
          <w:p w14:paraId="058A3C9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shd w:val="clear" w:color="000000" w:fill="DFF2D0"/>
            <w:noWrap/>
            <w:vAlign w:val="center"/>
            <w:hideMark/>
          </w:tcPr>
          <w:p w14:paraId="2343218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17.118 </w:t>
            </w:r>
          </w:p>
        </w:tc>
        <w:tc>
          <w:tcPr>
            <w:tcW w:w="1202" w:type="dxa"/>
            <w:tcBorders>
              <w:top w:val="nil"/>
              <w:left w:val="nil"/>
              <w:bottom w:val="single" w:sz="8" w:space="0" w:color="A6A6A6"/>
              <w:right w:val="double" w:sz="6" w:space="0" w:color="A6A6A6"/>
            </w:tcBorders>
            <w:shd w:val="clear" w:color="000000" w:fill="DFF2D0"/>
            <w:noWrap/>
            <w:vAlign w:val="center"/>
            <w:hideMark/>
          </w:tcPr>
          <w:p w14:paraId="616A2C7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17.118 </w:t>
            </w:r>
          </w:p>
        </w:tc>
      </w:tr>
      <w:tr w:rsidR="00335312" w:rsidRPr="00EE3E83" w14:paraId="5057A6F1"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E93488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72</w:t>
            </w:r>
          </w:p>
        </w:tc>
        <w:tc>
          <w:tcPr>
            <w:tcW w:w="4923" w:type="dxa"/>
            <w:tcBorders>
              <w:top w:val="nil"/>
              <w:left w:val="nil"/>
              <w:bottom w:val="single" w:sz="8" w:space="0" w:color="A6A6A6"/>
              <w:right w:val="single" w:sz="8" w:space="0" w:color="A6A6A6"/>
            </w:tcBorders>
            <w:vAlign w:val="center"/>
            <w:hideMark/>
          </w:tcPr>
          <w:p w14:paraId="03515D0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SCOLASTICA DI ROCCHETTA TANARO</w:t>
            </w:r>
          </w:p>
        </w:tc>
        <w:tc>
          <w:tcPr>
            <w:tcW w:w="753" w:type="dxa"/>
            <w:tcBorders>
              <w:top w:val="nil"/>
              <w:left w:val="nil"/>
              <w:bottom w:val="single" w:sz="8" w:space="0" w:color="A6A6A6"/>
              <w:right w:val="single" w:sz="8" w:space="0" w:color="A6A6A6"/>
            </w:tcBorders>
            <w:noWrap/>
            <w:vAlign w:val="center"/>
            <w:hideMark/>
          </w:tcPr>
          <w:p w14:paraId="63697E3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27</w:t>
            </w:r>
          </w:p>
        </w:tc>
        <w:tc>
          <w:tcPr>
            <w:tcW w:w="1214" w:type="dxa"/>
            <w:tcBorders>
              <w:top w:val="nil"/>
              <w:left w:val="nil"/>
              <w:bottom w:val="single" w:sz="8" w:space="0" w:color="A6A6A6"/>
              <w:right w:val="single" w:sz="8" w:space="0" w:color="A6A6A6"/>
            </w:tcBorders>
            <w:noWrap/>
            <w:vAlign w:val="center"/>
            <w:hideMark/>
          </w:tcPr>
          <w:p w14:paraId="611B430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51.790 </w:t>
            </w:r>
          </w:p>
        </w:tc>
        <w:tc>
          <w:tcPr>
            <w:tcW w:w="1202" w:type="dxa"/>
            <w:tcBorders>
              <w:top w:val="nil"/>
              <w:left w:val="nil"/>
              <w:bottom w:val="single" w:sz="8" w:space="0" w:color="A6A6A6"/>
              <w:right w:val="double" w:sz="6" w:space="0" w:color="A6A6A6"/>
            </w:tcBorders>
            <w:noWrap/>
            <w:vAlign w:val="center"/>
            <w:hideMark/>
          </w:tcPr>
          <w:p w14:paraId="6DE6F52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51.790 </w:t>
            </w:r>
          </w:p>
        </w:tc>
      </w:tr>
      <w:tr w:rsidR="00335312" w:rsidRPr="00EE3E83" w14:paraId="069ED07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DAC5A5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73</w:t>
            </w:r>
          </w:p>
        </w:tc>
        <w:tc>
          <w:tcPr>
            <w:tcW w:w="4923" w:type="dxa"/>
            <w:tcBorders>
              <w:top w:val="nil"/>
              <w:left w:val="nil"/>
              <w:bottom w:val="single" w:sz="8" w:space="0" w:color="A6A6A6"/>
              <w:right w:val="single" w:sz="8" w:space="0" w:color="A6A6A6"/>
            </w:tcBorders>
            <w:shd w:val="clear" w:color="000000" w:fill="DFF2D0"/>
            <w:vAlign w:val="center"/>
            <w:hideMark/>
          </w:tcPr>
          <w:p w14:paraId="6813BAC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MOMBERCELLI-QUATTORDIO STAB.TI</w:t>
            </w:r>
          </w:p>
        </w:tc>
        <w:tc>
          <w:tcPr>
            <w:tcW w:w="753" w:type="dxa"/>
            <w:tcBorders>
              <w:top w:val="nil"/>
              <w:left w:val="nil"/>
              <w:bottom w:val="single" w:sz="8" w:space="0" w:color="A6A6A6"/>
              <w:right w:val="single" w:sz="8" w:space="0" w:color="A6A6A6"/>
            </w:tcBorders>
            <w:shd w:val="clear" w:color="000000" w:fill="DFF2D0"/>
            <w:noWrap/>
            <w:vAlign w:val="center"/>
            <w:hideMark/>
          </w:tcPr>
          <w:p w14:paraId="57F1ADC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shd w:val="clear" w:color="000000" w:fill="DFF2D0"/>
            <w:noWrap/>
            <w:vAlign w:val="center"/>
            <w:hideMark/>
          </w:tcPr>
          <w:p w14:paraId="6DA46F5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31.584 </w:t>
            </w:r>
          </w:p>
        </w:tc>
        <w:tc>
          <w:tcPr>
            <w:tcW w:w="1202" w:type="dxa"/>
            <w:tcBorders>
              <w:top w:val="nil"/>
              <w:left w:val="nil"/>
              <w:bottom w:val="single" w:sz="8" w:space="0" w:color="A6A6A6"/>
              <w:right w:val="double" w:sz="6" w:space="0" w:color="A6A6A6"/>
            </w:tcBorders>
            <w:shd w:val="clear" w:color="000000" w:fill="DFF2D0"/>
            <w:noWrap/>
            <w:vAlign w:val="center"/>
            <w:hideMark/>
          </w:tcPr>
          <w:p w14:paraId="584FC0A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31.584 </w:t>
            </w:r>
          </w:p>
        </w:tc>
      </w:tr>
      <w:tr w:rsidR="00335312" w:rsidRPr="00EE3E83" w14:paraId="6324B7F1"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5B01A2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74</w:t>
            </w:r>
          </w:p>
        </w:tc>
        <w:tc>
          <w:tcPr>
            <w:tcW w:w="4923" w:type="dxa"/>
            <w:tcBorders>
              <w:top w:val="nil"/>
              <w:left w:val="nil"/>
              <w:bottom w:val="single" w:sz="8" w:space="0" w:color="A6A6A6"/>
              <w:right w:val="single" w:sz="8" w:space="0" w:color="A6A6A6"/>
            </w:tcBorders>
            <w:vAlign w:val="center"/>
            <w:hideMark/>
          </w:tcPr>
          <w:p w14:paraId="1FE746F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SCOLASTICA DI MOMBERCELLI</w:t>
            </w:r>
          </w:p>
        </w:tc>
        <w:tc>
          <w:tcPr>
            <w:tcW w:w="753" w:type="dxa"/>
            <w:tcBorders>
              <w:top w:val="nil"/>
              <w:left w:val="nil"/>
              <w:bottom w:val="single" w:sz="8" w:space="0" w:color="A6A6A6"/>
              <w:right w:val="single" w:sz="8" w:space="0" w:color="A6A6A6"/>
            </w:tcBorders>
            <w:noWrap/>
            <w:vAlign w:val="center"/>
            <w:hideMark/>
          </w:tcPr>
          <w:p w14:paraId="069A6FE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w:t>
            </w:r>
          </w:p>
        </w:tc>
        <w:tc>
          <w:tcPr>
            <w:tcW w:w="1214" w:type="dxa"/>
            <w:tcBorders>
              <w:top w:val="nil"/>
              <w:left w:val="nil"/>
              <w:bottom w:val="single" w:sz="8" w:space="0" w:color="A6A6A6"/>
              <w:right w:val="single" w:sz="8" w:space="0" w:color="A6A6A6"/>
            </w:tcBorders>
            <w:noWrap/>
            <w:vAlign w:val="center"/>
            <w:hideMark/>
          </w:tcPr>
          <w:p w14:paraId="6DC412F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19.548 </w:t>
            </w:r>
          </w:p>
        </w:tc>
        <w:tc>
          <w:tcPr>
            <w:tcW w:w="1202" w:type="dxa"/>
            <w:tcBorders>
              <w:top w:val="nil"/>
              <w:left w:val="nil"/>
              <w:bottom w:val="single" w:sz="8" w:space="0" w:color="A6A6A6"/>
              <w:right w:val="double" w:sz="6" w:space="0" w:color="A6A6A6"/>
            </w:tcBorders>
            <w:noWrap/>
            <w:vAlign w:val="center"/>
            <w:hideMark/>
          </w:tcPr>
          <w:p w14:paraId="1619497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19.548 </w:t>
            </w:r>
          </w:p>
        </w:tc>
      </w:tr>
      <w:tr w:rsidR="00335312" w:rsidRPr="00EE3E83" w14:paraId="58B0ADC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2B1849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76</w:t>
            </w:r>
          </w:p>
        </w:tc>
        <w:tc>
          <w:tcPr>
            <w:tcW w:w="4923" w:type="dxa"/>
            <w:tcBorders>
              <w:top w:val="nil"/>
              <w:left w:val="nil"/>
              <w:bottom w:val="single" w:sz="8" w:space="0" w:color="A6A6A6"/>
              <w:right w:val="single" w:sz="8" w:space="0" w:color="A6A6A6"/>
            </w:tcBorders>
            <w:shd w:val="clear" w:color="000000" w:fill="DFF2D0"/>
            <w:vAlign w:val="center"/>
            <w:hideMark/>
          </w:tcPr>
          <w:p w14:paraId="3F38B89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NIZZA-CASTEL B.-ROCCHETTA P.-NIZZA </w:t>
            </w:r>
          </w:p>
        </w:tc>
        <w:tc>
          <w:tcPr>
            <w:tcW w:w="753" w:type="dxa"/>
            <w:tcBorders>
              <w:top w:val="nil"/>
              <w:left w:val="nil"/>
              <w:bottom w:val="single" w:sz="8" w:space="0" w:color="A6A6A6"/>
              <w:right w:val="single" w:sz="8" w:space="0" w:color="A6A6A6"/>
            </w:tcBorders>
            <w:shd w:val="clear" w:color="000000" w:fill="DFF2D0"/>
            <w:noWrap/>
            <w:vAlign w:val="center"/>
            <w:hideMark/>
          </w:tcPr>
          <w:p w14:paraId="7E0DB4D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FF2D0"/>
            <w:noWrap/>
            <w:vAlign w:val="center"/>
            <w:hideMark/>
          </w:tcPr>
          <w:p w14:paraId="6EDEB8D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2.888 </w:t>
            </w:r>
          </w:p>
        </w:tc>
        <w:tc>
          <w:tcPr>
            <w:tcW w:w="1202" w:type="dxa"/>
            <w:tcBorders>
              <w:top w:val="nil"/>
              <w:left w:val="nil"/>
              <w:bottom w:val="single" w:sz="8" w:space="0" w:color="A6A6A6"/>
              <w:right w:val="double" w:sz="6" w:space="0" w:color="A6A6A6"/>
            </w:tcBorders>
            <w:shd w:val="clear" w:color="000000" w:fill="DFF2D0"/>
            <w:noWrap/>
            <w:vAlign w:val="center"/>
            <w:hideMark/>
          </w:tcPr>
          <w:p w14:paraId="71655D1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2.888 </w:t>
            </w:r>
          </w:p>
        </w:tc>
      </w:tr>
      <w:tr w:rsidR="00335312" w:rsidRPr="00EE3E83" w14:paraId="5DDB27F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D08236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77</w:t>
            </w:r>
          </w:p>
        </w:tc>
        <w:tc>
          <w:tcPr>
            <w:tcW w:w="4923" w:type="dxa"/>
            <w:tcBorders>
              <w:top w:val="nil"/>
              <w:left w:val="nil"/>
              <w:bottom w:val="single" w:sz="8" w:space="0" w:color="A6A6A6"/>
              <w:right w:val="single" w:sz="8" w:space="0" w:color="A6A6A6"/>
            </w:tcBorders>
            <w:vAlign w:val="center"/>
            <w:hideMark/>
          </w:tcPr>
          <w:p w14:paraId="0C4229E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CANELLI-ROCCHETTA P.-MOMBARUZZO-INCISA-NIZZA M.TO</w:t>
            </w:r>
          </w:p>
        </w:tc>
        <w:tc>
          <w:tcPr>
            <w:tcW w:w="753" w:type="dxa"/>
            <w:tcBorders>
              <w:top w:val="nil"/>
              <w:left w:val="nil"/>
              <w:bottom w:val="single" w:sz="8" w:space="0" w:color="A6A6A6"/>
              <w:right w:val="single" w:sz="8" w:space="0" w:color="A6A6A6"/>
            </w:tcBorders>
            <w:noWrap/>
            <w:vAlign w:val="center"/>
            <w:hideMark/>
          </w:tcPr>
          <w:p w14:paraId="614DC7A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7FF1118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15.138 </w:t>
            </w:r>
          </w:p>
        </w:tc>
        <w:tc>
          <w:tcPr>
            <w:tcW w:w="1202" w:type="dxa"/>
            <w:tcBorders>
              <w:top w:val="nil"/>
              <w:left w:val="nil"/>
              <w:bottom w:val="single" w:sz="8" w:space="0" w:color="A6A6A6"/>
              <w:right w:val="double" w:sz="6" w:space="0" w:color="A6A6A6"/>
            </w:tcBorders>
            <w:noWrap/>
            <w:vAlign w:val="center"/>
            <w:hideMark/>
          </w:tcPr>
          <w:p w14:paraId="5E3978C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15.138 </w:t>
            </w:r>
          </w:p>
        </w:tc>
      </w:tr>
      <w:tr w:rsidR="00335312" w:rsidRPr="00EE3E83" w14:paraId="34C8157E"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B98CEA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81</w:t>
            </w:r>
          </w:p>
        </w:tc>
        <w:tc>
          <w:tcPr>
            <w:tcW w:w="4923" w:type="dxa"/>
            <w:tcBorders>
              <w:top w:val="nil"/>
              <w:left w:val="nil"/>
              <w:bottom w:val="single" w:sz="8" w:space="0" w:color="A6A6A6"/>
              <w:right w:val="single" w:sz="8" w:space="0" w:color="A6A6A6"/>
            </w:tcBorders>
            <w:shd w:val="clear" w:color="000000" w:fill="DFF2D0"/>
            <w:vAlign w:val="center"/>
            <w:hideMark/>
          </w:tcPr>
          <w:p w14:paraId="703C9EA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CASTEL BOGLIONE-ACQUI T.</w:t>
            </w:r>
          </w:p>
        </w:tc>
        <w:tc>
          <w:tcPr>
            <w:tcW w:w="753" w:type="dxa"/>
            <w:tcBorders>
              <w:top w:val="nil"/>
              <w:left w:val="nil"/>
              <w:bottom w:val="single" w:sz="8" w:space="0" w:color="A6A6A6"/>
              <w:right w:val="single" w:sz="8" w:space="0" w:color="A6A6A6"/>
            </w:tcBorders>
            <w:shd w:val="clear" w:color="000000" w:fill="DFF2D0"/>
            <w:noWrap/>
            <w:vAlign w:val="center"/>
            <w:hideMark/>
          </w:tcPr>
          <w:p w14:paraId="60A0540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1214" w:type="dxa"/>
            <w:tcBorders>
              <w:top w:val="nil"/>
              <w:left w:val="nil"/>
              <w:bottom w:val="single" w:sz="8" w:space="0" w:color="A6A6A6"/>
              <w:right w:val="single" w:sz="8" w:space="0" w:color="A6A6A6"/>
            </w:tcBorders>
            <w:shd w:val="clear" w:color="000000" w:fill="DFF2D0"/>
            <w:noWrap/>
            <w:vAlign w:val="center"/>
            <w:hideMark/>
          </w:tcPr>
          <w:p w14:paraId="01C449B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32.266 </w:t>
            </w:r>
          </w:p>
        </w:tc>
        <w:tc>
          <w:tcPr>
            <w:tcW w:w="1202" w:type="dxa"/>
            <w:tcBorders>
              <w:top w:val="nil"/>
              <w:left w:val="nil"/>
              <w:bottom w:val="single" w:sz="8" w:space="0" w:color="A6A6A6"/>
              <w:right w:val="double" w:sz="6" w:space="0" w:color="A6A6A6"/>
            </w:tcBorders>
            <w:shd w:val="clear" w:color="000000" w:fill="DFF2D0"/>
            <w:noWrap/>
            <w:vAlign w:val="center"/>
            <w:hideMark/>
          </w:tcPr>
          <w:p w14:paraId="624CBBA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32.266 </w:t>
            </w:r>
          </w:p>
        </w:tc>
      </w:tr>
      <w:tr w:rsidR="00335312" w:rsidRPr="00EE3E83" w14:paraId="67B042C6" w14:textId="77777777" w:rsidTr="002A21C0">
        <w:trPr>
          <w:trHeight w:val="492"/>
        </w:trPr>
        <w:tc>
          <w:tcPr>
            <w:tcW w:w="1008" w:type="dxa"/>
            <w:tcBorders>
              <w:top w:val="nil"/>
              <w:left w:val="double" w:sz="6" w:space="0" w:color="A6A6A6"/>
              <w:bottom w:val="single" w:sz="8" w:space="0" w:color="A6A6A6"/>
              <w:right w:val="single" w:sz="8" w:space="0" w:color="A6A6A6"/>
            </w:tcBorders>
            <w:noWrap/>
            <w:vAlign w:val="center"/>
            <w:hideMark/>
          </w:tcPr>
          <w:p w14:paraId="7AED5E1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87</w:t>
            </w:r>
          </w:p>
        </w:tc>
        <w:tc>
          <w:tcPr>
            <w:tcW w:w="4923" w:type="dxa"/>
            <w:tcBorders>
              <w:top w:val="nil"/>
              <w:left w:val="nil"/>
              <w:bottom w:val="single" w:sz="8" w:space="0" w:color="A6A6A6"/>
              <w:right w:val="single" w:sz="8" w:space="0" w:color="A6A6A6"/>
            </w:tcBorders>
            <w:vAlign w:val="center"/>
            <w:hideMark/>
          </w:tcPr>
          <w:p w14:paraId="7F40421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TONENGO-MORANSENGO-CUNICO-ASTI FS CON DIR. MONTIGLIO M.TO</w:t>
            </w:r>
          </w:p>
        </w:tc>
        <w:tc>
          <w:tcPr>
            <w:tcW w:w="753" w:type="dxa"/>
            <w:tcBorders>
              <w:top w:val="nil"/>
              <w:left w:val="nil"/>
              <w:bottom w:val="single" w:sz="8" w:space="0" w:color="A6A6A6"/>
              <w:right w:val="single" w:sz="8" w:space="0" w:color="A6A6A6"/>
            </w:tcBorders>
            <w:noWrap/>
            <w:vAlign w:val="center"/>
            <w:hideMark/>
          </w:tcPr>
          <w:p w14:paraId="5F35731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15</w:t>
            </w:r>
          </w:p>
        </w:tc>
        <w:tc>
          <w:tcPr>
            <w:tcW w:w="1214" w:type="dxa"/>
            <w:tcBorders>
              <w:top w:val="nil"/>
              <w:left w:val="nil"/>
              <w:bottom w:val="single" w:sz="8" w:space="0" w:color="A6A6A6"/>
              <w:right w:val="single" w:sz="8" w:space="0" w:color="A6A6A6"/>
            </w:tcBorders>
            <w:noWrap/>
            <w:vAlign w:val="center"/>
            <w:hideMark/>
          </w:tcPr>
          <w:p w14:paraId="208DB68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35.943 </w:t>
            </w:r>
          </w:p>
        </w:tc>
        <w:tc>
          <w:tcPr>
            <w:tcW w:w="1202" w:type="dxa"/>
            <w:tcBorders>
              <w:top w:val="nil"/>
              <w:left w:val="nil"/>
              <w:bottom w:val="single" w:sz="8" w:space="0" w:color="A6A6A6"/>
              <w:right w:val="double" w:sz="6" w:space="0" w:color="A6A6A6"/>
            </w:tcBorders>
            <w:noWrap/>
            <w:vAlign w:val="center"/>
            <w:hideMark/>
          </w:tcPr>
          <w:p w14:paraId="77A09CE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35.943 </w:t>
            </w:r>
          </w:p>
        </w:tc>
      </w:tr>
      <w:tr w:rsidR="00335312" w:rsidRPr="00EE3E83" w14:paraId="68D3290A" w14:textId="77777777" w:rsidTr="002A21C0">
        <w:trPr>
          <w:trHeight w:val="492"/>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FFEA5A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95</w:t>
            </w:r>
          </w:p>
        </w:tc>
        <w:tc>
          <w:tcPr>
            <w:tcW w:w="4923" w:type="dxa"/>
            <w:tcBorders>
              <w:top w:val="nil"/>
              <w:left w:val="nil"/>
              <w:bottom w:val="single" w:sz="8" w:space="0" w:color="A6A6A6"/>
              <w:right w:val="single" w:sz="8" w:space="0" w:color="A6A6A6"/>
            </w:tcBorders>
            <w:shd w:val="clear" w:color="000000" w:fill="DFF2D0"/>
            <w:vAlign w:val="center"/>
            <w:hideMark/>
          </w:tcPr>
          <w:p w14:paraId="1726F8C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ASTI-VIGLIANO FS-MONTEGROSSO-AGLIANO-MOASCA-S. MARZANO-NIZZA M.TO (IST. SCOLASTCI) CON DIR. E DEV.</w:t>
            </w:r>
          </w:p>
        </w:tc>
        <w:tc>
          <w:tcPr>
            <w:tcW w:w="753" w:type="dxa"/>
            <w:tcBorders>
              <w:top w:val="nil"/>
              <w:left w:val="nil"/>
              <w:bottom w:val="single" w:sz="8" w:space="0" w:color="A6A6A6"/>
              <w:right w:val="single" w:sz="8" w:space="0" w:color="A6A6A6"/>
            </w:tcBorders>
            <w:shd w:val="clear" w:color="000000" w:fill="DFF2D0"/>
            <w:noWrap/>
            <w:vAlign w:val="center"/>
            <w:hideMark/>
          </w:tcPr>
          <w:p w14:paraId="4D239C3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shd w:val="clear" w:color="000000" w:fill="DFF2D0"/>
            <w:noWrap/>
            <w:vAlign w:val="center"/>
            <w:hideMark/>
          </w:tcPr>
          <w:p w14:paraId="6A2D290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32.558 </w:t>
            </w:r>
          </w:p>
        </w:tc>
        <w:tc>
          <w:tcPr>
            <w:tcW w:w="1202" w:type="dxa"/>
            <w:tcBorders>
              <w:top w:val="nil"/>
              <w:left w:val="nil"/>
              <w:bottom w:val="single" w:sz="8" w:space="0" w:color="A6A6A6"/>
              <w:right w:val="double" w:sz="6" w:space="0" w:color="A6A6A6"/>
            </w:tcBorders>
            <w:shd w:val="clear" w:color="000000" w:fill="DFF2D0"/>
            <w:noWrap/>
            <w:vAlign w:val="center"/>
            <w:hideMark/>
          </w:tcPr>
          <w:p w14:paraId="618C923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32.558 </w:t>
            </w:r>
          </w:p>
        </w:tc>
      </w:tr>
      <w:tr w:rsidR="00335312" w:rsidRPr="00EE3E83" w14:paraId="0DADD45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7DA60A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96</w:t>
            </w:r>
          </w:p>
        </w:tc>
        <w:tc>
          <w:tcPr>
            <w:tcW w:w="4923" w:type="dxa"/>
            <w:tcBorders>
              <w:top w:val="nil"/>
              <w:left w:val="nil"/>
              <w:bottom w:val="single" w:sz="8" w:space="0" w:color="A6A6A6"/>
              <w:right w:val="single" w:sz="8" w:space="0" w:color="A6A6A6"/>
            </w:tcBorders>
            <w:vAlign w:val="center"/>
            <w:hideMark/>
          </w:tcPr>
          <w:p w14:paraId="5FBA3EA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NIZZA M.TO - CASTELNUOVO CALCEA</w:t>
            </w:r>
          </w:p>
        </w:tc>
        <w:tc>
          <w:tcPr>
            <w:tcW w:w="753" w:type="dxa"/>
            <w:tcBorders>
              <w:top w:val="nil"/>
              <w:left w:val="nil"/>
              <w:bottom w:val="single" w:sz="8" w:space="0" w:color="A6A6A6"/>
              <w:right w:val="single" w:sz="8" w:space="0" w:color="A6A6A6"/>
            </w:tcBorders>
            <w:noWrap/>
            <w:vAlign w:val="center"/>
            <w:hideMark/>
          </w:tcPr>
          <w:p w14:paraId="07028D0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noWrap/>
            <w:vAlign w:val="center"/>
            <w:hideMark/>
          </w:tcPr>
          <w:p w14:paraId="07E8D86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2.040 </w:t>
            </w:r>
          </w:p>
        </w:tc>
        <w:tc>
          <w:tcPr>
            <w:tcW w:w="1202" w:type="dxa"/>
            <w:tcBorders>
              <w:top w:val="nil"/>
              <w:left w:val="nil"/>
              <w:bottom w:val="single" w:sz="8" w:space="0" w:color="A6A6A6"/>
              <w:right w:val="double" w:sz="6" w:space="0" w:color="A6A6A6"/>
            </w:tcBorders>
            <w:noWrap/>
            <w:vAlign w:val="center"/>
            <w:hideMark/>
          </w:tcPr>
          <w:p w14:paraId="0AC39EC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2.040 </w:t>
            </w:r>
          </w:p>
        </w:tc>
      </w:tr>
      <w:tr w:rsidR="00335312" w:rsidRPr="00EE3E83" w14:paraId="418E1E9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0B8B87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105</w:t>
            </w:r>
          </w:p>
        </w:tc>
        <w:tc>
          <w:tcPr>
            <w:tcW w:w="4923" w:type="dxa"/>
            <w:tcBorders>
              <w:top w:val="nil"/>
              <w:left w:val="nil"/>
              <w:bottom w:val="single" w:sz="8" w:space="0" w:color="A6A6A6"/>
              <w:right w:val="single" w:sz="8" w:space="0" w:color="A6A6A6"/>
            </w:tcBorders>
            <w:shd w:val="clear" w:color="000000" w:fill="DFF2D0"/>
            <w:vAlign w:val="center"/>
            <w:hideMark/>
          </w:tcPr>
          <w:p w14:paraId="298AA94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ASTI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COCCONATO</w:t>
            </w:r>
          </w:p>
        </w:tc>
        <w:tc>
          <w:tcPr>
            <w:tcW w:w="753" w:type="dxa"/>
            <w:tcBorders>
              <w:top w:val="nil"/>
              <w:left w:val="nil"/>
              <w:bottom w:val="single" w:sz="8" w:space="0" w:color="A6A6A6"/>
              <w:right w:val="single" w:sz="8" w:space="0" w:color="A6A6A6"/>
            </w:tcBorders>
            <w:shd w:val="clear" w:color="000000" w:fill="DFF2D0"/>
            <w:noWrap/>
            <w:vAlign w:val="center"/>
            <w:hideMark/>
          </w:tcPr>
          <w:p w14:paraId="478C7A5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21</w:t>
            </w:r>
          </w:p>
        </w:tc>
        <w:tc>
          <w:tcPr>
            <w:tcW w:w="1214" w:type="dxa"/>
            <w:tcBorders>
              <w:top w:val="nil"/>
              <w:left w:val="nil"/>
              <w:bottom w:val="single" w:sz="8" w:space="0" w:color="A6A6A6"/>
              <w:right w:val="single" w:sz="8" w:space="0" w:color="A6A6A6"/>
            </w:tcBorders>
            <w:shd w:val="clear" w:color="000000" w:fill="DFF2D0"/>
            <w:noWrap/>
            <w:vAlign w:val="center"/>
            <w:hideMark/>
          </w:tcPr>
          <w:p w14:paraId="733DE68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145.144 </w:t>
            </w:r>
          </w:p>
        </w:tc>
        <w:tc>
          <w:tcPr>
            <w:tcW w:w="1202" w:type="dxa"/>
            <w:tcBorders>
              <w:top w:val="nil"/>
              <w:left w:val="nil"/>
              <w:bottom w:val="single" w:sz="8" w:space="0" w:color="A6A6A6"/>
              <w:right w:val="double" w:sz="6" w:space="0" w:color="A6A6A6"/>
            </w:tcBorders>
            <w:shd w:val="clear" w:color="000000" w:fill="DFF2D0"/>
            <w:noWrap/>
            <w:vAlign w:val="center"/>
            <w:hideMark/>
          </w:tcPr>
          <w:p w14:paraId="28C2504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145.144 </w:t>
            </w:r>
          </w:p>
        </w:tc>
      </w:tr>
      <w:tr w:rsidR="00335312" w:rsidRPr="00EE3E83" w14:paraId="6968EBF1"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438513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105 /</w:t>
            </w:r>
          </w:p>
        </w:tc>
        <w:tc>
          <w:tcPr>
            <w:tcW w:w="4923" w:type="dxa"/>
            <w:tcBorders>
              <w:top w:val="nil"/>
              <w:left w:val="nil"/>
              <w:bottom w:val="single" w:sz="8" w:space="0" w:color="A6A6A6"/>
              <w:right w:val="single" w:sz="8" w:space="0" w:color="A6A6A6"/>
            </w:tcBorders>
            <w:vAlign w:val="center"/>
            <w:hideMark/>
          </w:tcPr>
          <w:p w14:paraId="7F8F591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COCCONATO - CHIVASSO EX SOSTITUTIVA FS</w:t>
            </w:r>
          </w:p>
        </w:tc>
        <w:tc>
          <w:tcPr>
            <w:tcW w:w="753" w:type="dxa"/>
            <w:tcBorders>
              <w:top w:val="nil"/>
              <w:left w:val="nil"/>
              <w:bottom w:val="single" w:sz="8" w:space="0" w:color="A6A6A6"/>
              <w:right w:val="single" w:sz="8" w:space="0" w:color="A6A6A6"/>
            </w:tcBorders>
            <w:noWrap/>
            <w:vAlign w:val="center"/>
            <w:hideMark/>
          </w:tcPr>
          <w:p w14:paraId="395A434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32</w:t>
            </w:r>
          </w:p>
        </w:tc>
        <w:tc>
          <w:tcPr>
            <w:tcW w:w="1214" w:type="dxa"/>
            <w:tcBorders>
              <w:top w:val="nil"/>
              <w:left w:val="nil"/>
              <w:bottom w:val="single" w:sz="8" w:space="0" w:color="A6A6A6"/>
              <w:right w:val="single" w:sz="8" w:space="0" w:color="A6A6A6"/>
            </w:tcBorders>
            <w:noWrap/>
            <w:vAlign w:val="center"/>
            <w:hideMark/>
          </w:tcPr>
          <w:p w14:paraId="56D3554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169.986 </w:t>
            </w:r>
          </w:p>
        </w:tc>
        <w:tc>
          <w:tcPr>
            <w:tcW w:w="1202" w:type="dxa"/>
            <w:tcBorders>
              <w:top w:val="nil"/>
              <w:left w:val="nil"/>
              <w:bottom w:val="single" w:sz="8" w:space="0" w:color="A6A6A6"/>
              <w:right w:val="double" w:sz="6" w:space="0" w:color="A6A6A6"/>
            </w:tcBorders>
            <w:noWrap/>
            <w:vAlign w:val="center"/>
            <w:hideMark/>
          </w:tcPr>
          <w:p w14:paraId="047A78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169.986 </w:t>
            </w:r>
          </w:p>
        </w:tc>
      </w:tr>
      <w:tr w:rsidR="00335312" w:rsidRPr="00EE3E83" w14:paraId="09647E4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9305A0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107</w:t>
            </w:r>
          </w:p>
        </w:tc>
        <w:tc>
          <w:tcPr>
            <w:tcW w:w="4923" w:type="dxa"/>
            <w:tcBorders>
              <w:top w:val="nil"/>
              <w:left w:val="nil"/>
              <w:bottom w:val="single" w:sz="8" w:space="0" w:color="A6A6A6"/>
              <w:right w:val="single" w:sz="8" w:space="0" w:color="A6A6A6"/>
            </w:tcBorders>
            <w:shd w:val="clear" w:color="000000" w:fill="DFF2D0"/>
            <w:vAlign w:val="center"/>
            <w:hideMark/>
          </w:tcPr>
          <w:p w14:paraId="4EFBE5A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VINCHIO-MOMBERCELLI</w:t>
            </w:r>
          </w:p>
        </w:tc>
        <w:tc>
          <w:tcPr>
            <w:tcW w:w="753" w:type="dxa"/>
            <w:tcBorders>
              <w:top w:val="nil"/>
              <w:left w:val="nil"/>
              <w:bottom w:val="single" w:sz="8" w:space="0" w:color="A6A6A6"/>
              <w:right w:val="single" w:sz="8" w:space="0" w:color="A6A6A6"/>
            </w:tcBorders>
            <w:shd w:val="clear" w:color="000000" w:fill="DFF2D0"/>
            <w:noWrap/>
            <w:vAlign w:val="center"/>
            <w:hideMark/>
          </w:tcPr>
          <w:p w14:paraId="30A67A1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shd w:val="clear" w:color="000000" w:fill="DFF2D0"/>
            <w:noWrap/>
            <w:vAlign w:val="center"/>
            <w:hideMark/>
          </w:tcPr>
          <w:p w14:paraId="7DA7455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3.384 </w:t>
            </w:r>
          </w:p>
        </w:tc>
        <w:tc>
          <w:tcPr>
            <w:tcW w:w="1202" w:type="dxa"/>
            <w:tcBorders>
              <w:top w:val="nil"/>
              <w:left w:val="nil"/>
              <w:bottom w:val="single" w:sz="8" w:space="0" w:color="A6A6A6"/>
              <w:right w:val="double" w:sz="6" w:space="0" w:color="A6A6A6"/>
            </w:tcBorders>
            <w:shd w:val="clear" w:color="000000" w:fill="DFF2D0"/>
            <w:noWrap/>
            <w:vAlign w:val="center"/>
            <w:hideMark/>
          </w:tcPr>
          <w:p w14:paraId="151CB55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3.384 </w:t>
            </w:r>
          </w:p>
        </w:tc>
      </w:tr>
      <w:tr w:rsidR="00335312" w:rsidRPr="00EE3E83" w14:paraId="68D0105A"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F4D36D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154</w:t>
            </w:r>
          </w:p>
        </w:tc>
        <w:tc>
          <w:tcPr>
            <w:tcW w:w="4923" w:type="dxa"/>
            <w:tcBorders>
              <w:top w:val="nil"/>
              <w:left w:val="nil"/>
              <w:bottom w:val="single" w:sz="8" w:space="0" w:color="A6A6A6"/>
              <w:right w:val="single" w:sz="8" w:space="0" w:color="A6A6A6"/>
            </w:tcBorders>
            <w:vAlign w:val="center"/>
            <w:hideMark/>
          </w:tcPr>
          <w:p w14:paraId="003CE5A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VILLANOVA F.S.-VALFENERA DEV.</w:t>
            </w:r>
          </w:p>
        </w:tc>
        <w:tc>
          <w:tcPr>
            <w:tcW w:w="753" w:type="dxa"/>
            <w:tcBorders>
              <w:top w:val="nil"/>
              <w:left w:val="nil"/>
              <w:bottom w:val="single" w:sz="8" w:space="0" w:color="A6A6A6"/>
              <w:right w:val="single" w:sz="8" w:space="0" w:color="A6A6A6"/>
            </w:tcBorders>
            <w:noWrap/>
            <w:vAlign w:val="center"/>
            <w:hideMark/>
          </w:tcPr>
          <w:p w14:paraId="3B4285D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w:t>
            </w:r>
          </w:p>
        </w:tc>
        <w:tc>
          <w:tcPr>
            <w:tcW w:w="1214" w:type="dxa"/>
            <w:tcBorders>
              <w:top w:val="nil"/>
              <w:left w:val="nil"/>
              <w:bottom w:val="single" w:sz="8" w:space="0" w:color="A6A6A6"/>
              <w:right w:val="single" w:sz="8" w:space="0" w:color="A6A6A6"/>
            </w:tcBorders>
            <w:noWrap/>
            <w:vAlign w:val="center"/>
            <w:hideMark/>
          </w:tcPr>
          <w:p w14:paraId="02156AF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47.045 </w:t>
            </w:r>
          </w:p>
        </w:tc>
        <w:tc>
          <w:tcPr>
            <w:tcW w:w="1202" w:type="dxa"/>
            <w:tcBorders>
              <w:top w:val="nil"/>
              <w:left w:val="nil"/>
              <w:bottom w:val="single" w:sz="8" w:space="0" w:color="A6A6A6"/>
              <w:right w:val="double" w:sz="6" w:space="0" w:color="A6A6A6"/>
            </w:tcBorders>
            <w:noWrap/>
            <w:vAlign w:val="center"/>
            <w:hideMark/>
          </w:tcPr>
          <w:p w14:paraId="0AB5502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w:t>
            </w:r>
            <w:r>
              <w:rPr>
                <w:rFonts w:ascii="Calibri" w:eastAsia="Times New Roman" w:hAnsi="Calibri" w:cstheme="minorHAnsi"/>
                <w:color w:val="000000"/>
                <w:sz w:val="18"/>
                <w:szCs w:val="18"/>
              </w:rPr>
              <w:t xml:space="preserve"> </w:t>
            </w:r>
          </w:p>
        </w:tc>
      </w:tr>
      <w:tr w:rsidR="00335312" w:rsidRPr="00EE3E83" w14:paraId="7ECB0F5F"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110420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157</w:t>
            </w:r>
          </w:p>
        </w:tc>
        <w:tc>
          <w:tcPr>
            <w:tcW w:w="4923" w:type="dxa"/>
            <w:tcBorders>
              <w:top w:val="nil"/>
              <w:left w:val="nil"/>
              <w:bottom w:val="single" w:sz="8" w:space="0" w:color="A6A6A6"/>
              <w:right w:val="single" w:sz="8" w:space="0" w:color="A6A6A6"/>
            </w:tcBorders>
            <w:shd w:val="clear" w:color="000000" w:fill="DFF2D0"/>
            <w:vAlign w:val="center"/>
            <w:hideMark/>
          </w:tcPr>
          <w:p w14:paraId="37C1BBF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MONGARDINO-ASTI-CON PROLUNGAMENTO ALLE FRAZIONI</w:t>
            </w:r>
          </w:p>
        </w:tc>
        <w:tc>
          <w:tcPr>
            <w:tcW w:w="753" w:type="dxa"/>
            <w:tcBorders>
              <w:top w:val="nil"/>
              <w:left w:val="nil"/>
              <w:bottom w:val="single" w:sz="8" w:space="0" w:color="A6A6A6"/>
              <w:right w:val="single" w:sz="8" w:space="0" w:color="A6A6A6"/>
            </w:tcBorders>
            <w:shd w:val="clear" w:color="000000" w:fill="DFF2D0"/>
            <w:noWrap/>
            <w:vAlign w:val="center"/>
            <w:hideMark/>
          </w:tcPr>
          <w:p w14:paraId="1E54E02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FF2D0"/>
            <w:noWrap/>
            <w:vAlign w:val="center"/>
            <w:hideMark/>
          </w:tcPr>
          <w:p w14:paraId="39270CF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2.065 </w:t>
            </w:r>
          </w:p>
        </w:tc>
        <w:tc>
          <w:tcPr>
            <w:tcW w:w="1202" w:type="dxa"/>
            <w:tcBorders>
              <w:top w:val="nil"/>
              <w:left w:val="nil"/>
              <w:bottom w:val="single" w:sz="8" w:space="0" w:color="A6A6A6"/>
              <w:right w:val="double" w:sz="6" w:space="0" w:color="A6A6A6"/>
            </w:tcBorders>
            <w:shd w:val="clear" w:color="000000" w:fill="DFF2D0"/>
            <w:noWrap/>
            <w:vAlign w:val="center"/>
            <w:hideMark/>
          </w:tcPr>
          <w:p w14:paraId="2A28EAF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2.065 </w:t>
            </w:r>
          </w:p>
        </w:tc>
      </w:tr>
      <w:tr w:rsidR="00335312" w:rsidRPr="00EE3E83" w14:paraId="1FDA600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F19A3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158</w:t>
            </w:r>
          </w:p>
        </w:tc>
        <w:tc>
          <w:tcPr>
            <w:tcW w:w="4923" w:type="dxa"/>
            <w:tcBorders>
              <w:top w:val="nil"/>
              <w:left w:val="nil"/>
              <w:bottom w:val="single" w:sz="8" w:space="0" w:color="A6A6A6"/>
              <w:right w:val="single" w:sz="8" w:space="0" w:color="A6A6A6"/>
            </w:tcBorders>
            <w:vAlign w:val="center"/>
            <w:hideMark/>
          </w:tcPr>
          <w:p w14:paraId="2596C6C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NIZZA-MOMBARUZZO-INCISA-NIZZA</w:t>
            </w:r>
          </w:p>
        </w:tc>
        <w:tc>
          <w:tcPr>
            <w:tcW w:w="753" w:type="dxa"/>
            <w:tcBorders>
              <w:top w:val="nil"/>
              <w:left w:val="nil"/>
              <w:bottom w:val="single" w:sz="8" w:space="0" w:color="A6A6A6"/>
              <w:right w:val="single" w:sz="8" w:space="0" w:color="A6A6A6"/>
            </w:tcBorders>
            <w:noWrap/>
            <w:vAlign w:val="center"/>
            <w:hideMark/>
          </w:tcPr>
          <w:p w14:paraId="24538AD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1214" w:type="dxa"/>
            <w:tcBorders>
              <w:top w:val="nil"/>
              <w:left w:val="nil"/>
              <w:bottom w:val="single" w:sz="8" w:space="0" w:color="A6A6A6"/>
              <w:right w:val="single" w:sz="8" w:space="0" w:color="A6A6A6"/>
            </w:tcBorders>
            <w:noWrap/>
            <w:vAlign w:val="center"/>
            <w:hideMark/>
          </w:tcPr>
          <w:p w14:paraId="3401505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11.696 </w:t>
            </w:r>
          </w:p>
        </w:tc>
        <w:tc>
          <w:tcPr>
            <w:tcW w:w="1202" w:type="dxa"/>
            <w:tcBorders>
              <w:top w:val="nil"/>
              <w:left w:val="nil"/>
              <w:bottom w:val="single" w:sz="8" w:space="0" w:color="A6A6A6"/>
              <w:right w:val="double" w:sz="6" w:space="0" w:color="A6A6A6"/>
            </w:tcBorders>
            <w:noWrap/>
            <w:vAlign w:val="center"/>
            <w:hideMark/>
          </w:tcPr>
          <w:p w14:paraId="3172E57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11.696 </w:t>
            </w:r>
          </w:p>
        </w:tc>
      </w:tr>
      <w:tr w:rsidR="00335312" w:rsidRPr="00EE3E83" w14:paraId="3DF491D1"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7A3875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4923" w:type="dxa"/>
            <w:tcBorders>
              <w:top w:val="nil"/>
              <w:left w:val="nil"/>
              <w:bottom w:val="single" w:sz="8" w:space="0" w:color="A6A6A6"/>
              <w:right w:val="single" w:sz="8" w:space="0" w:color="A6A6A6"/>
            </w:tcBorders>
            <w:shd w:val="clear" w:color="000000" w:fill="DFF2D0"/>
            <w:vAlign w:val="center"/>
            <w:hideMark/>
          </w:tcPr>
          <w:p w14:paraId="778B424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CASALE M.TO-VALLECERRINA-TORINO CON DEV.NI</w:t>
            </w:r>
          </w:p>
        </w:tc>
        <w:tc>
          <w:tcPr>
            <w:tcW w:w="753" w:type="dxa"/>
            <w:tcBorders>
              <w:top w:val="nil"/>
              <w:left w:val="nil"/>
              <w:bottom w:val="single" w:sz="8" w:space="0" w:color="A6A6A6"/>
              <w:right w:val="single" w:sz="8" w:space="0" w:color="A6A6A6"/>
            </w:tcBorders>
            <w:shd w:val="clear" w:color="000000" w:fill="DFF2D0"/>
            <w:noWrap/>
            <w:vAlign w:val="center"/>
            <w:hideMark/>
          </w:tcPr>
          <w:p w14:paraId="3479C64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33</w:t>
            </w:r>
          </w:p>
        </w:tc>
        <w:tc>
          <w:tcPr>
            <w:tcW w:w="1214" w:type="dxa"/>
            <w:tcBorders>
              <w:top w:val="nil"/>
              <w:left w:val="nil"/>
              <w:bottom w:val="single" w:sz="8" w:space="0" w:color="A6A6A6"/>
              <w:right w:val="single" w:sz="8" w:space="0" w:color="A6A6A6"/>
            </w:tcBorders>
            <w:shd w:val="clear" w:color="000000" w:fill="DFF2D0"/>
            <w:noWrap/>
            <w:vAlign w:val="center"/>
            <w:hideMark/>
          </w:tcPr>
          <w:p w14:paraId="3EB865A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258.708 </w:t>
            </w:r>
          </w:p>
        </w:tc>
        <w:tc>
          <w:tcPr>
            <w:tcW w:w="1202" w:type="dxa"/>
            <w:tcBorders>
              <w:top w:val="nil"/>
              <w:left w:val="nil"/>
              <w:bottom w:val="single" w:sz="8" w:space="0" w:color="A6A6A6"/>
              <w:right w:val="double" w:sz="6" w:space="0" w:color="A6A6A6"/>
            </w:tcBorders>
            <w:shd w:val="clear" w:color="000000" w:fill="DFF2D0"/>
            <w:noWrap/>
            <w:vAlign w:val="center"/>
            <w:hideMark/>
          </w:tcPr>
          <w:p w14:paraId="432001D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258.708 </w:t>
            </w:r>
          </w:p>
        </w:tc>
      </w:tr>
      <w:tr w:rsidR="00335312" w:rsidRPr="00EE3E83" w14:paraId="43AE294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A8AD58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76</w:t>
            </w:r>
          </w:p>
        </w:tc>
        <w:tc>
          <w:tcPr>
            <w:tcW w:w="4923" w:type="dxa"/>
            <w:tcBorders>
              <w:top w:val="nil"/>
              <w:left w:val="nil"/>
              <w:bottom w:val="single" w:sz="8" w:space="0" w:color="A6A6A6"/>
              <w:right w:val="single" w:sz="8" w:space="0" w:color="A6A6A6"/>
            </w:tcBorders>
            <w:vAlign w:val="center"/>
            <w:hideMark/>
          </w:tcPr>
          <w:p w14:paraId="6B2F0E6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CABELLA L.-BORGHETTO B.-ARQUATA S.-NOVI L. CON DIR.NI</w:t>
            </w:r>
          </w:p>
        </w:tc>
        <w:tc>
          <w:tcPr>
            <w:tcW w:w="753" w:type="dxa"/>
            <w:tcBorders>
              <w:top w:val="nil"/>
              <w:left w:val="nil"/>
              <w:bottom w:val="single" w:sz="8" w:space="0" w:color="A6A6A6"/>
              <w:right w:val="single" w:sz="8" w:space="0" w:color="A6A6A6"/>
            </w:tcBorders>
            <w:noWrap/>
            <w:vAlign w:val="center"/>
            <w:hideMark/>
          </w:tcPr>
          <w:p w14:paraId="0749A97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29</w:t>
            </w:r>
          </w:p>
        </w:tc>
        <w:tc>
          <w:tcPr>
            <w:tcW w:w="1214" w:type="dxa"/>
            <w:tcBorders>
              <w:top w:val="nil"/>
              <w:left w:val="nil"/>
              <w:bottom w:val="single" w:sz="8" w:space="0" w:color="A6A6A6"/>
              <w:right w:val="single" w:sz="8" w:space="0" w:color="A6A6A6"/>
            </w:tcBorders>
            <w:noWrap/>
            <w:vAlign w:val="center"/>
            <w:hideMark/>
          </w:tcPr>
          <w:p w14:paraId="2FF71ED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245.042 </w:t>
            </w:r>
          </w:p>
        </w:tc>
        <w:tc>
          <w:tcPr>
            <w:tcW w:w="1202" w:type="dxa"/>
            <w:tcBorders>
              <w:top w:val="nil"/>
              <w:left w:val="nil"/>
              <w:bottom w:val="single" w:sz="8" w:space="0" w:color="A6A6A6"/>
              <w:right w:val="double" w:sz="6" w:space="0" w:color="A6A6A6"/>
            </w:tcBorders>
            <w:noWrap/>
            <w:vAlign w:val="center"/>
            <w:hideMark/>
          </w:tcPr>
          <w:p w14:paraId="3667B59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232.097 </w:t>
            </w:r>
          </w:p>
        </w:tc>
      </w:tr>
      <w:tr w:rsidR="00335312" w:rsidRPr="00EE3E83" w14:paraId="6DE0D6A1"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B71CD2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95</w:t>
            </w:r>
          </w:p>
        </w:tc>
        <w:tc>
          <w:tcPr>
            <w:tcW w:w="4923" w:type="dxa"/>
            <w:tcBorders>
              <w:top w:val="nil"/>
              <w:left w:val="nil"/>
              <w:bottom w:val="single" w:sz="8" w:space="0" w:color="A6A6A6"/>
              <w:right w:val="single" w:sz="8" w:space="0" w:color="A6A6A6"/>
            </w:tcBorders>
            <w:shd w:val="clear" w:color="000000" w:fill="DFF2D0"/>
            <w:vAlign w:val="center"/>
            <w:hideMark/>
          </w:tcPr>
          <w:p w14:paraId="27D8148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VALENZA-BOZZOLE-TICINETO-FRASSINETO-CASALE CON DEV.NI</w:t>
            </w:r>
          </w:p>
        </w:tc>
        <w:tc>
          <w:tcPr>
            <w:tcW w:w="753" w:type="dxa"/>
            <w:tcBorders>
              <w:top w:val="nil"/>
              <w:left w:val="nil"/>
              <w:bottom w:val="single" w:sz="8" w:space="0" w:color="A6A6A6"/>
              <w:right w:val="single" w:sz="8" w:space="0" w:color="A6A6A6"/>
            </w:tcBorders>
            <w:shd w:val="clear" w:color="000000" w:fill="DFF2D0"/>
            <w:noWrap/>
            <w:vAlign w:val="center"/>
            <w:hideMark/>
          </w:tcPr>
          <w:p w14:paraId="279864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27</w:t>
            </w:r>
          </w:p>
        </w:tc>
        <w:tc>
          <w:tcPr>
            <w:tcW w:w="1214" w:type="dxa"/>
            <w:tcBorders>
              <w:top w:val="nil"/>
              <w:left w:val="nil"/>
              <w:bottom w:val="single" w:sz="8" w:space="0" w:color="A6A6A6"/>
              <w:right w:val="single" w:sz="8" w:space="0" w:color="A6A6A6"/>
            </w:tcBorders>
            <w:shd w:val="clear" w:color="000000" w:fill="DFF2D0"/>
            <w:noWrap/>
            <w:vAlign w:val="center"/>
            <w:hideMark/>
          </w:tcPr>
          <w:p w14:paraId="1C48B43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144.304 </w:t>
            </w:r>
          </w:p>
        </w:tc>
        <w:tc>
          <w:tcPr>
            <w:tcW w:w="1202" w:type="dxa"/>
            <w:tcBorders>
              <w:top w:val="nil"/>
              <w:left w:val="nil"/>
              <w:bottom w:val="single" w:sz="8" w:space="0" w:color="A6A6A6"/>
              <w:right w:val="double" w:sz="6" w:space="0" w:color="A6A6A6"/>
            </w:tcBorders>
            <w:shd w:val="clear" w:color="000000" w:fill="DFF2D0"/>
            <w:noWrap/>
            <w:vAlign w:val="center"/>
            <w:hideMark/>
          </w:tcPr>
          <w:p w14:paraId="2C37A5D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144.304 </w:t>
            </w:r>
          </w:p>
        </w:tc>
      </w:tr>
      <w:tr w:rsidR="00335312" w:rsidRPr="00EE3E83" w14:paraId="7965358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596D5E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123</w:t>
            </w:r>
          </w:p>
        </w:tc>
        <w:tc>
          <w:tcPr>
            <w:tcW w:w="4923" w:type="dxa"/>
            <w:tcBorders>
              <w:top w:val="nil"/>
              <w:left w:val="nil"/>
              <w:bottom w:val="single" w:sz="8" w:space="0" w:color="A6A6A6"/>
              <w:right w:val="single" w:sz="8" w:space="0" w:color="A6A6A6"/>
            </w:tcBorders>
            <w:vAlign w:val="center"/>
            <w:hideMark/>
          </w:tcPr>
          <w:p w14:paraId="6699AD4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FS-ROCCAGRIMALDA-PIRIA-SAN GIACOMO-OVADA FS</w:t>
            </w:r>
          </w:p>
        </w:tc>
        <w:tc>
          <w:tcPr>
            <w:tcW w:w="753" w:type="dxa"/>
            <w:tcBorders>
              <w:top w:val="nil"/>
              <w:left w:val="nil"/>
              <w:bottom w:val="single" w:sz="8" w:space="0" w:color="A6A6A6"/>
              <w:right w:val="single" w:sz="8" w:space="0" w:color="A6A6A6"/>
            </w:tcBorders>
            <w:noWrap/>
            <w:vAlign w:val="center"/>
            <w:hideMark/>
          </w:tcPr>
          <w:p w14:paraId="30986D6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11</w:t>
            </w:r>
          </w:p>
        </w:tc>
        <w:tc>
          <w:tcPr>
            <w:tcW w:w="1214" w:type="dxa"/>
            <w:tcBorders>
              <w:top w:val="nil"/>
              <w:left w:val="nil"/>
              <w:bottom w:val="single" w:sz="8" w:space="0" w:color="A6A6A6"/>
              <w:right w:val="single" w:sz="8" w:space="0" w:color="A6A6A6"/>
            </w:tcBorders>
            <w:noWrap/>
            <w:vAlign w:val="center"/>
            <w:hideMark/>
          </w:tcPr>
          <w:p w14:paraId="62A9091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24.387 </w:t>
            </w:r>
          </w:p>
        </w:tc>
        <w:tc>
          <w:tcPr>
            <w:tcW w:w="1202" w:type="dxa"/>
            <w:tcBorders>
              <w:top w:val="nil"/>
              <w:left w:val="nil"/>
              <w:bottom w:val="single" w:sz="8" w:space="0" w:color="A6A6A6"/>
              <w:right w:val="double" w:sz="6" w:space="0" w:color="A6A6A6"/>
            </w:tcBorders>
            <w:noWrap/>
            <w:vAlign w:val="center"/>
            <w:hideMark/>
          </w:tcPr>
          <w:p w14:paraId="09CF867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24.387 </w:t>
            </w:r>
          </w:p>
        </w:tc>
      </w:tr>
      <w:tr w:rsidR="00335312" w:rsidRPr="00EE3E83" w14:paraId="3A5EEC6F" w14:textId="77777777" w:rsidTr="002A21C0">
        <w:trPr>
          <w:trHeight w:val="492"/>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AC44B4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lastRenderedPageBreak/>
              <w:t>124</w:t>
            </w:r>
          </w:p>
        </w:tc>
        <w:tc>
          <w:tcPr>
            <w:tcW w:w="4923" w:type="dxa"/>
            <w:tcBorders>
              <w:top w:val="nil"/>
              <w:left w:val="nil"/>
              <w:bottom w:val="single" w:sz="8" w:space="0" w:color="A6A6A6"/>
              <w:right w:val="single" w:sz="8" w:space="0" w:color="A6A6A6"/>
            </w:tcBorders>
            <w:shd w:val="clear" w:color="000000" w:fill="DFF2D0"/>
            <w:vAlign w:val="center"/>
            <w:hideMark/>
          </w:tcPr>
          <w:p w14:paraId="1788896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T.-CREMOLINO-OVADA P.ZZA XX SETTEMBRE CON DEV. NE E DIR.NE</w:t>
            </w:r>
          </w:p>
        </w:tc>
        <w:tc>
          <w:tcPr>
            <w:tcW w:w="753" w:type="dxa"/>
            <w:tcBorders>
              <w:top w:val="nil"/>
              <w:left w:val="nil"/>
              <w:bottom w:val="single" w:sz="8" w:space="0" w:color="A6A6A6"/>
              <w:right w:val="single" w:sz="8" w:space="0" w:color="A6A6A6"/>
            </w:tcBorders>
            <w:shd w:val="clear" w:color="000000" w:fill="DFF2D0"/>
            <w:noWrap/>
            <w:vAlign w:val="center"/>
            <w:hideMark/>
          </w:tcPr>
          <w:p w14:paraId="6C0B3CF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27</w:t>
            </w:r>
          </w:p>
        </w:tc>
        <w:tc>
          <w:tcPr>
            <w:tcW w:w="1214" w:type="dxa"/>
            <w:tcBorders>
              <w:top w:val="nil"/>
              <w:left w:val="nil"/>
              <w:bottom w:val="single" w:sz="8" w:space="0" w:color="A6A6A6"/>
              <w:right w:val="single" w:sz="8" w:space="0" w:color="A6A6A6"/>
            </w:tcBorders>
            <w:shd w:val="clear" w:color="000000" w:fill="DFF2D0"/>
            <w:noWrap/>
            <w:vAlign w:val="center"/>
            <w:hideMark/>
          </w:tcPr>
          <w:p w14:paraId="062F54D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50.308 </w:t>
            </w:r>
          </w:p>
        </w:tc>
        <w:tc>
          <w:tcPr>
            <w:tcW w:w="1202" w:type="dxa"/>
            <w:tcBorders>
              <w:top w:val="nil"/>
              <w:left w:val="nil"/>
              <w:bottom w:val="single" w:sz="8" w:space="0" w:color="A6A6A6"/>
              <w:right w:val="double" w:sz="6" w:space="0" w:color="A6A6A6"/>
            </w:tcBorders>
            <w:shd w:val="clear" w:color="000000" w:fill="DFF2D0"/>
            <w:noWrap/>
            <w:vAlign w:val="center"/>
            <w:hideMark/>
          </w:tcPr>
          <w:p w14:paraId="60D7302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50.308 </w:t>
            </w:r>
          </w:p>
        </w:tc>
      </w:tr>
      <w:tr w:rsidR="00335312" w:rsidRPr="00EE3E83" w14:paraId="2AD44C1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6A134D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125</w:t>
            </w:r>
          </w:p>
        </w:tc>
        <w:tc>
          <w:tcPr>
            <w:tcW w:w="4923" w:type="dxa"/>
            <w:tcBorders>
              <w:top w:val="nil"/>
              <w:left w:val="nil"/>
              <w:bottom w:val="single" w:sz="8" w:space="0" w:color="A6A6A6"/>
              <w:right w:val="single" w:sz="8" w:space="0" w:color="A6A6A6"/>
            </w:tcBorders>
            <w:vAlign w:val="center"/>
            <w:hideMark/>
          </w:tcPr>
          <w:p w14:paraId="5175FA9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T.-MONTALDO B.-OVADA FS CON CON DEV.NI E DIR.NI</w:t>
            </w:r>
          </w:p>
        </w:tc>
        <w:tc>
          <w:tcPr>
            <w:tcW w:w="753" w:type="dxa"/>
            <w:tcBorders>
              <w:top w:val="nil"/>
              <w:left w:val="nil"/>
              <w:bottom w:val="single" w:sz="8" w:space="0" w:color="A6A6A6"/>
              <w:right w:val="single" w:sz="8" w:space="0" w:color="A6A6A6"/>
            </w:tcBorders>
            <w:noWrap/>
            <w:vAlign w:val="center"/>
            <w:hideMark/>
          </w:tcPr>
          <w:p w14:paraId="361C74A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26</w:t>
            </w:r>
          </w:p>
        </w:tc>
        <w:tc>
          <w:tcPr>
            <w:tcW w:w="1214" w:type="dxa"/>
            <w:tcBorders>
              <w:top w:val="nil"/>
              <w:left w:val="nil"/>
              <w:bottom w:val="single" w:sz="8" w:space="0" w:color="A6A6A6"/>
              <w:right w:val="single" w:sz="8" w:space="0" w:color="A6A6A6"/>
            </w:tcBorders>
            <w:noWrap/>
            <w:vAlign w:val="center"/>
            <w:hideMark/>
          </w:tcPr>
          <w:p w14:paraId="7CB45B7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43.091 </w:t>
            </w:r>
          </w:p>
        </w:tc>
        <w:tc>
          <w:tcPr>
            <w:tcW w:w="1202" w:type="dxa"/>
            <w:tcBorders>
              <w:top w:val="nil"/>
              <w:left w:val="nil"/>
              <w:bottom w:val="single" w:sz="8" w:space="0" w:color="A6A6A6"/>
              <w:right w:val="double" w:sz="6" w:space="0" w:color="A6A6A6"/>
            </w:tcBorders>
            <w:noWrap/>
            <w:vAlign w:val="center"/>
            <w:hideMark/>
          </w:tcPr>
          <w:p w14:paraId="2E270AC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43.091 </w:t>
            </w:r>
          </w:p>
        </w:tc>
      </w:tr>
      <w:tr w:rsidR="00335312" w:rsidRPr="00EE3E83" w14:paraId="06A7157D"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D777D6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126</w:t>
            </w:r>
          </w:p>
        </w:tc>
        <w:tc>
          <w:tcPr>
            <w:tcW w:w="4923" w:type="dxa"/>
            <w:tcBorders>
              <w:top w:val="nil"/>
              <w:left w:val="nil"/>
              <w:bottom w:val="single" w:sz="8" w:space="0" w:color="A6A6A6"/>
              <w:right w:val="single" w:sz="8" w:space="0" w:color="A6A6A6"/>
            </w:tcBorders>
            <w:shd w:val="clear" w:color="000000" w:fill="DFF2D0"/>
            <w:vAlign w:val="center"/>
            <w:hideMark/>
          </w:tcPr>
          <w:p w14:paraId="5C13702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MONTALDEO-CASTELLETTO-OVADA FS D</w:t>
            </w:r>
          </w:p>
        </w:tc>
        <w:tc>
          <w:tcPr>
            <w:tcW w:w="753" w:type="dxa"/>
            <w:tcBorders>
              <w:top w:val="nil"/>
              <w:left w:val="nil"/>
              <w:bottom w:val="single" w:sz="8" w:space="0" w:color="A6A6A6"/>
              <w:right w:val="single" w:sz="8" w:space="0" w:color="A6A6A6"/>
            </w:tcBorders>
            <w:shd w:val="clear" w:color="000000" w:fill="DFF2D0"/>
            <w:noWrap/>
            <w:vAlign w:val="center"/>
            <w:hideMark/>
          </w:tcPr>
          <w:p w14:paraId="70C157E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24</w:t>
            </w:r>
          </w:p>
        </w:tc>
        <w:tc>
          <w:tcPr>
            <w:tcW w:w="1214" w:type="dxa"/>
            <w:tcBorders>
              <w:top w:val="nil"/>
              <w:left w:val="nil"/>
              <w:bottom w:val="single" w:sz="8" w:space="0" w:color="A6A6A6"/>
              <w:right w:val="single" w:sz="8" w:space="0" w:color="A6A6A6"/>
            </w:tcBorders>
            <w:shd w:val="clear" w:color="000000" w:fill="DFF2D0"/>
            <w:noWrap/>
            <w:vAlign w:val="center"/>
            <w:hideMark/>
          </w:tcPr>
          <w:p w14:paraId="445763A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59.127 </w:t>
            </w:r>
          </w:p>
        </w:tc>
        <w:tc>
          <w:tcPr>
            <w:tcW w:w="1202" w:type="dxa"/>
            <w:tcBorders>
              <w:top w:val="nil"/>
              <w:left w:val="nil"/>
              <w:bottom w:val="single" w:sz="8" w:space="0" w:color="A6A6A6"/>
              <w:right w:val="double" w:sz="6" w:space="0" w:color="A6A6A6"/>
            </w:tcBorders>
            <w:shd w:val="clear" w:color="000000" w:fill="DFF2D0"/>
            <w:noWrap/>
            <w:vAlign w:val="center"/>
            <w:hideMark/>
          </w:tcPr>
          <w:p w14:paraId="679628C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59.127 </w:t>
            </w:r>
          </w:p>
        </w:tc>
      </w:tr>
      <w:tr w:rsidR="00335312" w:rsidRPr="00EE3E83" w14:paraId="3605C06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2F022E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167</w:t>
            </w:r>
          </w:p>
        </w:tc>
        <w:tc>
          <w:tcPr>
            <w:tcW w:w="4923" w:type="dxa"/>
            <w:tcBorders>
              <w:top w:val="nil"/>
              <w:left w:val="nil"/>
              <w:bottom w:val="single" w:sz="8" w:space="0" w:color="A6A6A6"/>
              <w:right w:val="single" w:sz="8" w:space="0" w:color="A6A6A6"/>
            </w:tcBorders>
            <w:vAlign w:val="center"/>
            <w:hideMark/>
          </w:tcPr>
          <w:p w14:paraId="6178684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OVADA-ROSSIGLIONE-CAMPO LIGURE-MASONE</w:t>
            </w:r>
          </w:p>
        </w:tc>
        <w:tc>
          <w:tcPr>
            <w:tcW w:w="753" w:type="dxa"/>
            <w:tcBorders>
              <w:top w:val="nil"/>
              <w:left w:val="nil"/>
              <w:bottom w:val="single" w:sz="8" w:space="0" w:color="A6A6A6"/>
              <w:right w:val="single" w:sz="8" w:space="0" w:color="A6A6A6"/>
            </w:tcBorders>
            <w:noWrap/>
            <w:vAlign w:val="center"/>
            <w:hideMark/>
          </w:tcPr>
          <w:p w14:paraId="6345AD5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22</w:t>
            </w:r>
          </w:p>
        </w:tc>
        <w:tc>
          <w:tcPr>
            <w:tcW w:w="1214" w:type="dxa"/>
            <w:tcBorders>
              <w:top w:val="nil"/>
              <w:left w:val="nil"/>
              <w:bottom w:val="single" w:sz="8" w:space="0" w:color="A6A6A6"/>
              <w:right w:val="single" w:sz="8" w:space="0" w:color="A6A6A6"/>
            </w:tcBorders>
            <w:noWrap/>
            <w:vAlign w:val="center"/>
            <w:hideMark/>
          </w:tcPr>
          <w:p w14:paraId="0317768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39.889 </w:t>
            </w:r>
          </w:p>
        </w:tc>
        <w:tc>
          <w:tcPr>
            <w:tcW w:w="1202" w:type="dxa"/>
            <w:tcBorders>
              <w:top w:val="nil"/>
              <w:left w:val="nil"/>
              <w:bottom w:val="single" w:sz="8" w:space="0" w:color="A6A6A6"/>
              <w:right w:val="double" w:sz="6" w:space="0" w:color="A6A6A6"/>
            </w:tcBorders>
            <w:noWrap/>
            <w:vAlign w:val="center"/>
            <w:hideMark/>
          </w:tcPr>
          <w:p w14:paraId="362B4BB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39.889 </w:t>
            </w:r>
          </w:p>
        </w:tc>
      </w:tr>
      <w:tr w:rsidR="00335312" w:rsidRPr="00EE3E83" w14:paraId="40AB3306"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5B2C3A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203</w:t>
            </w:r>
          </w:p>
        </w:tc>
        <w:tc>
          <w:tcPr>
            <w:tcW w:w="4923" w:type="dxa"/>
            <w:tcBorders>
              <w:top w:val="nil"/>
              <w:left w:val="nil"/>
              <w:bottom w:val="single" w:sz="8" w:space="0" w:color="A6A6A6"/>
              <w:right w:val="single" w:sz="8" w:space="0" w:color="A6A6A6"/>
            </w:tcBorders>
            <w:shd w:val="clear" w:color="000000" w:fill="DFF2D0"/>
            <w:vAlign w:val="center"/>
            <w:hideMark/>
          </w:tcPr>
          <w:p w14:paraId="060892C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MURISENGO-POZZO-MONCALVO</w:t>
            </w:r>
          </w:p>
        </w:tc>
        <w:tc>
          <w:tcPr>
            <w:tcW w:w="753" w:type="dxa"/>
            <w:tcBorders>
              <w:top w:val="nil"/>
              <w:left w:val="nil"/>
              <w:bottom w:val="single" w:sz="8" w:space="0" w:color="A6A6A6"/>
              <w:right w:val="single" w:sz="8" w:space="0" w:color="A6A6A6"/>
            </w:tcBorders>
            <w:shd w:val="clear" w:color="000000" w:fill="DFF2D0"/>
            <w:noWrap/>
            <w:vAlign w:val="center"/>
            <w:hideMark/>
          </w:tcPr>
          <w:p w14:paraId="11F4474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FF2D0"/>
            <w:noWrap/>
            <w:vAlign w:val="center"/>
            <w:hideMark/>
          </w:tcPr>
          <w:p w14:paraId="635EED8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1.872 </w:t>
            </w:r>
          </w:p>
        </w:tc>
        <w:tc>
          <w:tcPr>
            <w:tcW w:w="1202" w:type="dxa"/>
            <w:tcBorders>
              <w:top w:val="nil"/>
              <w:left w:val="nil"/>
              <w:bottom w:val="single" w:sz="8" w:space="0" w:color="A6A6A6"/>
              <w:right w:val="double" w:sz="6" w:space="0" w:color="A6A6A6"/>
            </w:tcBorders>
            <w:shd w:val="clear" w:color="000000" w:fill="DFF2D0"/>
            <w:noWrap/>
            <w:vAlign w:val="center"/>
            <w:hideMark/>
          </w:tcPr>
          <w:p w14:paraId="4BCADDC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1.872 </w:t>
            </w:r>
          </w:p>
        </w:tc>
      </w:tr>
      <w:tr w:rsidR="00335312" w:rsidRPr="00EE3E83" w14:paraId="35BF94A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2D1403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205</w:t>
            </w:r>
          </w:p>
        </w:tc>
        <w:tc>
          <w:tcPr>
            <w:tcW w:w="4923" w:type="dxa"/>
            <w:tcBorders>
              <w:top w:val="nil"/>
              <w:left w:val="nil"/>
              <w:bottom w:val="single" w:sz="8" w:space="0" w:color="A6A6A6"/>
              <w:right w:val="single" w:sz="8" w:space="0" w:color="A6A6A6"/>
            </w:tcBorders>
            <w:vAlign w:val="center"/>
            <w:hideMark/>
          </w:tcPr>
          <w:p w14:paraId="3098C84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CERRINA VALLE-CANTAVENNA-GABIANO-CRESCENTINO</w:t>
            </w:r>
          </w:p>
        </w:tc>
        <w:tc>
          <w:tcPr>
            <w:tcW w:w="753" w:type="dxa"/>
            <w:tcBorders>
              <w:top w:val="nil"/>
              <w:left w:val="nil"/>
              <w:bottom w:val="single" w:sz="8" w:space="0" w:color="A6A6A6"/>
              <w:right w:val="single" w:sz="8" w:space="0" w:color="A6A6A6"/>
            </w:tcBorders>
            <w:noWrap/>
            <w:vAlign w:val="center"/>
            <w:hideMark/>
          </w:tcPr>
          <w:p w14:paraId="70475CC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7CBE1B3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3.182 </w:t>
            </w:r>
          </w:p>
        </w:tc>
        <w:tc>
          <w:tcPr>
            <w:tcW w:w="1202" w:type="dxa"/>
            <w:tcBorders>
              <w:top w:val="nil"/>
              <w:left w:val="nil"/>
              <w:bottom w:val="single" w:sz="8" w:space="0" w:color="A6A6A6"/>
              <w:right w:val="double" w:sz="6" w:space="0" w:color="A6A6A6"/>
            </w:tcBorders>
            <w:noWrap/>
            <w:vAlign w:val="center"/>
            <w:hideMark/>
          </w:tcPr>
          <w:p w14:paraId="2428368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3.182 </w:t>
            </w:r>
          </w:p>
        </w:tc>
      </w:tr>
      <w:tr w:rsidR="00335312" w:rsidRPr="00EE3E83" w14:paraId="6AC2D24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1B6C7C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222</w:t>
            </w:r>
          </w:p>
        </w:tc>
        <w:tc>
          <w:tcPr>
            <w:tcW w:w="4923" w:type="dxa"/>
            <w:tcBorders>
              <w:top w:val="nil"/>
              <w:left w:val="nil"/>
              <w:bottom w:val="single" w:sz="8" w:space="0" w:color="A6A6A6"/>
              <w:right w:val="single" w:sz="8" w:space="0" w:color="A6A6A6"/>
            </w:tcBorders>
            <w:shd w:val="clear" w:color="000000" w:fill="DFF2D0"/>
            <w:vAlign w:val="center"/>
            <w:hideMark/>
          </w:tcPr>
          <w:p w14:paraId="2C1BC3F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MONTALDEO-MORNESE-TAGLIOLO-OVADA FS. CON DEV.NI E DIR.</w:t>
            </w:r>
          </w:p>
        </w:tc>
        <w:tc>
          <w:tcPr>
            <w:tcW w:w="753" w:type="dxa"/>
            <w:tcBorders>
              <w:top w:val="nil"/>
              <w:left w:val="nil"/>
              <w:bottom w:val="single" w:sz="8" w:space="0" w:color="A6A6A6"/>
              <w:right w:val="single" w:sz="8" w:space="0" w:color="A6A6A6"/>
            </w:tcBorders>
            <w:shd w:val="clear" w:color="000000" w:fill="DFF2D0"/>
            <w:noWrap/>
            <w:vAlign w:val="center"/>
            <w:hideMark/>
          </w:tcPr>
          <w:p w14:paraId="403A837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40</w:t>
            </w:r>
          </w:p>
        </w:tc>
        <w:tc>
          <w:tcPr>
            <w:tcW w:w="1214" w:type="dxa"/>
            <w:tcBorders>
              <w:top w:val="nil"/>
              <w:left w:val="nil"/>
              <w:bottom w:val="single" w:sz="8" w:space="0" w:color="A6A6A6"/>
              <w:right w:val="single" w:sz="8" w:space="0" w:color="A6A6A6"/>
            </w:tcBorders>
            <w:shd w:val="clear" w:color="000000" w:fill="DFF2D0"/>
            <w:noWrap/>
            <w:vAlign w:val="center"/>
            <w:hideMark/>
          </w:tcPr>
          <w:p w14:paraId="1FD191A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80.569 </w:t>
            </w:r>
          </w:p>
        </w:tc>
        <w:tc>
          <w:tcPr>
            <w:tcW w:w="1202" w:type="dxa"/>
            <w:tcBorders>
              <w:top w:val="nil"/>
              <w:left w:val="nil"/>
              <w:bottom w:val="single" w:sz="8" w:space="0" w:color="A6A6A6"/>
              <w:right w:val="double" w:sz="6" w:space="0" w:color="A6A6A6"/>
            </w:tcBorders>
            <w:shd w:val="clear" w:color="000000" w:fill="DFF2D0"/>
            <w:noWrap/>
            <w:vAlign w:val="center"/>
            <w:hideMark/>
          </w:tcPr>
          <w:p w14:paraId="45CD29A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80.569 </w:t>
            </w:r>
          </w:p>
        </w:tc>
      </w:tr>
      <w:tr w:rsidR="00335312" w:rsidRPr="00EE3E83" w14:paraId="3CDB5C7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F0A41B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223</w:t>
            </w:r>
          </w:p>
        </w:tc>
        <w:tc>
          <w:tcPr>
            <w:tcW w:w="4923" w:type="dxa"/>
            <w:tcBorders>
              <w:top w:val="nil"/>
              <w:left w:val="nil"/>
              <w:bottom w:val="single" w:sz="8" w:space="0" w:color="A6A6A6"/>
              <w:right w:val="single" w:sz="8" w:space="0" w:color="A6A6A6"/>
            </w:tcBorders>
            <w:vAlign w:val="center"/>
            <w:hideMark/>
          </w:tcPr>
          <w:p w14:paraId="5786F0D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BANDITA-MOLARE-OVADA FS CON DIR.NI</w:t>
            </w:r>
          </w:p>
        </w:tc>
        <w:tc>
          <w:tcPr>
            <w:tcW w:w="753" w:type="dxa"/>
            <w:tcBorders>
              <w:top w:val="nil"/>
              <w:left w:val="nil"/>
              <w:bottom w:val="single" w:sz="8" w:space="0" w:color="A6A6A6"/>
              <w:right w:val="single" w:sz="8" w:space="0" w:color="A6A6A6"/>
            </w:tcBorders>
            <w:noWrap/>
            <w:vAlign w:val="center"/>
            <w:hideMark/>
          </w:tcPr>
          <w:p w14:paraId="6ED2B4F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1214" w:type="dxa"/>
            <w:tcBorders>
              <w:top w:val="nil"/>
              <w:left w:val="nil"/>
              <w:bottom w:val="single" w:sz="8" w:space="0" w:color="A6A6A6"/>
              <w:right w:val="single" w:sz="8" w:space="0" w:color="A6A6A6"/>
            </w:tcBorders>
            <w:noWrap/>
            <w:vAlign w:val="center"/>
            <w:hideMark/>
          </w:tcPr>
          <w:p w14:paraId="24750C1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71.192 </w:t>
            </w:r>
          </w:p>
        </w:tc>
        <w:tc>
          <w:tcPr>
            <w:tcW w:w="1202" w:type="dxa"/>
            <w:tcBorders>
              <w:top w:val="nil"/>
              <w:left w:val="nil"/>
              <w:bottom w:val="single" w:sz="8" w:space="0" w:color="A6A6A6"/>
              <w:right w:val="double" w:sz="6" w:space="0" w:color="A6A6A6"/>
            </w:tcBorders>
            <w:noWrap/>
            <w:vAlign w:val="center"/>
            <w:hideMark/>
          </w:tcPr>
          <w:p w14:paraId="395CEC2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71.192 </w:t>
            </w:r>
          </w:p>
        </w:tc>
      </w:tr>
      <w:tr w:rsidR="00335312" w:rsidRPr="00EE3E83" w14:paraId="1CD4F285"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6764C9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276</w:t>
            </w:r>
          </w:p>
        </w:tc>
        <w:tc>
          <w:tcPr>
            <w:tcW w:w="4923" w:type="dxa"/>
            <w:tcBorders>
              <w:top w:val="nil"/>
              <w:left w:val="nil"/>
              <w:bottom w:val="single" w:sz="8" w:space="0" w:color="A6A6A6"/>
              <w:right w:val="single" w:sz="8" w:space="0" w:color="A6A6A6"/>
            </w:tcBorders>
            <w:shd w:val="clear" w:color="000000" w:fill="DFF2D0"/>
            <w:vAlign w:val="center"/>
            <w:hideMark/>
          </w:tcPr>
          <w:p w14:paraId="436437A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CABELLA L.-BORGHETTO B.-ARQUATA S.-NOVI L. CON DIR.NI</w:t>
            </w:r>
          </w:p>
        </w:tc>
        <w:tc>
          <w:tcPr>
            <w:tcW w:w="753" w:type="dxa"/>
            <w:tcBorders>
              <w:top w:val="nil"/>
              <w:left w:val="nil"/>
              <w:bottom w:val="single" w:sz="8" w:space="0" w:color="A6A6A6"/>
              <w:right w:val="single" w:sz="8" w:space="0" w:color="A6A6A6"/>
            </w:tcBorders>
            <w:shd w:val="clear" w:color="000000" w:fill="DFF2D0"/>
            <w:noWrap/>
            <w:vAlign w:val="center"/>
            <w:hideMark/>
          </w:tcPr>
          <w:p w14:paraId="76B71D5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shd w:val="clear" w:color="000000" w:fill="DFF2D0"/>
            <w:noWrap/>
            <w:vAlign w:val="center"/>
            <w:hideMark/>
          </w:tcPr>
          <w:p w14:paraId="69ED642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29.460 </w:t>
            </w:r>
          </w:p>
        </w:tc>
        <w:tc>
          <w:tcPr>
            <w:tcW w:w="1202" w:type="dxa"/>
            <w:tcBorders>
              <w:top w:val="nil"/>
              <w:left w:val="nil"/>
              <w:bottom w:val="single" w:sz="8" w:space="0" w:color="A6A6A6"/>
              <w:right w:val="double" w:sz="6" w:space="0" w:color="A6A6A6"/>
            </w:tcBorders>
            <w:shd w:val="clear" w:color="000000" w:fill="DFF2D0"/>
            <w:noWrap/>
            <w:vAlign w:val="center"/>
            <w:hideMark/>
          </w:tcPr>
          <w:p w14:paraId="532711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26.839 </w:t>
            </w:r>
          </w:p>
        </w:tc>
      </w:tr>
      <w:tr w:rsidR="00335312" w:rsidRPr="00EE3E83" w14:paraId="5136848F"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068A35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S002</w:t>
            </w:r>
          </w:p>
        </w:tc>
        <w:tc>
          <w:tcPr>
            <w:tcW w:w="4923" w:type="dxa"/>
            <w:tcBorders>
              <w:top w:val="nil"/>
              <w:left w:val="nil"/>
              <w:bottom w:val="single" w:sz="8" w:space="0" w:color="A6A6A6"/>
              <w:right w:val="single" w:sz="8" w:space="0" w:color="A6A6A6"/>
            </w:tcBorders>
            <w:vAlign w:val="center"/>
            <w:hideMark/>
          </w:tcPr>
          <w:p w14:paraId="394E53C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CASALE MONFERRATO</w:t>
            </w:r>
          </w:p>
        </w:tc>
        <w:tc>
          <w:tcPr>
            <w:tcW w:w="753" w:type="dxa"/>
            <w:tcBorders>
              <w:top w:val="nil"/>
              <w:left w:val="nil"/>
              <w:bottom w:val="single" w:sz="8" w:space="0" w:color="A6A6A6"/>
              <w:right w:val="single" w:sz="8" w:space="0" w:color="A6A6A6"/>
            </w:tcBorders>
            <w:noWrap/>
            <w:vAlign w:val="center"/>
            <w:hideMark/>
          </w:tcPr>
          <w:p w14:paraId="0CF20FE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85</w:t>
            </w:r>
          </w:p>
        </w:tc>
        <w:tc>
          <w:tcPr>
            <w:tcW w:w="1214" w:type="dxa"/>
            <w:tcBorders>
              <w:top w:val="nil"/>
              <w:left w:val="nil"/>
              <w:bottom w:val="single" w:sz="8" w:space="0" w:color="A6A6A6"/>
              <w:right w:val="single" w:sz="8" w:space="0" w:color="A6A6A6"/>
            </w:tcBorders>
            <w:noWrap/>
            <w:vAlign w:val="center"/>
            <w:hideMark/>
          </w:tcPr>
          <w:p w14:paraId="3D59EE3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263.786 </w:t>
            </w:r>
          </w:p>
        </w:tc>
        <w:tc>
          <w:tcPr>
            <w:tcW w:w="1202" w:type="dxa"/>
            <w:tcBorders>
              <w:top w:val="nil"/>
              <w:left w:val="nil"/>
              <w:bottom w:val="single" w:sz="8" w:space="0" w:color="A6A6A6"/>
              <w:right w:val="double" w:sz="6" w:space="0" w:color="A6A6A6"/>
            </w:tcBorders>
            <w:noWrap/>
            <w:vAlign w:val="center"/>
            <w:hideMark/>
          </w:tcPr>
          <w:p w14:paraId="3E15464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263.786 </w:t>
            </w:r>
          </w:p>
        </w:tc>
      </w:tr>
      <w:tr w:rsidR="00335312" w:rsidRPr="00EE3E83" w14:paraId="3524A664"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3884F9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S002C</w:t>
            </w:r>
          </w:p>
        </w:tc>
        <w:tc>
          <w:tcPr>
            <w:tcW w:w="4923" w:type="dxa"/>
            <w:tcBorders>
              <w:top w:val="nil"/>
              <w:left w:val="nil"/>
              <w:bottom w:val="single" w:sz="8" w:space="0" w:color="A6A6A6"/>
              <w:right w:val="single" w:sz="8" w:space="0" w:color="A6A6A6"/>
            </w:tcBorders>
            <w:shd w:val="clear" w:color="000000" w:fill="DFF2D0"/>
            <w:vAlign w:val="center"/>
            <w:hideMark/>
          </w:tcPr>
          <w:p w14:paraId="0F6163E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MIRABELLO MONFERRATO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VALENZA</w:t>
            </w:r>
          </w:p>
        </w:tc>
        <w:tc>
          <w:tcPr>
            <w:tcW w:w="753" w:type="dxa"/>
            <w:tcBorders>
              <w:top w:val="nil"/>
              <w:left w:val="nil"/>
              <w:bottom w:val="single" w:sz="8" w:space="0" w:color="A6A6A6"/>
              <w:right w:val="single" w:sz="8" w:space="0" w:color="A6A6A6"/>
            </w:tcBorders>
            <w:shd w:val="clear" w:color="000000" w:fill="DFF2D0"/>
            <w:noWrap/>
            <w:vAlign w:val="center"/>
            <w:hideMark/>
          </w:tcPr>
          <w:p w14:paraId="2642D39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20</w:t>
            </w:r>
          </w:p>
        </w:tc>
        <w:tc>
          <w:tcPr>
            <w:tcW w:w="1214" w:type="dxa"/>
            <w:tcBorders>
              <w:top w:val="nil"/>
              <w:left w:val="nil"/>
              <w:bottom w:val="single" w:sz="8" w:space="0" w:color="A6A6A6"/>
              <w:right w:val="single" w:sz="8" w:space="0" w:color="A6A6A6"/>
            </w:tcBorders>
            <w:shd w:val="clear" w:color="000000" w:fill="DFF2D0"/>
            <w:noWrap/>
            <w:vAlign w:val="center"/>
            <w:hideMark/>
          </w:tcPr>
          <w:p w14:paraId="6CBCEC1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17.214 </w:t>
            </w:r>
          </w:p>
        </w:tc>
        <w:tc>
          <w:tcPr>
            <w:tcW w:w="1202" w:type="dxa"/>
            <w:tcBorders>
              <w:top w:val="nil"/>
              <w:left w:val="nil"/>
              <w:bottom w:val="single" w:sz="8" w:space="0" w:color="A6A6A6"/>
              <w:right w:val="double" w:sz="6" w:space="0" w:color="A6A6A6"/>
            </w:tcBorders>
            <w:shd w:val="clear" w:color="000000" w:fill="DFF2D0"/>
            <w:noWrap/>
            <w:vAlign w:val="center"/>
            <w:hideMark/>
          </w:tcPr>
          <w:p w14:paraId="26B97E0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17.214 </w:t>
            </w:r>
          </w:p>
        </w:tc>
      </w:tr>
      <w:tr w:rsidR="00335312" w:rsidRPr="00EE3E83" w14:paraId="58E5717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A10079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S007</w:t>
            </w:r>
          </w:p>
        </w:tc>
        <w:tc>
          <w:tcPr>
            <w:tcW w:w="4923" w:type="dxa"/>
            <w:tcBorders>
              <w:top w:val="nil"/>
              <w:left w:val="nil"/>
              <w:bottom w:val="single" w:sz="8" w:space="0" w:color="A6A6A6"/>
              <w:right w:val="single" w:sz="8" w:space="0" w:color="A6A6A6"/>
            </w:tcBorders>
            <w:vAlign w:val="center"/>
            <w:hideMark/>
          </w:tcPr>
          <w:p w14:paraId="3401289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SALE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VALENZA</w:t>
            </w:r>
          </w:p>
        </w:tc>
        <w:tc>
          <w:tcPr>
            <w:tcW w:w="753" w:type="dxa"/>
            <w:tcBorders>
              <w:top w:val="nil"/>
              <w:left w:val="nil"/>
              <w:bottom w:val="single" w:sz="8" w:space="0" w:color="A6A6A6"/>
              <w:right w:val="single" w:sz="8" w:space="0" w:color="A6A6A6"/>
            </w:tcBorders>
            <w:noWrap/>
            <w:vAlign w:val="center"/>
            <w:hideMark/>
          </w:tcPr>
          <w:p w14:paraId="2B7E194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17</w:t>
            </w:r>
          </w:p>
        </w:tc>
        <w:tc>
          <w:tcPr>
            <w:tcW w:w="1214" w:type="dxa"/>
            <w:tcBorders>
              <w:top w:val="nil"/>
              <w:left w:val="nil"/>
              <w:bottom w:val="single" w:sz="8" w:space="0" w:color="A6A6A6"/>
              <w:right w:val="single" w:sz="8" w:space="0" w:color="A6A6A6"/>
            </w:tcBorders>
            <w:noWrap/>
            <w:vAlign w:val="center"/>
            <w:hideMark/>
          </w:tcPr>
          <w:p w14:paraId="1F9D2B3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48.758 </w:t>
            </w:r>
          </w:p>
        </w:tc>
        <w:tc>
          <w:tcPr>
            <w:tcW w:w="1202" w:type="dxa"/>
            <w:tcBorders>
              <w:top w:val="nil"/>
              <w:left w:val="nil"/>
              <w:bottom w:val="single" w:sz="8" w:space="0" w:color="A6A6A6"/>
              <w:right w:val="double" w:sz="6" w:space="0" w:color="A6A6A6"/>
            </w:tcBorders>
            <w:noWrap/>
            <w:vAlign w:val="center"/>
            <w:hideMark/>
          </w:tcPr>
          <w:p w14:paraId="6B8E9B3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48.758 </w:t>
            </w:r>
          </w:p>
        </w:tc>
      </w:tr>
      <w:tr w:rsidR="00335312" w:rsidRPr="00EE3E83" w14:paraId="7D0DF57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53E85A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S008</w:t>
            </w:r>
          </w:p>
        </w:tc>
        <w:tc>
          <w:tcPr>
            <w:tcW w:w="4923" w:type="dxa"/>
            <w:tcBorders>
              <w:top w:val="nil"/>
              <w:left w:val="nil"/>
              <w:bottom w:val="single" w:sz="8" w:space="0" w:color="A6A6A6"/>
              <w:right w:val="single" w:sz="8" w:space="0" w:color="A6A6A6"/>
            </w:tcBorders>
            <w:shd w:val="clear" w:color="000000" w:fill="DFF2D0"/>
            <w:vAlign w:val="center"/>
            <w:hideMark/>
          </w:tcPr>
          <w:p w14:paraId="7A9AEE1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BASSIGNANA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shd w:val="clear" w:color="000000" w:fill="DFF2D0"/>
            <w:noWrap/>
            <w:vAlign w:val="center"/>
            <w:hideMark/>
          </w:tcPr>
          <w:p w14:paraId="24AD346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1214" w:type="dxa"/>
            <w:tcBorders>
              <w:top w:val="nil"/>
              <w:left w:val="nil"/>
              <w:bottom w:val="single" w:sz="8" w:space="0" w:color="A6A6A6"/>
              <w:right w:val="single" w:sz="8" w:space="0" w:color="A6A6A6"/>
            </w:tcBorders>
            <w:shd w:val="clear" w:color="000000" w:fill="DFF2D0"/>
            <w:noWrap/>
            <w:vAlign w:val="center"/>
            <w:hideMark/>
          </w:tcPr>
          <w:p w14:paraId="23BF84D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21.611 </w:t>
            </w:r>
          </w:p>
        </w:tc>
        <w:tc>
          <w:tcPr>
            <w:tcW w:w="1202" w:type="dxa"/>
            <w:tcBorders>
              <w:top w:val="nil"/>
              <w:left w:val="nil"/>
              <w:bottom w:val="single" w:sz="8" w:space="0" w:color="A6A6A6"/>
              <w:right w:val="double" w:sz="6" w:space="0" w:color="A6A6A6"/>
            </w:tcBorders>
            <w:shd w:val="clear" w:color="000000" w:fill="DFF2D0"/>
            <w:noWrap/>
            <w:vAlign w:val="center"/>
            <w:hideMark/>
          </w:tcPr>
          <w:p w14:paraId="0557316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21.611 </w:t>
            </w:r>
          </w:p>
        </w:tc>
      </w:tr>
      <w:tr w:rsidR="00335312" w:rsidRPr="00EE3E83" w14:paraId="5A470169"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B8F661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S009</w:t>
            </w:r>
          </w:p>
        </w:tc>
        <w:tc>
          <w:tcPr>
            <w:tcW w:w="4923" w:type="dxa"/>
            <w:tcBorders>
              <w:top w:val="nil"/>
              <w:left w:val="nil"/>
              <w:bottom w:val="single" w:sz="8" w:space="0" w:color="A6A6A6"/>
              <w:right w:val="single" w:sz="8" w:space="0" w:color="A6A6A6"/>
            </w:tcBorders>
            <w:vAlign w:val="center"/>
            <w:hideMark/>
          </w:tcPr>
          <w:p w14:paraId="674B9A1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VOGHERA - SALE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noWrap/>
            <w:vAlign w:val="center"/>
            <w:hideMark/>
          </w:tcPr>
          <w:p w14:paraId="5A62CD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40</w:t>
            </w:r>
          </w:p>
        </w:tc>
        <w:tc>
          <w:tcPr>
            <w:tcW w:w="1214" w:type="dxa"/>
            <w:tcBorders>
              <w:top w:val="nil"/>
              <w:left w:val="nil"/>
              <w:bottom w:val="single" w:sz="8" w:space="0" w:color="A6A6A6"/>
              <w:right w:val="single" w:sz="8" w:space="0" w:color="A6A6A6"/>
            </w:tcBorders>
            <w:noWrap/>
            <w:vAlign w:val="center"/>
            <w:hideMark/>
          </w:tcPr>
          <w:p w14:paraId="1B6FB87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211.388 </w:t>
            </w:r>
          </w:p>
        </w:tc>
        <w:tc>
          <w:tcPr>
            <w:tcW w:w="1202" w:type="dxa"/>
            <w:tcBorders>
              <w:top w:val="nil"/>
              <w:left w:val="nil"/>
              <w:bottom w:val="single" w:sz="8" w:space="0" w:color="A6A6A6"/>
              <w:right w:val="double" w:sz="6" w:space="0" w:color="A6A6A6"/>
            </w:tcBorders>
            <w:noWrap/>
            <w:vAlign w:val="center"/>
            <w:hideMark/>
          </w:tcPr>
          <w:p w14:paraId="2804C6A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211.388 </w:t>
            </w:r>
          </w:p>
        </w:tc>
      </w:tr>
      <w:tr w:rsidR="00335312" w:rsidRPr="00EE3E83" w14:paraId="65469BC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10E112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S011</w:t>
            </w:r>
          </w:p>
        </w:tc>
        <w:tc>
          <w:tcPr>
            <w:tcW w:w="4923" w:type="dxa"/>
            <w:tcBorders>
              <w:top w:val="nil"/>
              <w:left w:val="nil"/>
              <w:bottom w:val="single" w:sz="8" w:space="0" w:color="A6A6A6"/>
              <w:right w:val="single" w:sz="8" w:space="0" w:color="A6A6A6"/>
            </w:tcBorders>
            <w:shd w:val="clear" w:color="000000" w:fill="DFF2D0"/>
            <w:vAlign w:val="center"/>
            <w:hideMark/>
          </w:tcPr>
          <w:p w14:paraId="43B5EB1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TORTONA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VOGHERA</w:t>
            </w:r>
          </w:p>
        </w:tc>
        <w:tc>
          <w:tcPr>
            <w:tcW w:w="753" w:type="dxa"/>
            <w:tcBorders>
              <w:top w:val="nil"/>
              <w:left w:val="nil"/>
              <w:bottom w:val="single" w:sz="8" w:space="0" w:color="A6A6A6"/>
              <w:right w:val="single" w:sz="8" w:space="0" w:color="A6A6A6"/>
            </w:tcBorders>
            <w:shd w:val="clear" w:color="000000" w:fill="DFF2D0"/>
            <w:noWrap/>
            <w:vAlign w:val="center"/>
            <w:hideMark/>
          </w:tcPr>
          <w:p w14:paraId="350912B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w:t>
            </w:r>
          </w:p>
        </w:tc>
        <w:tc>
          <w:tcPr>
            <w:tcW w:w="1214" w:type="dxa"/>
            <w:tcBorders>
              <w:top w:val="nil"/>
              <w:left w:val="nil"/>
              <w:bottom w:val="single" w:sz="8" w:space="0" w:color="A6A6A6"/>
              <w:right w:val="single" w:sz="8" w:space="0" w:color="A6A6A6"/>
            </w:tcBorders>
            <w:shd w:val="clear" w:color="000000" w:fill="DFF2D0"/>
            <w:noWrap/>
            <w:vAlign w:val="center"/>
            <w:hideMark/>
          </w:tcPr>
          <w:p w14:paraId="3820FC1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41.399 </w:t>
            </w:r>
          </w:p>
        </w:tc>
        <w:tc>
          <w:tcPr>
            <w:tcW w:w="1202" w:type="dxa"/>
            <w:tcBorders>
              <w:top w:val="nil"/>
              <w:left w:val="nil"/>
              <w:bottom w:val="single" w:sz="8" w:space="0" w:color="A6A6A6"/>
              <w:right w:val="double" w:sz="6" w:space="0" w:color="A6A6A6"/>
            </w:tcBorders>
            <w:shd w:val="clear" w:color="000000" w:fill="DFF2D0"/>
            <w:noWrap/>
            <w:vAlign w:val="center"/>
            <w:hideMark/>
          </w:tcPr>
          <w:p w14:paraId="6474860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41.399 </w:t>
            </w:r>
          </w:p>
        </w:tc>
      </w:tr>
      <w:tr w:rsidR="00335312" w:rsidRPr="00EE3E83" w14:paraId="3037751C"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0D3D87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S019</w:t>
            </w:r>
          </w:p>
        </w:tc>
        <w:tc>
          <w:tcPr>
            <w:tcW w:w="4923" w:type="dxa"/>
            <w:tcBorders>
              <w:top w:val="nil"/>
              <w:left w:val="nil"/>
              <w:bottom w:val="single" w:sz="8" w:space="0" w:color="A6A6A6"/>
              <w:right w:val="single" w:sz="8" w:space="0" w:color="A6A6A6"/>
            </w:tcBorders>
            <w:vAlign w:val="center"/>
            <w:hideMark/>
          </w:tcPr>
          <w:p w14:paraId="3A245AF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NOVI LIGURE - CASSANO SPINOLA - SANT'AGATA FOSSILI</w:t>
            </w:r>
          </w:p>
        </w:tc>
        <w:tc>
          <w:tcPr>
            <w:tcW w:w="753" w:type="dxa"/>
            <w:tcBorders>
              <w:top w:val="nil"/>
              <w:left w:val="nil"/>
              <w:bottom w:val="single" w:sz="8" w:space="0" w:color="A6A6A6"/>
              <w:right w:val="single" w:sz="8" w:space="0" w:color="A6A6A6"/>
            </w:tcBorders>
            <w:noWrap/>
            <w:vAlign w:val="center"/>
            <w:hideMark/>
          </w:tcPr>
          <w:p w14:paraId="1FC3B59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1214" w:type="dxa"/>
            <w:tcBorders>
              <w:top w:val="nil"/>
              <w:left w:val="nil"/>
              <w:bottom w:val="single" w:sz="8" w:space="0" w:color="A6A6A6"/>
              <w:right w:val="single" w:sz="8" w:space="0" w:color="A6A6A6"/>
            </w:tcBorders>
            <w:noWrap/>
            <w:vAlign w:val="center"/>
            <w:hideMark/>
          </w:tcPr>
          <w:p w14:paraId="321A2A3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54.921 </w:t>
            </w:r>
          </w:p>
        </w:tc>
        <w:tc>
          <w:tcPr>
            <w:tcW w:w="1202" w:type="dxa"/>
            <w:tcBorders>
              <w:top w:val="nil"/>
              <w:left w:val="nil"/>
              <w:bottom w:val="single" w:sz="8" w:space="0" w:color="A6A6A6"/>
              <w:right w:val="double" w:sz="6" w:space="0" w:color="A6A6A6"/>
            </w:tcBorders>
            <w:noWrap/>
            <w:vAlign w:val="center"/>
            <w:hideMark/>
          </w:tcPr>
          <w:p w14:paraId="30D32B7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54.921 </w:t>
            </w:r>
          </w:p>
        </w:tc>
      </w:tr>
      <w:tr w:rsidR="00335312" w:rsidRPr="00EE3E83" w14:paraId="353D587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A9476D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S020</w:t>
            </w:r>
          </w:p>
        </w:tc>
        <w:tc>
          <w:tcPr>
            <w:tcW w:w="4923" w:type="dxa"/>
            <w:tcBorders>
              <w:top w:val="nil"/>
              <w:left w:val="nil"/>
              <w:bottom w:val="single" w:sz="8" w:space="0" w:color="A6A6A6"/>
              <w:right w:val="single" w:sz="8" w:space="0" w:color="A6A6A6"/>
            </w:tcBorders>
            <w:shd w:val="clear" w:color="000000" w:fill="DFF2D0"/>
            <w:vAlign w:val="center"/>
            <w:hideMark/>
          </w:tcPr>
          <w:p w14:paraId="0C9FA40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ALTAVILLA MORETTA - SAN SALVATORE</w:t>
            </w:r>
          </w:p>
        </w:tc>
        <w:tc>
          <w:tcPr>
            <w:tcW w:w="753" w:type="dxa"/>
            <w:tcBorders>
              <w:top w:val="nil"/>
              <w:left w:val="nil"/>
              <w:bottom w:val="single" w:sz="8" w:space="0" w:color="A6A6A6"/>
              <w:right w:val="single" w:sz="8" w:space="0" w:color="A6A6A6"/>
            </w:tcBorders>
            <w:shd w:val="clear" w:color="000000" w:fill="DFF2D0"/>
            <w:noWrap/>
            <w:vAlign w:val="center"/>
            <w:hideMark/>
          </w:tcPr>
          <w:p w14:paraId="63650B9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30</w:t>
            </w:r>
          </w:p>
        </w:tc>
        <w:tc>
          <w:tcPr>
            <w:tcW w:w="1214" w:type="dxa"/>
            <w:tcBorders>
              <w:top w:val="nil"/>
              <w:left w:val="nil"/>
              <w:bottom w:val="single" w:sz="8" w:space="0" w:color="A6A6A6"/>
              <w:right w:val="single" w:sz="8" w:space="0" w:color="A6A6A6"/>
            </w:tcBorders>
            <w:shd w:val="clear" w:color="000000" w:fill="DFF2D0"/>
            <w:noWrap/>
            <w:vAlign w:val="center"/>
            <w:hideMark/>
          </w:tcPr>
          <w:p w14:paraId="367A98A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45.430 </w:t>
            </w:r>
          </w:p>
        </w:tc>
        <w:tc>
          <w:tcPr>
            <w:tcW w:w="1202" w:type="dxa"/>
            <w:tcBorders>
              <w:top w:val="nil"/>
              <w:left w:val="nil"/>
              <w:bottom w:val="single" w:sz="8" w:space="0" w:color="A6A6A6"/>
              <w:right w:val="double" w:sz="6" w:space="0" w:color="A6A6A6"/>
            </w:tcBorders>
            <w:shd w:val="clear" w:color="000000" w:fill="DFF2D0"/>
            <w:noWrap/>
            <w:vAlign w:val="center"/>
            <w:hideMark/>
          </w:tcPr>
          <w:p w14:paraId="183E9DE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45.430 </w:t>
            </w:r>
          </w:p>
        </w:tc>
      </w:tr>
      <w:tr w:rsidR="00335312" w:rsidRPr="00EE3E83" w14:paraId="3285F79E"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D780FD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S021</w:t>
            </w:r>
          </w:p>
        </w:tc>
        <w:tc>
          <w:tcPr>
            <w:tcW w:w="4923" w:type="dxa"/>
            <w:tcBorders>
              <w:top w:val="nil"/>
              <w:left w:val="nil"/>
              <w:bottom w:val="single" w:sz="8" w:space="0" w:color="A6A6A6"/>
              <w:right w:val="single" w:sz="8" w:space="0" w:color="A6A6A6"/>
            </w:tcBorders>
            <w:vAlign w:val="center"/>
            <w:hideMark/>
          </w:tcPr>
          <w:p w14:paraId="5203BA6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TERME - SPINETTA MARENGO</w:t>
            </w:r>
          </w:p>
        </w:tc>
        <w:tc>
          <w:tcPr>
            <w:tcW w:w="753" w:type="dxa"/>
            <w:tcBorders>
              <w:top w:val="nil"/>
              <w:left w:val="nil"/>
              <w:bottom w:val="single" w:sz="8" w:space="0" w:color="A6A6A6"/>
              <w:right w:val="single" w:sz="8" w:space="0" w:color="A6A6A6"/>
            </w:tcBorders>
            <w:noWrap/>
            <w:vAlign w:val="center"/>
            <w:hideMark/>
          </w:tcPr>
          <w:p w14:paraId="7413472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noWrap/>
            <w:vAlign w:val="center"/>
            <w:hideMark/>
          </w:tcPr>
          <w:p w14:paraId="229D8A6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1.135 </w:t>
            </w:r>
          </w:p>
        </w:tc>
        <w:tc>
          <w:tcPr>
            <w:tcW w:w="1202" w:type="dxa"/>
            <w:tcBorders>
              <w:top w:val="nil"/>
              <w:left w:val="nil"/>
              <w:bottom w:val="single" w:sz="8" w:space="0" w:color="A6A6A6"/>
              <w:right w:val="double" w:sz="6" w:space="0" w:color="A6A6A6"/>
            </w:tcBorders>
            <w:noWrap/>
            <w:vAlign w:val="center"/>
            <w:hideMark/>
          </w:tcPr>
          <w:p w14:paraId="10D4106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1.135 </w:t>
            </w:r>
          </w:p>
        </w:tc>
      </w:tr>
      <w:tr w:rsidR="00335312" w:rsidRPr="00EE3E83" w14:paraId="67561A56"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87924B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S022</w:t>
            </w:r>
          </w:p>
        </w:tc>
        <w:tc>
          <w:tcPr>
            <w:tcW w:w="4923" w:type="dxa"/>
            <w:tcBorders>
              <w:top w:val="nil"/>
              <w:left w:val="nil"/>
              <w:bottom w:val="single" w:sz="8" w:space="0" w:color="A6A6A6"/>
              <w:right w:val="single" w:sz="8" w:space="0" w:color="A6A6A6"/>
            </w:tcBorders>
            <w:shd w:val="clear" w:color="000000" w:fill="DFF2D0"/>
            <w:vAlign w:val="center"/>
            <w:hideMark/>
          </w:tcPr>
          <w:p w14:paraId="3A8262C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ACQUI TERME</w:t>
            </w:r>
          </w:p>
        </w:tc>
        <w:tc>
          <w:tcPr>
            <w:tcW w:w="753" w:type="dxa"/>
            <w:tcBorders>
              <w:top w:val="nil"/>
              <w:left w:val="nil"/>
              <w:bottom w:val="single" w:sz="8" w:space="0" w:color="A6A6A6"/>
              <w:right w:val="single" w:sz="8" w:space="0" w:color="A6A6A6"/>
            </w:tcBorders>
            <w:shd w:val="clear" w:color="000000" w:fill="DFF2D0"/>
            <w:noWrap/>
            <w:vAlign w:val="center"/>
            <w:hideMark/>
          </w:tcPr>
          <w:p w14:paraId="37149ED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51</w:t>
            </w:r>
          </w:p>
        </w:tc>
        <w:tc>
          <w:tcPr>
            <w:tcW w:w="1214" w:type="dxa"/>
            <w:tcBorders>
              <w:top w:val="nil"/>
              <w:left w:val="nil"/>
              <w:bottom w:val="single" w:sz="8" w:space="0" w:color="A6A6A6"/>
              <w:right w:val="single" w:sz="8" w:space="0" w:color="A6A6A6"/>
            </w:tcBorders>
            <w:shd w:val="clear" w:color="000000" w:fill="DFF2D0"/>
            <w:noWrap/>
            <w:vAlign w:val="center"/>
            <w:hideMark/>
          </w:tcPr>
          <w:p w14:paraId="2D1EBEE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318.796 </w:t>
            </w:r>
          </w:p>
        </w:tc>
        <w:tc>
          <w:tcPr>
            <w:tcW w:w="1202" w:type="dxa"/>
            <w:tcBorders>
              <w:top w:val="nil"/>
              <w:left w:val="nil"/>
              <w:bottom w:val="single" w:sz="8" w:space="0" w:color="A6A6A6"/>
              <w:right w:val="double" w:sz="6" w:space="0" w:color="A6A6A6"/>
            </w:tcBorders>
            <w:shd w:val="clear" w:color="000000" w:fill="DFF2D0"/>
            <w:noWrap/>
            <w:vAlign w:val="center"/>
            <w:hideMark/>
          </w:tcPr>
          <w:p w14:paraId="0F8E761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318.796 </w:t>
            </w:r>
          </w:p>
        </w:tc>
      </w:tr>
      <w:tr w:rsidR="00335312" w:rsidRPr="00EE3E83" w14:paraId="2AC9169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D3D535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S023</w:t>
            </w:r>
          </w:p>
        </w:tc>
        <w:tc>
          <w:tcPr>
            <w:tcW w:w="4923" w:type="dxa"/>
            <w:tcBorders>
              <w:top w:val="nil"/>
              <w:left w:val="nil"/>
              <w:bottom w:val="single" w:sz="8" w:space="0" w:color="A6A6A6"/>
              <w:right w:val="single" w:sz="8" w:space="0" w:color="A6A6A6"/>
            </w:tcBorders>
            <w:vAlign w:val="center"/>
            <w:hideMark/>
          </w:tcPr>
          <w:p w14:paraId="64B34BB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CASAL CERMELLI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noWrap/>
            <w:vAlign w:val="center"/>
            <w:hideMark/>
          </w:tcPr>
          <w:p w14:paraId="4D6C389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23</w:t>
            </w:r>
          </w:p>
        </w:tc>
        <w:tc>
          <w:tcPr>
            <w:tcW w:w="1214" w:type="dxa"/>
            <w:tcBorders>
              <w:top w:val="nil"/>
              <w:left w:val="nil"/>
              <w:bottom w:val="single" w:sz="8" w:space="0" w:color="A6A6A6"/>
              <w:right w:val="single" w:sz="8" w:space="0" w:color="A6A6A6"/>
            </w:tcBorders>
            <w:noWrap/>
            <w:vAlign w:val="center"/>
            <w:hideMark/>
          </w:tcPr>
          <w:p w14:paraId="4BC3F0E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22.809 </w:t>
            </w:r>
          </w:p>
        </w:tc>
        <w:tc>
          <w:tcPr>
            <w:tcW w:w="1202" w:type="dxa"/>
            <w:tcBorders>
              <w:top w:val="nil"/>
              <w:left w:val="nil"/>
              <w:bottom w:val="single" w:sz="8" w:space="0" w:color="A6A6A6"/>
              <w:right w:val="double" w:sz="6" w:space="0" w:color="A6A6A6"/>
            </w:tcBorders>
            <w:noWrap/>
            <w:vAlign w:val="center"/>
            <w:hideMark/>
          </w:tcPr>
          <w:p w14:paraId="36FD343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22.809 </w:t>
            </w:r>
          </w:p>
        </w:tc>
      </w:tr>
      <w:tr w:rsidR="00335312" w:rsidRPr="00EE3E83" w14:paraId="7CB0D74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F73AAC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S032</w:t>
            </w:r>
          </w:p>
        </w:tc>
        <w:tc>
          <w:tcPr>
            <w:tcW w:w="4923" w:type="dxa"/>
            <w:tcBorders>
              <w:top w:val="nil"/>
              <w:left w:val="nil"/>
              <w:bottom w:val="single" w:sz="8" w:space="0" w:color="A6A6A6"/>
              <w:right w:val="single" w:sz="8" w:space="0" w:color="A6A6A6"/>
            </w:tcBorders>
            <w:shd w:val="clear" w:color="000000" w:fill="DFF2D0"/>
            <w:vAlign w:val="center"/>
            <w:hideMark/>
          </w:tcPr>
          <w:p w14:paraId="136BF9B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MONTALDO BORMIDA - PREDOSA - NOVI LIGURE</w:t>
            </w:r>
          </w:p>
        </w:tc>
        <w:tc>
          <w:tcPr>
            <w:tcW w:w="753" w:type="dxa"/>
            <w:tcBorders>
              <w:top w:val="nil"/>
              <w:left w:val="nil"/>
              <w:bottom w:val="single" w:sz="8" w:space="0" w:color="A6A6A6"/>
              <w:right w:val="single" w:sz="8" w:space="0" w:color="A6A6A6"/>
            </w:tcBorders>
            <w:shd w:val="clear" w:color="000000" w:fill="DFF2D0"/>
            <w:noWrap/>
            <w:vAlign w:val="center"/>
            <w:hideMark/>
          </w:tcPr>
          <w:p w14:paraId="30580F3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24</w:t>
            </w:r>
          </w:p>
        </w:tc>
        <w:tc>
          <w:tcPr>
            <w:tcW w:w="1214" w:type="dxa"/>
            <w:tcBorders>
              <w:top w:val="nil"/>
              <w:left w:val="nil"/>
              <w:bottom w:val="single" w:sz="8" w:space="0" w:color="A6A6A6"/>
              <w:right w:val="single" w:sz="8" w:space="0" w:color="A6A6A6"/>
            </w:tcBorders>
            <w:shd w:val="clear" w:color="000000" w:fill="DFF2D0"/>
            <w:noWrap/>
            <w:vAlign w:val="center"/>
            <w:hideMark/>
          </w:tcPr>
          <w:p w14:paraId="3D4D799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83.237 </w:t>
            </w:r>
          </w:p>
        </w:tc>
        <w:tc>
          <w:tcPr>
            <w:tcW w:w="1202" w:type="dxa"/>
            <w:tcBorders>
              <w:top w:val="nil"/>
              <w:left w:val="nil"/>
              <w:bottom w:val="single" w:sz="8" w:space="0" w:color="A6A6A6"/>
              <w:right w:val="double" w:sz="6" w:space="0" w:color="A6A6A6"/>
            </w:tcBorders>
            <w:shd w:val="clear" w:color="000000" w:fill="DFF2D0"/>
            <w:noWrap/>
            <w:vAlign w:val="center"/>
            <w:hideMark/>
          </w:tcPr>
          <w:p w14:paraId="603F6FC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83.237 </w:t>
            </w:r>
          </w:p>
        </w:tc>
      </w:tr>
      <w:tr w:rsidR="00335312" w:rsidRPr="00EE3E83" w14:paraId="70FFBB5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74077E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S033</w:t>
            </w:r>
          </w:p>
        </w:tc>
        <w:tc>
          <w:tcPr>
            <w:tcW w:w="4923" w:type="dxa"/>
            <w:tcBorders>
              <w:top w:val="nil"/>
              <w:left w:val="nil"/>
              <w:bottom w:val="single" w:sz="8" w:space="0" w:color="A6A6A6"/>
              <w:right w:val="single" w:sz="8" w:space="0" w:color="A6A6A6"/>
            </w:tcBorders>
            <w:vAlign w:val="center"/>
            <w:hideMark/>
          </w:tcPr>
          <w:p w14:paraId="6F454F3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GRONDONA - ARQUATA SCRIVIA</w:t>
            </w:r>
          </w:p>
        </w:tc>
        <w:tc>
          <w:tcPr>
            <w:tcW w:w="753" w:type="dxa"/>
            <w:tcBorders>
              <w:top w:val="nil"/>
              <w:left w:val="nil"/>
              <w:bottom w:val="single" w:sz="8" w:space="0" w:color="A6A6A6"/>
              <w:right w:val="single" w:sz="8" w:space="0" w:color="A6A6A6"/>
            </w:tcBorders>
            <w:noWrap/>
            <w:vAlign w:val="center"/>
            <w:hideMark/>
          </w:tcPr>
          <w:p w14:paraId="50FC801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1214" w:type="dxa"/>
            <w:tcBorders>
              <w:top w:val="nil"/>
              <w:left w:val="nil"/>
              <w:bottom w:val="single" w:sz="8" w:space="0" w:color="A6A6A6"/>
              <w:right w:val="single" w:sz="8" w:space="0" w:color="A6A6A6"/>
            </w:tcBorders>
            <w:noWrap/>
            <w:vAlign w:val="center"/>
            <w:hideMark/>
          </w:tcPr>
          <w:p w14:paraId="01CBCD0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5.513 </w:t>
            </w:r>
          </w:p>
        </w:tc>
        <w:tc>
          <w:tcPr>
            <w:tcW w:w="1202" w:type="dxa"/>
            <w:tcBorders>
              <w:top w:val="nil"/>
              <w:left w:val="nil"/>
              <w:bottom w:val="single" w:sz="8" w:space="0" w:color="A6A6A6"/>
              <w:right w:val="double" w:sz="6" w:space="0" w:color="A6A6A6"/>
            </w:tcBorders>
            <w:noWrap/>
            <w:vAlign w:val="center"/>
            <w:hideMark/>
          </w:tcPr>
          <w:p w14:paraId="0286308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5.513 </w:t>
            </w:r>
          </w:p>
        </w:tc>
      </w:tr>
      <w:tr w:rsidR="00335312" w:rsidRPr="00EE3E83" w14:paraId="65B509E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DC256A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S034</w:t>
            </w:r>
          </w:p>
        </w:tc>
        <w:tc>
          <w:tcPr>
            <w:tcW w:w="4923" w:type="dxa"/>
            <w:tcBorders>
              <w:top w:val="nil"/>
              <w:left w:val="nil"/>
              <w:bottom w:val="single" w:sz="8" w:space="0" w:color="A6A6A6"/>
              <w:right w:val="single" w:sz="8" w:space="0" w:color="A6A6A6"/>
            </w:tcBorders>
            <w:shd w:val="clear" w:color="000000" w:fill="DFF2D0"/>
            <w:vAlign w:val="center"/>
            <w:hideMark/>
          </w:tcPr>
          <w:p w14:paraId="438358C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STAZZANO -</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SERRAVALLE SCRIVIA</w:t>
            </w:r>
          </w:p>
        </w:tc>
        <w:tc>
          <w:tcPr>
            <w:tcW w:w="753" w:type="dxa"/>
            <w:tcBorders>
              <w:top w:val="nil"/>
              <w:left w:val="nil"/>
              <w:bottom w:val="single" w:sz="8" w:space="0" w:color="A6A6A6"/>
              <w:right w:val="single" w:sz="8" w:space="0" w:color="A6A6A6"/>
            </w:tcBorders>
            <w:shd w:val="clear" w:color="000000" w:fill="DFF2D0"/>
            <w:noWrap/>
            <w:vAlign w:val="center"/>
            <w:hideMark/>
          </w:tcPr>
          <w:p w14:paraId="20F28E4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1214" w:type="dxa"/>
            <w:tcBorders>
              <w:top w:val="nil"/>
              <w:left w:val="nil"/>
              <w:bottom w:val="single" w:sz="8" w:space="0" w:color="A6A6A6"/>
              <w:right w:val="single" w:sz="8" w:space="0" w:color="A6A6A6"/>
            </w:tcBorders>
            <w:shd w:val="clear" w:color="000000" w:fill="DFF2D0"/>
            <w:noWrap/>
            <w:vAlign w:val="center"/>
            <w:hideMark/>
          </w:tcPr>
          <w:p w14:paraId="144949E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4.361 </w:t>
            </w:r>
          </w:p>
        </w:tc>
        <w:tc>
          <w:tcPr>
            <w:tcW w:w="1202" w:type="dxa"/>
            <w:tcBorders>
              <w:top w:val="nil"/>
              <w:left w:val="nil"/>
              <w:bottom w:val="single" w:sz="8" w:space="0" w:color="A6A6A6"/>
              <w:right w:val="double" w:sz="6" w:space="0" w:color="A6A6A6"/>
            </w:tcBorders>
            <w:shd w:val="clear" w:color="000000" w:fill="DFF2D0"/>
            <w:noWrap/>
            <w:vAlign w:val="center"/>
            <w:hideMark/>
          </w:tcPr>
          <w:p w14:paraId="5AA421E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4.361 </w:t>
            </w:r>
          </w:p>
        </w:tc>
      </w:tr>
      <w:tr w:rsidR="00335312" w:rsidRPr="00EE3E83" w14:paraId="33E90324"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D4A009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S035</w:t>
            </w:r>
          </w:p>
        </w:tc>
        <w:tc>
          <w:tcPr>
            <w:tcW w:w="4923" w:type="dxa"/>
            <w:tcBorders>
              <w:top w:val="nil"/>
              <w:left w:val="nil"/>
              <w:bottom w:val="single" w:sz="8" w:space="0" w:color="A6A6A6"/>
              <w:right w:val="single" w:sz="8" w:space="0" w:color="A6A6A6"/>
            </w:tcBorders>
            <w:vAlign w:val="center"/>
            <w:hideMark/>
          </w:tcPr>
          <w:p w14:paraId="4B049B1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MORNESE TRAMONTANA - GAVI </w:t>
            </w:r>
          </w:p>
        </w:tc>
        <w:tc>
          <w:tcPr>
            <w:tcW w:w="753" w:type="dxa"/>
            <w:tcBorders>
              <w:top w:val="nil"/>
              <w:left w:val="nil"/>
              <w:bottom w:val="single" w:sz="8" w:space="0" w:color="A6A6A6"/>
              <w:right w:val="single" w:sz="8" w:space="0" w:color="A6A6A6"/>
            </w:tcBorders>
            <w:noWrap/>
            <w:vAlign w:val="center"/>
            <w:hideMark/>
          </w:tcPr>
          <w:p w14:paraId="0ABF525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66</w:t>
            </w:r>
          </w:p>
        </w:tc>
        <w:tc>
          <w:tcPr>
            <w:tcW w:w="1214" w:type="dxa"/>
            <w:tcBorders>
              <w:top w:val="nil"/>
              <w:left w:val="nil"/>
              <w:bottom w:val="single" w:sz="8" w:space="0" w:color="A6A6A6"/>
              <w:right w:val="single" w:sz="8" w:space="0" w:color="A6A6A6"/>
            </w:tcBorders>
            <w:noWrap/>
            <w:vAlign w:val="center"/>
            <w:hideMark/>
          </w:tcPr>
          <w:p w14:paraId="68C5E2C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65.235 </w:t>
            </w:r>
          </w:p>
        </w:tc>
        <w:tc>
          <w:tcPr>
            <w:tcW w:w="1202" w:type="dxa"/>
            <w:tcBorders>
              <w:top w:val="nil"/>
              <w:left w:val="nil"/>
              <w:bottom w:val="single" w:sz="8" w:space="0" w:color="A6A6A6"/>
              <w:right w:val="double" w:sz="6" w:space="0" w:color="A6A6A6"/>
            </w:tcBorders>
            <w:noWrap/>
            <w:vAlign w:val="center"/>
            <w:hideMark/>
          </w:tcPr>
          <w:p w14:paraId="0A993DE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65.235 </w:t>
            </w:r>
          </w:p>
        </w:tc>
      </w:tr>
      <w:tr w:rsidR="00335312" w:rsidRPr="00EE3E83" w14:paraId="225FE5FF"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D2A3A5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S036</w:t>
            </w:r>
          </w:p>
        </w:tc>
        <w:tc>
          <w:tcPr>
            <w:tcW w:w="4923" w:type="dxa"/>
            <w:tcBorders>
              <w:top w:val="nil"/>
              <w:left w:val="nil"/>
              <w:bottom w:val="single" w:sz="8" w:space="0" w:color="A6A6A6"/>
              <w:right w:val="single" w:sz="8" w:space="0" w:color="A6A6A6"/>
            </w:tcBorders>
            <w:shd w:val="clear" w:color="000000" w:fill="DFF2D0"/>
            <w:vAlign w:val="center"/>
            <w:hideMark/>
          </w:tcPr>
          <w:p w14:paraId="280D19A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GAVI - ARQUATA SCRIVIA - NOVI LIGURE</w:t>
            </w:r>
          </w:p>
        </w:tc>
        <w:tc>
          <w:tcPr>
            <w:tcW w:w="753" w:type="dxa"/>
            <w:tcBorders>
              <w:top w:val="nil"/>
              <w:left w:val="nil"/>
              <w:bottom w:val="single" w:sz="8" w:space="0" w:color="A6A6A6"/>
              <w:right w:val="single" w:sz="8" w:space="0" w:color="A6A6A6"/>
            </w:tcBorders>
            <w:shd w:val="clear" w:color="000000" w:fill="DFF2D0"/>
            <w:noWrap/>
            <w:vAlign w:val="center"/>
            <w:hideMark/>
          </w:tcPr>
          <w:p w14:paraId="199D49A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186</w:t>
            </w:r>
          </w:p>
        </w:tc>
        <w:tc>
          <w:tcPr>
            <w:tcW w:w="1214" w:type="dxa"/>
            <w:tcBorders>
              <w:top w:val="nil"/>
              <w:left w:val="nil"/>
              <w:bottom w:val="single" w:sz="8" w:space="0" w:color="A6A6A6"/>
              <w:right w:val="single" w:sz="8" w:space="0" w:color="A6A6A6"/>
            </w:tcBorders>
            <w:shd w:val="clear" w:color="000000" w:fill="DFF2D0"/>
            <w:noWrap/>
            <w:vAlign w:val="center"/>
            <w:hideMark/>
          </w:tcPr>
          <w:p w14:paraId="421E369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307.613 </w:t>
            </w:r>
          </w:p>
        </w:tc>
        <w:tc>
          <w:tcPr>
            <w:tcW w:w="1202" w:type="dxa"/>
            <w:tcBorders>
              <w:top w:val="nil"/>
              <w:left w:val="nil"/>
              <w:bottom w:val="single" w:sz="8" w:space="0" w:color="A6A6A6"/>
              <w:right w:val="double" w:sz="6" w:space="0" w:color="A6A6A6"/>
            </w:tcBorders>
            <w:shd w:val="clear" w:color="000000" w:fill="DFF2D0"/>
            <w:noWrap/>
            <w:vAlign w:val="center"/>
            <w:hideMark/>
          </w:tcPr>
          <w:p w14:paraId="1C2068C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307.613 </w:t>
            </w:r>
          </w:p>
        </w:tc>
      </w:tr>
      <w:tr w:rsidR="00335312" w:rsidRPr="00EE3E83" w14:paraId="46801A90"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407235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S037</w:t>
            </w:r>
          </w:p>
        </w:tc>
        <w:tc>
          <w:tcPr>
            <w:tcW w:w="4923" w:type="dxa"/>
            <w:tcBorders>
              <w:top w:val="nil"/>
              <w:left w:val="nil"/>
              <w:bottom w:val="single" w:sz="8" w:space="0" w:color="A6A6A6"/>
              <w:right w:val="single" w:sz="8" w:space="0" w:color="A6A6A6"/>
            </w:tcBorders>
            <w:vAlign w:val="center"/>
            <w:hideMark/>
          </w:tcPr>
          <w:p w14:paraId="30E42AF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ISOLA SANT'ANTONIO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TORTONA</w:t>
            </w:r>
          </w:p>
        </w:tc>
        <w:tc>
          <w:tcPr>
            <w:tcW w:w="753" w:type="dxa"/>
            <w:tcBorders>
              <w:top w:val="nil"/>
              <w:left w:val="nil"/>
              <w:bottom w:val="single" w:sz="8" w:space="0" w:color="A6A6A6"/>
              <w:right w:val="single" w:sz="8" w:space="0" w:color="A6A6A6"/>
            </w:tcBorders>
            <w:noWrap/>
            <w:vAlign w:val="center"/>
            <w:hideMark/>
          </w:tcPr>
          <w:p w14:paraId="3C51BF9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1214" w:type="dxa"/>
            <w:tcBorders>
              <w:top w:val="nil"/>
              <w:left w:val="nil"/>
              <w:bottom w:val="single" w:sz="8" w:space="0" w:color="A6A6A6"/>
              <w:right w:val="single" w:sz="8" w:space="0" w:color="A6A6A6"/>
            </w:tcBorders>
            <w:noWrap/>
            <w:vAlign w:val="center"/>
            <w:hideMark/>
          </w:tcPr>
          <w:p w14:paraId="2730E17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91.910 </w:t>
            </w:r>
          </w:p>
        </w:tc>
        <w:tc>
          <w:tcPr>
            <w:tcW w:w="1202" w:type="dxa"/>
            <w:tcBorders>
              <w:top w:val="nil"/>
              <w:left w:val="nil"/>
              <w:bottom w:val="single" w:sz="8" w:space="0" w:color="A6A6A6"/>
              <w:right w:val="double" w:sz="6" w:space="0" w:color="A6A6A6"/>
            </w:tcBorders>
            <w:noWrap/>
            <w:vAlign w:val="center"/>
            <w:hideMark/>
          </w:tcPr>
          <w:p w14:paraId="1946A6F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91.910 </w:t>
            </w:r>
          </w:p>
        </w:tc>
      </w:tr>
      <w:tr w:rsidR="00335312" w:rsidRPr="00EE3E83" w14:paraId="0931867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B87CF1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S037P</w:t>
            </w:r>
          </w:p>
        </w:tc>
        <w:tc>
          <w:tcPr>
            <w:tcW w:w="4923" w:type="dxa"/>
            <w:tcBorders>
              <w:top w:val="nil"/>
              <w:left w:val="nil"/>
              <w:bottom w:val="single" w:sz="8" w:space="0" w:color="A6A6A6"/>
              <w:right w:val="single" w:sz="8" w:space="0" w:color="A6A6A6"/>
            </w:tcBorders>
            <w:shd w:val="clear" w:color="000000" w:fill="DFF2D0"/>
            <w:vAlign w:val="center"/>
            <w:hideMark/>
          </w:tcPr>
          <w:p w14:paraId="641FA75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SALE - PONTECURONE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TORTONA</w:t>
            </w:r>
          </w:p>
        </w:tc>
        <w:tc>
          <w:tcPr>
            <w:tcW w:w="753" w:type="dxa"/>
            <w:tcBorders>
              <w:top w:val="nil"/>
              <w:left w:val="nil"/>
              <w:bottom w:val="single" w:sz="8" w:space="0" w:color="A6A6A6"/>
              <w:right w:val="single" w:sz="8" w:space="0" w:color="A6A6A6"/>
            </w:tcBorders>
            <w:shd w:val="clear" w:color="000000" w:fill="DFF2D0"/>
            <w:noWrap/>
            <w:vAlign w:val="center"/>
            <w:hideMark/>
          </w:tcPr>
          <w:p w14:paraId="2D6307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w:t>
            </w:r>
          </w:p>
        </w:tc>
        <w:tc>
          <w:tcPr>
            <w:tcW w:w="1214" w:type="dxa"/>
            <w:tcBorders>
              <w:top w:val="nil"/>
              <w:left w:val="nil"/>
              <w:bottom w:val="single" w:sz="8" w:space="0" w:color="A6A6A6"/>
              <w:right w:val="single" w:sz="8" w:space="0" w:color="A6A6A6"/>
            </w:tcBorders>
            <w:shd w:val="clear" w:color="000000" w:fill="DFF2D0"/>
            <w:noWrap/>
            <w:vAlign w:val="center"/>
            <w:hideMark/>
          </w:tcPr>
          <w:p w14:paraId="4B20A62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13.728 </w:t>
            </w:r>
          </w:p>
        </w:tc>
        <w:tc>
          <w:tcPr>
            <w:tcW w:w="1202" w:type="dxa"/>
            <w:tcBorders>
              <w:top w:val="nil"/>
              <w:left w:val="nil"/>
              <w:bottom w:val="single" w:sz="8" w:space="0" w:color="A6A6A6"/>
              <w:right w:val="double" w:sz="6" w:space="0" w:color="A6A6A6"/>
            </w:tcBorders>
            <w:shd w:val="clear" w:color="000000" w:fill="DFF2D0"/>
            <w:noWrap/>
            <w:vAlign w:val="center"/>
            <w:hideMark/>
          </w:tcPr>
          <w:p w14:paraId="3E922F6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13.728 </w:t>
            </w:r>
          </w:p>
        </w:tc>
      </w:tr>
      <w:tr w:rsidR="00335312" w:rsidRPr="00EE3E83" w14:paraId="618D0164"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BFF78D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S038</w:t>
            </w:r>
          </w:p>
        </w:tc>
        <w:tc>
          <w:tcPr>
            <w:tcW w:w="4923" w:type="dxa"/>
            <w:tcBorders>
              <w:top w:val="nil"/>
              <w:left w:val="nil"/>
              <w:bottom w:val="single" w:sz="8" w:space="0" w:color="A6A6A6"/>
              <w:right w:val="single" w:sz="8" w:space="0" w:color="A6A6A6"/>
            </w:tcBorders>
            <w:vAlign w:val="center"/>
            <w:hideMark/>
          </w:tcPr>
          <w:p w14:paraId="22CB972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BUSALLA MOLINI FRANCONALTO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GAVI</w:t>
            </w:r>
          </w:p>
        </w:tc>
        <w:tc>
          <w:tcPr>
            <w:tcW w:w="753" w:type="dxa"/>
            <w:tcBorders>
              <w:top w:val="nil"/>
              <w:left w:val="nil"/>
              <w:bottom w:val="single" w:sz="8" w:space="0" w:color="A6A6A6"/>
              <w:right w:val="single" w:sz="8" w:space="0" w:color="A6A6A6"/>
            </w:tcBorders>
            <w:noWrap/>
            <w:vAlign w:val="center"/>
            <w:hideMark/>
          </w:tcPr>
          <w:p w14:paraId="7771FB0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59</w:t>
            </w:r>
          </w:p>
        </w:tc>
        <w:tc>
          <w:tcPr>
            <w:tcW w:w="1214" w:type="dxa"/>
            <w:tcBorders>
              <w:top w:val="nil"/>
              <w:left w:val="nil"/>
              <w:bottom w:val="single" w:sz="8" w:space="0" w:color="A6A6A6"/>
              <w:right w:val="single" w:sz="8" w:space="0" w:color="A6A6A6"/>
            </w:tcBorders>
            <w:noWrap/>
            <w:vAlign w:val="center"/>
            <w:hideMark/>
          </w:tcPr>
          <w:p w14:paraId="6AB8D35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104.859 </w:t>
            </w:r>
          </w:p>
        </w:tc>
        <w:tc>
          <w:tcPr>
            <w:tcW w:w="1202" w:type="dxa"/>
            <w:tcBorders>
              <w:top w:val="nil"/>
              <w:left w:val="nil"/>
              <w:bottom w:val="single" w:sz="8" w:space="0" w:color="A6A6A6"/>
              <w:right w:val="double" w:sz="6" w:space="0" w:color="A6A6A6"/>
            </w:tcBorders>
            <w:noWrap/>
            <w:vAlign w:val="center"/>
            <w:hideMark/>
          </w:tcPr>
          <w:p w14:paraId="4F8FFA9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104.859 </w:t>
            </w:r>
          </w:p>
        </w:tc>
      </w:tr>
      <w:tr w:rsidR="00335312" w:rsidRPr="00EE3E83" w14:paraId="00F3CA6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97B3C4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S039</w:t>
            </w:r>
          </w:p>
        </w:tc>
        <w:tc>
          <w:tcPr>
            <w:tcW w:w="4923" w:type="dxa"/>
            <w:tcBorders>
              <w:top w:val="nil"/>
              <w:left w:val="nil"/>
              <w:bottom w:val="single" w:sz="8" w:space="0" w:color="A6A6A6"/>
              <w:right w:val="single" w:sz="8" w:space="0" w:color="A6A6A6"/>
            </w:tcBorders>
            <w:shd w:val="clear" w:color="000000" w:fill="DFF2D0"/>
            <w:vAlign w:val="center"/>
            <w:hideMark/>
          </w:tcPr>
          <w:p w14:paraId="07C57A8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NOVI LIGURE - GAVI - FRANCAVILLA BISIO</w:t>
            </w:r>
          </w:p>
        </w:tc>
        <w:tc>
          <w:tcPr>
            <w:tcW w:w="753" w:type="dxa"/>
            <w:tcBorders>
              <w:top w:val="nil"/>
              <w:left w:val="nil"/>
              <w:bottom w:val="single" w:sz="8" w:space="0" w:color="A6A6A6"/>
              <w:right w:val="single" w:sz="8" w:space="0" w:color="A6A6A6"/>
            </w:tcBorders>
            <w:shd w:val="clear" w:color="000000" w:fill="DFF2D0"/>
            <w:noWrap/>
            <w:vAlign w:val="center"/>
            <w:hideMark/>
          </w:tcPr>
          <w:p w14:paraId="3DF9EF4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38</w:t>
            </w:r>
          </w:p>
        </w:tc>
        <w:tc>
          <w:tcPr>
            <w:tcW w:w="1214" w:type="dxa"/>
            <w:tcBorders>
              <w:top w:val="nil"/>
              <w:left w:val="nil"/>
              <w:bottom w:val="single" w:sz="8" w:space="0" w:color="A6A6A6"/>
              <w:right w:val="single" w:sz="8" w:space="0" w:color="A6A6A6"/>
            </w:tcBorders>
            <w:shd w:val="clear" w:color="000000" w:fill="DFF2D0"/>
            <w:noWrap/>
            <w:vAlign w:val="center"/>
            <w:hideMark/>
          </w:tcPr>
          <w:p w14:paraId="385E0C2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60.955 </w:t>
            </w:r>
          </w:p>
        </w:tc>
        <w:tc>
          <w:tcPr>
            <w:tcW w:w="1202" w:type="dxa"/>
            <w:tcBorders>
              <w:top w:val="nil"/>
              <w:left w:val="nil"/>
              <w:bottom w:val="single" w:sz="8" w:space="0" w:color="A6A6A6"/>
              <w:right w:val="double" w:sz="6" w:space="0" w:color="A6A6A6"/>
            </w:tcBorders>
            <w:shd w:val="clear" w:color="000000" w:fill="DFF2D0"/>
            <w:noWrap/>
            <w:vAlign w:val="center"/>
            <w:hideMark/>
          </w:tcPr>
          <w:p w14:paraId="0B0604D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60.955 </w:t>
            </w:r>
          </w:p>
        </w:tc>
      </w:tr>
      <w:tr w:rsidR="00335312" w:rsidRPr="00EE3E83" w14:paraId="31A0A176"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3A88A4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S040</w:t>
            </w:r>
          </w:p>
        </w:tc>
        <w:tc>
          <w:tcPr>
            <w:tcW w:w="4923" w:type="dxa"/>
            <w:tcBorders>
              <w:top w:val="nil"/>
              <w:left w:val="nil"/>
              <w:bottom w:val="single" w:sz="8" w:space="0" w:color="A6A6A6"/>
              <w:right w:val="single" w:sz="8" w:space="0" w:color="A6A6A6"/>
            </w:tcBorders>
            <w:vAlign w:val="center"/>
            <w:hideMark/>
          </w:tcPr>
          <w:p w14:paraId="13CE0D8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FABBRICA CURONE - TORTONA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noWrap/>
            <w:vAlign w:val="center"/>
            <w:hideMark/>
          </w:tcPr>
          <w:p w14:paraId="62EAC94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45</w:t>
            </w:r>
          </w:p>
        </w:tc>
        <w:tc>
          <w:tcPr>
            <w:tcW w:w="1214" w:type="dxa"/>
            <w:tcBorders>
              <w:top w:val="nil"/>
              <w:left w:val="nil"/>
              <w:bottom w:val="single" w:sz="8" w:space="0" w:color="A6A6A6"/>
              <w:right w:val="single" w:sz="8" w:space="0" w:color="A6A6A6"/>
            </w:tcBorders>
            <w:noWrap/>
            <w:vAlign w:val="center"/>
            <w:hideMark/>
          </w:tcPr>
          <w:p w14:paraId="643986D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226.849 </w:t>
            </w:r>
          </w:p>
        </w:tc>
        <w:tc>
          <w:tcPr>
            <w:tcW w:w="1202" w:type="dxa"/>
            <w:tcBorders>
              <w:top w:val="nil"/>
              <w:left w:val="nil"/>
              <w:bottom w:val="single" w:sz="8" w:space="0" w:color="A6A6A6"/>
              <w:right w:val="double" w:sz="6" w:space="0" w:color="A6A6A6"/>
            </w:tcBorders>
            <w:noWrap/>
            <w:vAlign w:val="center"/>
            <w:hideMark/>
          </w:tcPr>
          <w:p w14:paraId="0DF6016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226.849 </w:t>
            </w:r>
          </w:p>
        </w:tc>
      </w:tr>
      <w:tr w:rsidR="00335312" w:rsidRPr="00EE3E83" w14:paraId="41FF2B0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A5F0BE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S040C</w:t>
            </w:r>
          </w:p>
        </w:tc>
        <w:tc>
          <w:tcPr>
            <w:tcW w:w="4923" w:type="dxa"/>
            <w:tcBorders>
              <w:top w:val="nil"/>
              <w:left w:val="nil"/>
              <w:bottom w:val="single" w:sz="8" w:space="0" w:color="A6A6A6"/>
              <w:right w:val="single" w:sz="8" w:space="0" w:color="A6A6A6"/>
            </w:tcBorders>
            <w:shd w:val="clear" w:color="000000" w:fill="DFF2D0"/>
            <w:vAlign w:val="center"/>
            <w:hideMark/>
          </w:tcPr>
          <w:p w14:paraId="2B5957B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SALOGNI - SAN SEBASTIANO CURONE</w:t>
            </w:r>
          </w:p>
        </w:tc>
        <w:tc>
          <w:tcPr>
            <w:tcW w:w="753" w:type="dxa"/>
            <w:tcBorders>
              <w:top w:val="nil"/>
              <w:left w:val="nil"/>
              <w:bottom w:val="single" w:sz="8" w:space="0" w:color="A6A6A6"/>
              <w:right w:val="single" w:sz="8" w:space="0" w:color="A6A6A6"/>
            </w:tcBorders>
            <w:shd w:val="clear" w:color="000000" w:fill="DFF2D0"/>
            <w:noWrap/>
            <w:vAlign w:val="center"/>
            <w:hideMark/>
          </w:tcPr>
          <w:p w14:paraId="1D85FDF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shd w:val="clear" w:color="000000" w:fill="DFF2D0"/>
            <w:noWrap/>
            <w:vAlign w:val="center"/>
            <w:hideMark/>
          </w:tcPr>
          <w:p w14:paraId="386DA0D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17.907 </w:t>
            </w:r>
          </w:p>
        </w:tc>
        <w:tc>
          <w:tcPr>
            <w:tcW w:w="1202" w:type="dxa"/>
            <w:tcBorders>
              <w:top w:val="nil"/>
              <w:left w:val="nil"/>
              <w:bottom w:val="single" w:sz="8" w:space="0" w:color="A6A6A6"/>
              <w:right w:val="double" w:sz="6" w:space="0" w:color="A6A6A6"/>
            </w:tcBorders>
            <w:shd w:val="clear" w:color="000000" w:fill="DFF2D0"/>
            <w:noWrap/>
            <w:vAlign w:val="center"/>
            <w:hideMark/>
          </w:tcPr>
          <w:p w14:paraId="60C007F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17.907 </w:t>
            </w:r>
          </w:p>
        </w:tc>
      </w:tr>
      <w:tr w:rsidR="00335312" w:rsidRPr="00EE3E83" w14:paraId="21D3AF5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521CB1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S041</w:t>
            </w:r>
          </w:p>
        </w:tc>
        <w:tc>
          <w:tcPr>
            <w:tcW w:w="4923" w:type="dxa"/>
            <w:tcBorders>
              <w:top w:val="nil"/>
              <w:left w:val="nil"/>
              <w:bottom w:val="single" w:sz="8" w:space="0" w:color="A6A6A6"/>
              <w:right w:val="single" w:sz="8" w:space="0" w:color="A6A6A6"/>
            </w:tcBorders>
            <w:vAlign w:val="center"/>
            <w:hideMark/>
          </w:tcPr>
          <w:p w14:paraId="2C79D3C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AVOLASCA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TORTONA</w:t>
            </w:r>
          </w:p>
        </w:tc>
        <w:tc>
          <w:tcPr>
            <w:tcW w:w="753" w:type="dxa"/>
            <w:tcBorders>
              <w:top w:val="nil"/>
              <w:left w:val="nil"/>
              <w:bottom w:val="single" w:sz="8" w:space="0" w:color="A6A6A6"/>
              <w:right w:val="single" w:sz="8" w:space="0" w:color="A6A6A6"/>
            </w:tcBorders>
            <w:noWrap/>
            <w:vAlign w:val="center"/>
            <w:hideMark/>
          </w:tcPr>
          <w:p w14:paraId="58BE54A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noWrap/>
            <w:vAlign w:val="center"/>
            <w:hideMark/>
          </w:tcPr>
          <w:p w14:paraId="18C18E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28.783 </w:t>
            </w:r>
          </w:p>
        </w:tc>
        <w:tc>
          <w:tcPr>
            <w:tcW w:w="1202" w:type="dxa"/>
            <w:tcBorders>
              <w:top w:val="nil"/>
              <w:left w:val="nil"/>
              <w:bottom w:val="single" w:sz="8" w:space="0" w:color="A6A6A6"/>
              <w:right w:val="double" w:sz="6" w:space="0" w:color="A6A6A6"/>
            </w:tcBorders>
            <w:noWrap/>
            <w:vAlign w:val="center"/>
            <w:hideMark/>
          </w:tcPr>
          <w:p w14:paraId="548232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28.783 </w:t>
            </w:r>
          </w:p>
        </w:tc>
      </w:tr>
      <w:tr w:rsidR="00335312" w:rsidRPr="00EE3E83" w14:paraId="4F8B15C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0F9AED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S042</w:t>
            </w:r>
          </w:p>
        </w:tc>
        <w:tc>
          <w:tcPr>
            <w:tcW w:w="4923" w:type="dxa"/>
            <w:tcBorders>
              <w:top w:val="nil"/>
              <w:left w:val="nil"/>
              <w:bottom w:val="single" w:sz="8" w:space="0" w:color="A6A6A6"/>
              <w:right w:val="single" w:sz="8" w:space="0" w:color="A6A6A6"/>
            </w:tcBorders>
            <w:shd w:val="clear" w:color="000000" w:fill="DFF2D0"/>
            <w:vAlign w:val="center"/>
            <w:hideMark/>
          </w:tcPr>
          <w:p w14:paraId="15B51D9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SARIZZOLA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TORTONA</w:t>
            </w:r>
          </w:p>
        </w:tc>
        <w:tc>
          <w:tcPr>
            <w:tcW w:w="753" w:type="dxa"/>
            <w:tcBorders>
              <w:top w:val="nil"/>
              <w:left w:val="nil"/>
              <w:bottom w:val="single" w:sz="8" w:space="0" w:color="A6A6A6"/>
              <w:right w:val="single" w:sz="8" w:space="0" w:color="A6A6A6"/>
            </w:tcBorders>
            <w:shd w:val="clear" w:color="000000" w:fill="DFF2D0"/>
            <w:noWrap/>
            <w:vAlign w:val="center"/>
            <w:hideMark/>
          </w:tcPr>
          <w:p w14:paraId="603DC9A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w:t>
            </w:r>
          </w:p>
        </w:tc>
        <w:tc>
          <w:tcPr>
            <w:tcW w:w="1214" w:type="dxa"/>
            <w:tcBorders>
              <w:top w:val="nil"/>
              <w:left w:val="nil"/>
              <w:bottom w:val="single" w:sz="8" w:space="0" w:color="A6A6A6"/>
              <w:right w:val="single" w:sz="8" w:space="0" w:color="A6A6A6"/>
            </w:tcBorders>
            <w:shd w:val="clear" w:color="000000" w:fill="DFF2D0"/>
            <w:noWrap/>
            <w:vAlign w:val="center"/>
            <w:hideMark/>
          </w:tcPr>
          <w:p w14:paraId="3D6DFFA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27.632 </w:t>
            </w:r>
          </w:p>
        </w:tc>
        <w:tc>
          <w:tcPr>
            <w:tcW w:w="1202" w:type="dxa"/>
            <w:tcBorders>
              <w:top w:val="nil"/>
              <w:left w:val="nil"/>
              <w:bottom w:val="single" w:sz="8" w:space="0" w:color="A6A6A6"/>
              <w:right w:val="double" w:sz="6" w:space="0" w:color="A6A6A6"/>
            </w:tcBorders>
            <w:shd w:val="clear" w:color="000000" w:fill="DFF2D0"/>
            <w:noWrap/>
            <w:vAlign w:val="center"/>
            <w:hideMark/>
          </w:tcPr>
          <w:p w14:paraId="3FF5B0C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27.632 </w:t>
            </w:r>
          </w:p>
        </w:tc>
      </w:tr>
      <w:tr w:rsidR="00335312" w:rsidRPr="00EE3E83" w14:paraId="08A512A1"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5CF9DE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S044</w:t>
            </w:r>
          </w:p>
        </w:tc>
        <w:tc>
          <w:tcPr>
            <w:tcW w:w="4923" w:type="dxa"/>
            <w:tcBorders>
              <w:top w:val="nil"/>
              <w:left w:val="nil"/>
              <w:bottom w:val="single" w:sz="8" w:space="0" w:color="A6A6A6"/>
              <w:right w:val="single" w:sz="8" w:space="0" w:color="A6A6A6"/>
            </w:tcBorders>
            <w:vAlign w:val="center"/>
            <w:hideMark/>
          </w:tcPr>
          <w:p w14:paraId="28E9979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ALTAVILLA MORETTA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FRANCHINI</w:t>
            </w:r>
          </w:p>
        </w:tc>
        <w:tc>
          <w:tcPr>
            <w:tcW w:w="753" w:type="dxa"/>
            <w:tcBorders>
              <w:top w:val="nil"/>
              <w:left w:val="nil"/>
              <w:bottom w:val="single" w:sz="8" w:space="0" w:color="A6A6A6"/>
              <w:right w:val="single" w:sz="8" w:space="0" w:color="A6A6A6"/>
            </w:tcBorders>
            <w:noWrap/>
            <w:vAlign w:val="center"/>
            <w:hideMark/>
          </w:tcPr>
          <w:p w14:paraId="246A1CB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noWrap/>
            <w:vAlign w:val="center"/>
            <w:hideMark/>
          </w:tcPr>
          <w:p w14:paraId="15DC07D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4.264 </w:t>
            </w:r>
          </w:p>
        </w:tc>
        <w:tc>
          <w:tcPr>
            <w:tcW w:w="1202" w:type="dxa"/>
            <w:tcBorders>
              <w:top w:val="nil"/>
              <w:left w:val="nil"/>
              <w:bottom w:val="single" w:sz="8" w:space="0" w:color="A6A6A6"/>
              <w:right w:val="double" w:sz="6" w:space="0" w:color="A6A6A6"/>
            </w:tcBorders>
            <w:noWrap/>
            <w:vAlign w:val="center"/>
            <w:hideMark/>
          </w:tcPr>
          <w:p w14:paraId="3525DD3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4.264 </w:t>
            </w:r>
          </w:p>
        </w:tc>
      </w:tr>
      <w:tr w:rsidR="00335312" w:rsidRPr="00EE3E83" w14:paraId="1EFE4B5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FC8571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S045</w:t>
            </w:r>
          </w:p>
        </w:tc>
        <w:tc>
          <w:tcPr>
            <w:tcW w:w="4923" w:type="dxa"/>
            <w:tcBorders>
              <w:top w:val="nil"/>
              <w:left w:val="nil"/>
              <w:bottom w:val="single" w:sz="8" w:space="0" w:color="A6A6A6"/>
              <w:right w:val="single" w:sz="8" w:space="0" w:color="A6A6A6"/>
            </w:tcBorders>
            <w:shd w:val="clear" w:color="000000" w:fill="DFF2D0"/>
            <w:vAlign w:val="center"/>
            <w:hideMark/>
          </w:tcPr>
          <w:p w14:paraId="03C12A4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ALTAVILLA MORETTA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shd w:val="clear" w:color="000000" w:fill="DFF2D0"/>
            <w:noWrap/>
            <w:vAlign w:val="center"/>
            <w:hideMark/>
          </w:tcPr>
          <w:p w14:paraId="2480A0D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14</w:t>
            </w:r>
          </w:p>
        </w:tc>
        <w:tc>
          <w:tcPr>
            <w:tcW w:w="1214" w:type="dxa"/>
            <w:tcBorders>
              <w:top w:val="nil"/>
              <w:left w:val="nil"/>
              <w:bottom w:val="single" w:sz="8" w:space="0" w:color="A6A6A6"/>
              <w:right w:val="single" w:sz="8" w:space="0" w:color="A6A6A6"/>
            </w:tcBorders>
            <w:shd w:val="clear" w:color="000000" w:fill="DFF2D0"/>
            <w:noWrap/>
            <w:vAlign w:val="center"/>
            <w:hideMark/>
          </w:tcPr>
          <w:p w14:paraId="75A836C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78.588 </w:t>
            </w:r>
          </w:p>
        </w:tc>
        <w:tc>
          <w:tcPr>
            <w:tcW w:w="1202" w:type="dxa"/>
            <w:tcBorders>
              <w:top w:val="nil"/>
              <w:left w:val="nil"/>
              <w:bottom w:val="single" w:sz="8" w:space="0" w:color="A6A6A6"/>
              <w:right w:val="double" w:sz="6" w:space="0" w:color="A6A6A6"/>
            </w:tcBorders>
            <w:shd w:val="clear" w:color="000000" w:fill="DFF2D0"/>
            <w:noWrap/>
            <w:vAlign w:val="center"/>
            <w:hideMark/>
          </w:tcPr>
          <w:p w14:paraId="514A006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78.588 </w:t>
            </w:r>
          </w:p>
        </w:tc>
      </w:tr>
      <w:tr w:rsidR="00335312" w:rsidRPr="00EE3E83" w14:paraId="6BBFB3F5"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C9DB70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S049</w:t>
            </w:r>
          </w:p>
        </w:tc>
        <w:tc>
          <w:tcPr>
            <w:tcW w:w="4923" w:type="dxa"/>
            <w:tcBorders>
              <w:top w:val="nil"/>
              <w:left w:val="nil"/>
              <w:bottom w:val="single" w:sz="8" w:space="0" w:color="A6A6A6"/>
              <w:right w:val="single" w:sz="8" w:space="0" w:color="A6A6A6"/>
            </w:tcBorders>
            <w:vAlign w:val="center"/>
            <w:hideMark/>
          </w:tcPr>
          <w:p w14:paraId="698360A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ALTAVILLA MORETTA - CASALE MONFERRATO</w:t>
            </w:r>
          </w:p>
        </w:tc>
        <w:tc>
          <w:tcPr>
            <w:tcW w:w="753" w:type="dxa"/>
            <w:tcBorders>
              <w:top w:val="nil"/>
              <w:left w:val="nil"/>
              <w:bottom w:val="single" w:sz="8" w:space="0" w:color="A6A6A6"/>
              <w:right w:val="single" w:sz="8" w:space="0" w:color="A6A6A6"/>
            </w:tcBorders>
            <w:noWrap/>
            <w:vAlign w:val="center"/>
            <w:hideMark/>
          </w:tcPr>
          <w:p w14:paraId="701EFF9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24</w:t>
            </w:r>
          </w:p>
        </w:tc>
        <w:tc>
          <w:tcPr>
            <w:tcW w:w="1214" w:type="dxa"/>
            <w:tcBorders>
              <w:top w:val="nil"/>
              <w:left w:val="nil"/>
              <w:bottom w:val="single" w:sz="8" w:space="0" w:color="A6A6A6"/>
              <w:right w:val="single" w:sz="8" w:space="0" w:color="A6A6A6"/>
            </w:tcBorders>
            <w:noWrap/>
            <w:vAlign w:val="center"/>
            <w:hideMark/>
          </w:tcPr>
          <w:p w14:paraId="703F39E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79.885 </w:t>
            </w:r>
          </w:p>
        </w:tc>
        <w:tc>
          <w:tcPr>
            <w:tcW w:w="1202" w:type="dxa"/>
            <w:tcBorders>
              <w:top w:val="nil"/>
              <w:left w:val="nil"/>
              <w:bottom w:val="single" w:sz="8" w:space="0" w:color="A6A6A6"/>
              <w:right w:val="double" w:sz="6" w:space="0" w:color="A6A6A6"/>
            </w:tcBorders>
            <w:noWrap/>
            <w:vAlign w:val="center"/>
            <w:hideMark/>
          </w:tcPr>
          <w:p w14:paraId="449D909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79.885 </w:t>
            </w:r>
          </w:p>
        </w:tc>
      </w:tr>
      <w:tr w:rsidR="00335312" w:rsidRPr="00EE3E83" w14:paraId="048AE3C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467C16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S058</w:t>
            </w:r>
          </w:p>
        </w:tc>
        <w:tc>
          <w:tcPr>
            <w:tcW w:w="4923" w:type="dxa"/>
            <w:tcBorders>
              <w:top w:val="nil"/>
              <w:left w:val="nil"/>
              <w:bottom w:val="single" w:sz="8" w:space="0" w:color="A6A6A6"/>
              <w:right w:val="single" w:sz="8" w:space="0" w:color="A6A6A6"/>
            </w:tcBorders>
            <w:shd w:val="clear" w:color="000000" w:fill="DFF2D0"/>
            <w:vAlign w:val="center"/>
            <w:hideMark/>
          </w:tcPr>
          <w:p w14:paraId="0B74638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ARQUATA SCRIVIA - SPINETTA MARENGO STABILIMENTI</w:t>
            </w:r>
          </w:p>
        </w:tc>
        <w:tc>
          <w:tcPr>
            <w:tcW w:w="753" w:type="dxa"/>
            <w:tcBorders>
              <w:top w:val="nil"/>
              <w:left w:val="nil"/>
              <w:bottom w:val="single" w:sz="8" w:space="0" w:color="A6A6A6"/>
              <w:right w:val="single" w:sz="8" w:space="0" w:color="A6A6A6"/>
            </w:tcBorders>
            <w:shd w:val="clear" w:color="000000" w:fill="DFF2D0"/>
            <w:noWrap/>
            <w:vAlign w:val="center"/>
            <w:hideMark/>
          </w:tcPr>
          <w:p w14:paraId="0B1A8E8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1214" w:type="dxa"/>
            <w:tcBorders>
              <w:top w:val="nil"/>
              <w:left w:val="nil"/>
              <w:bottom w:val="single" w:sz="8" w:space="0" w:color="A6A6A6"/>
              <w:right w:val="single" w:sz="8" w:space="0" w:color="A6A6A6"/>
            </w:tcBorders>
            <w:shd w:val="clear" w:color="000000" w:fill="DFF2D0"/>
            <w:noWrap/>
            <w:vAlign w:val="center"/>
            <w:hideMark/>
          </w:tcPr>
          <w:p w14:paraId="14DAA72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1.198 </w:t>
            </w:r>
          </w:p>
        </w:tc>
        <w:tc>
          <w:tcPr>
            <w:tcW w:w="1202" w:type="dxa"/>
            <w:tcBorders>
              <w:top w:val="nil"/>
              <w:left w:val="nil"/>
              <w:bottom w:val="single" w:sz="8" w:space="0" w:color="A6A6A6"/>
              <w:right w:val="double" w:sz="6" w:space="0" w:color="A6A6A6"/>
            </w:tcBorders>
            <w:shd w:val="clear" w:color="000000" w:fill="DFF2D0"/>
            <w:noWrap/>
            <w:vAlign w:val="center"/>
            <w:hideMark/>
          </w:tcPr>
          <w:p w14:paraId="234AB83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1.198 </w:t>
            </w:r>
          </w:p>
        </w:tc>
      </w:tr>
      <w:tr w:rsidR="00335312" w:rsidRPr="00EE3E83" w14:paraId="102C0AA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F5177E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S059</w:t>
            </w:r>
          </w:p>
        </w:tc>
        <w:tc>
          <w:tcPr>
            <w:tcW w:w="4923" w:type="dxa"/>
            <w:tcBorders>
              <w:top w:val="nil"/>
              <w:left w:val="nil"/>
              <w:bottom w:val="single" w:sz="8" w:space="0" w:color="A6A6A6"/>
              <w:right w:val="single" w:sz="8" w:space="0" w:color="A6A6A6"/>
            </w:tcBorders>
            <w:vAlign w:val="center"/>
            <w:hideMark/>
          </w:tcPr>
          <w:p w14:paraId="5370AEC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LERMA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CASTELLETTO</w:t>
            </w:r>
          </w:p>
        </w:tc>
        <w:tc>
          <w:tcPr>
            <w:tcW w:w="753" w:type="dxa"/>
            <w:tcBorders>
              <w:top w:val="nil"/>
              <w:left w:val="nil"/>
              <w:bottom w:val="single" w:sz="8" w:space="0" w:color="A6A6A6"/>
              <w:right w:val="single" w:sz="8" w:space="0" w:color="A6A6A6"/>
            </w:tcBorders>
            <w:noWrap/>
            <w:vAlign w:val="center"/>
            <w:hideMark/>
          </w:tcPr>
          <w:p w14:paraId="24ED0EE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1214" w:type="dxa"/>
            <w:tcBorders>
              <w:top w:val="nil"/>
              <w:left w:val="nil"/>
              <w:bottom w:val="single" w:sz="8" w:space="0" w:color="A6A6A6"/>
              <w:right w:val="single" w:sz="8" w:space="0" w:color="A6A6A6"/>
            </w:tcBorders>
            <w:noWrap/>
            <w:vAlign w:val="center"/>
            <w:hideMark/>
          </w:tcPr>
          <w:p w14:paraId="3561D09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3.933 </w:t>
            </w:r>
          </w:p>
        </w:tc>
        <w:tc>
          <w:tcPr>
            <w:tcW w:w="1202" w:type="dxa"/>
            <w:tcBorders>
              <w:top w:val="nil"/>
              <w:left w:val="nil"/>
              <w:bottom w:val="single" w:sz="8" w:space="0" w:color="A6A6A6"/>
              <w:right w:val="double" w:sz="6" w:space="0" w:color="A6A6A6"/>
            </w:tcBorders>
            <w:noWrap/>
            <w:vAlign w:val="center"/>
            <w:hideMark/>
          </w:tcPr>
          <w:p w14:paraId="048C29C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3.933 </w:t>
            </w:r>
          </w:p>
        </w:tc>
      </w:tr>
      <w:tr w:rsidR="00335312" w:rsidRPr="00EE3E83" w14:paraId="7A234F1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4A2054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S060</w:t>
            </w:r>
          </w:p>
        </w:tc>
        <w:tc>
          <w:tcPr>
            <w:tcW w:w="4923" w:type="dxa"/>
            <w:tcBorders>
              <w:top w:val="nil"/>
              <w:left w:val="nil"/>
              <w:bottom w:val="single" w:sz="8" w:space="0" w:color="A6A6A6"/>
              <w:right w:val="single" w:sz="8" w:space="0" w:color="A6A6A6"/>
            </w:tcBorders>
            <w:shd w:val="clear" w:color="000000" w:fill="DFF2D0"/>
            <w:vAlign w:val="center"/>
            <w:hideMark/>
          </w:tcPr>
          <w:p w14:paraId="56B0853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 ACQUI TERME</w:t>
            </w:r>
          </w:p>
        </w:tc>
        <w:tc>
          <w:tcPr>
            <w:tcW w:w="753" w:type="dxa"/>
            <w:tcBorders>
              <w:top w:val="nil"/>
              <w:left w:val="nil"/>
              <w:bottom w:val="single" w:sz="8" w:space="0" w:color="A6A6A6"/>
              <w:right w:val="single" w:sz="8" w:space="0" w:color="A6A6A6"/>
            </w:tcBorders>
            <w:shd w:val="clear" w:color="000000" w:fill="DFF2D0"/>
            <w:noWrap/>
            <w:vAlign w:val="center"/>
            <w:hideMark/>
          </w:tcPr>
          <w:p w14:paraId="4CF3CA2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1214" w:type="dxa"/>
            <w:tcBorders>
              <w:top w:val="nil"/>
              <w:left w:val="nil"/>
              <w:bottom w:val="single" w:sz="8" w:space="0" w:color="A6A6A6"/>
              <w:right w:val="single" w:sz="8" w:space="0" w:color="A6A6A6"/>
            </w:tcBorders>
            <w:shd w:val="clear" w:color="000000" w:fill="DFF2D0"/>
            <w:noWrap/>
            <w:vAlign w:val="center"/>
            <w:hideMark/>
          </w:tcPr>
          <w:p w14:paraId="3F9F09F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33.293 </w:t>
            </w:r>
          </w:p>
        </w:tc>
        <w:tc>
          <w:tcPr>
            <w:tcW w:w="1202" w:type="dxa"/>
            <w:tcBorders>
              <w:top w:val="nil"/>
              <w:left w:val="nil"/>
              <w:bottom w:val="single" w:sz="8" w:space="0" w:color="A6A6A6"/>
              <w:right w:val="double" w:sz="6" w:space="0" w:color="A6A6A6"/>
            </w:tcBorders>
            <w:shd w:val="clear" w:color="000000" w:fill="DFF2D0"/>
            <w:noWrap/>
            <w:vAlign w:val="center"/>
            <w:hideMark/>
          </w:tcPr>
          <w:p w14:paraId="534E33B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33.293 </w:t>
            </w:r>
          </w:p>
        </w:tc>
      </w:tr>
      <w:tr w:rsidR="00335312" w:rsidRPr="00EE3E83" w14:paraId="294B6F8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79E347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S061</w:t>
            </w:r>
          </w:p>
        </w:tc>
        <w:tc>
          <w:tcPr>
            <w:tcW w:w="4923" w:type="dxa"/>
            <w:tcBorders>
              <w:top w:val="nil"/>
              <w:left w:val="nil"/>
              <w:bottom w:val="single" w:sz="8" w:space="0" w:color="A6A6A6"/>
              <w:right w:val="single" w:sz="8" w:space="0" w:color="A6A6A6"/>
            </w:tcBorders>
            <w:vAlign w:val="center"/>
            <w:hideMark/>
          </w:tcPr>
          <w:p w14:paraId="4B4FB70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NOVI LIGURE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noWrap/>
            <w:vAlign w:val="center"/>
            <w:hideMark/>
          </w:tcPr>
          <w:p w14:paraId="4C2DAD2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51</w:t>
            </w:r>
          </w:p>
        </w:tc>
        <w:tc>
          <w:tcPr>
            <w:tcW w:w="1214" w:type="dxa"/>
            <w:tcBorders>
              <w:top w:val="nil"/>
              <w:left w:val="nil"/>
              <w:bottom w:val="single" w:sz="8" w:space="0" w:color="A6A6A6"/>
              <w:right w:val="single" w:sz="8" w:space="0" w:color="A6A6A6"/>
            </w:tcBorders>
            <w:noWrap/>
            <w:vAlign w:val="center"/>
            <w:hideMark/>
          </w:tcPr>
          <w:p w14:paraId="0F57DB8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184.236 </w:t>
            </w:r>
          </w:p>
        </w:tc>
        <w:tc>
          <w:tcPr>
            <w:tcW w:w="1202" w:type="dxa"/>
            <w:tcBorders>
              <w:top w:val="nil"/>
              <w:left w:val="nil"/>
              <w:bottom w:val="single" w:sz="8" w:space="0" w:color="A6A6A6"/>
              <w:right w:val="double" w:sz="6" w:space="0" w:color="A6A6A6"/>
            </w:tcBorders>
            <w:noWrap/>
            <w:vAlign w:val="center"/>
            <w:hideMark/>
          </w:tcPr>
          <w:p w14:paraId="388D8C4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184.236 </w:t>
            </w:r>
          </w:p>
        </w:tc>
      </w:tr>
      <w:tr w:rsidR="00335312" w:rsidRPr="00EE3E83" w14:paraId="79D79650"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E01C7C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S062</w:t>
            </w:r>
          </w:p>
        </w:tc>
        <w:tc>
          <w:tcPr>
            <w:tcW w:w="4923" w:type="dxa"/>
            <w:tcBorders>
              <w:top w:val="nil"/>
              <w:left w:val="nil"/>
              <w:bottom w:val="single" w:sz="8" w:space="0" w:color="A6A6A6"/>
              <w:right w:val="single" w:sz="8" w:space="0" w:color="A6A6A6"/>
            </w:tcBorders>
            <w:shd w:val="clear" w:color="000000" w:fill="DFF2D0"/>
            <w:vAlign w:val="center"/>
            <w:hideMark/>
          </w:tcPr>
          <w:p w14:paraId="35594F2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PREDOSA - OVADA</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(EX 175)</w:t>
            </w:r>
          </w:p>
        </w:tc>
        <w:tc>
          <w:tcPr>
            <w:tcW w:w="753" w:type="dxa"/>
            <w:tcBorders>
              <w:top w:val="nil"/>
              <w:left w:val="nil"/>
              <w:bottom w:val="single" w:sz="8" w:space="0" w:color="A6A6A6"/>
              <w:right w:val="single" w:sz="8" w:space="0" w:color="A6A6A6"/>
            </w:tcBorders>
            <w:shd w:val="clear" w:color="000000" w:fill="DFF2D0"/>
            <w:noWrap/>
            <w:vAlign w:val="center"/>
            <w:hideMark/>
          </w:tcPr>
          <w:p w14:paraId="3E3E06F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36</w:t>
            </w:r>
          </w:p>
        </w:tc>
        <w:tc>
          <w:tcPr>
            <w:tcW w:w="1214" w:type="dxa"/>
            <w:tcBorders>
              <w:top w:val="nil"/>
              <w:left w:val="nil"/>
              <w:bottom w:val="single" w:sz="8" w:space="0" w:color="A6A6A6"/>
              <w:right w:val="single" w:sz="8" w:space="0" w:color="A6A6A6"/>
            </w:tcBorders>
            <w:shd w:val="clear" w:color="000000" w:fill="DFF2D0"/>
            <w:noWrap/>
            <w:vAlign w:val="center"/>
            <w:hideMark/>
          </w:tcPr>
          <w:p w14:paraId="6C9E51B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288.111 </w:t>
            </w:r>
          </w:p>
        </w:tc>
        <w:tc>
          <w:tcPr>
            <w:tcW w:w="1202" w:type="dxa"/>
            <w:tcBorders>
              <w:top w:val="nil"/>
              <w:left w:val="nil"/>
              <w:bottom w:val="single" w:sz="8" w:space="0" w:color="A6A6A6"/>
              <w:right w:val="double" w:sz="6" w:space="0" w:color="A6A6A6"/>
            </w:tcBorders>
            <w:shd w:val="clear" w:color="000000" w:fill="DFF2D0"/>
            <w:noWrap/>
            <w:vAlign w:val="center"/>
            <w:hideMark/>
          </w:tcPr>
          <w:p w14:paraId="10B138A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288.111 </w:t>
            </w:r>
          </w:p>
        </w:tc>
      </w:tr>
      <w:tr w:rsidR="00335312" w:rsidRPr="00EE3E83" w14:paraId="62089D0F"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EAE82F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lastRenderedPageBreak/>
              <w:t>S063</w:t>
            </w:r>
          </w:p>
        </w:tc>
        <w:tc>
          <w:tcPr>
            <w:tcW w:w="4923" w:type="dxa"/>
            <w:tcBorders>
              <w:top w:val="nil"/>
              <w:left w:val="nil"/>
              <w:bottom w:val="single" w:sz="8" w:space="0" w:color="A6A6A6"/>
              <w:right w:val="single" w:sz="8" w:space="0" w:color="A6A6A6"/>
            </w:tcBorders>
            <w:vAlign w:val="center"/>
            <w:hideMark/>
          </w:tcPr>
          <w:p w14:paraId="67E3C43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 NOVI LIGURE</w:t>
            </w:r>
          </w:p>
        </w:tc>
        <w:tc>
          <w:tcPr>
            <w:tcW w:w="753" w:type="dxa"/>
            <w:tcBorders>
              <w:top w:val="nil"/>
              <w:left w:val="nil"/>
              <w:bottom w:val="single" w:sz="8" w:space="0" w:color="A6A6A6"/>
              <w:right w:val="single" w:sz="8" w:space="0" w:color="A6A6A6"/>
            </w:tcBorders>
            <w:noWrap/>
            <w:vAlign w:val="center"/>
            <w:hideMark/>
          </w:tcPr>
          <w:p w14:paraId="27EAE3B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58</w:t>
            </w:r>
          </w:p>
        </w:tc>
        <w:tc>
          <w:tcPr>
            <w:tcW w:w="1214" w:type="dxa"/>
            <w:tcBorders>
              <w:top w:val="nil"/>
              <w:left w:val="nil"/>
              <w:bottom w:val="single" w:sz="8" w:space="0" w:color="A6A6A6"/>
              <w:right w:val="single" w:sz="8" w:space="0" w:color="A6A6A6"/>
            </w:tcBorders>
            <w:noWrap/>
            <w:vAlign w:val="center"/>
            <w:hideMark/>
          </w:tcPr>
          <w:p w14:paraId="792FDC9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194.394 </w:t>
            </w:r>
          </w:p>
        </w:tc>
        <w:tc>
          <w:tcPr>
            <w:tcW w:w="1202" w:type="dxa"/>
            <w:tcBorders>
              <w:top w:val="nil"/>
              <w:left w:val="nil"/>
              <w:bottom w:val="single" w:sz="8" w:space="0" w:color="A6A6A6"/>
              <w:right w:val="double" w:sz="6" w:space="0" w:color="A6A6A6"/>
            </w:tcBorders>
            <w:noWrap/>
            <w:vAlign w:val="center"/>
            <w:hideMark/>
          </w:tcPr>
          <w:p w14:paraId="3C2E94A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194.394 </w:t>
            </w:r>
          </w:p>
        </w:tc>
      </w:tr>
      <w:tr w:rsidR="00335312" w:rsidRPr="00EE3E83" w14:paraId="3644EA13"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F7E279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S064</w:t>
            </w:r>
          </w:p>
        </w:tc>
        <w:tc>
          <w:tcPr>
            <w:tcW w:w="4923" w:type="dxa"/>
            <w:tcBorders>
              <w:top w:val="nil"/>
              <w:left w:val="nil"/>
              <w:bottom w:val="single" w:sz="8" w:space="0" w:color="A6A6A6"/>
              <w:right w:val="single" w:sz="8" w:space="0" w:color="A6A6A6"/>
            </w:tcBorders>
            <w:shd w:val="clear" w:color="000000" w:fill="DFF2D0"/>
            <w:vAlign w:val="center"/>
            <w:hideMark/>
          </w:tcPr>
          <w:p w14:paraId="25C2596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ARQUATA SCRIVIA F.S.-CASSANO SPINOLA-TORTONA F.S. (EX 174)</w:t>
            </w:r>
          </w:p>
        </w:tc>
        <w:tc>
          <w:tcPr>
            <w:tcW w:w="753" w:type="dxa"/>
            <w:tcBorders>
              <w:top w:val="nil"/>
              <w:left w:val="nil"/>
              <w:bottom w:val="single" w:sz="8" w:space="0" w:color="A6A6A6"/>
              <w:right w:val="single" w:sz="8" w:space="0" w:color="A6A6A6"/>
            </w:tcBorders>
            <w:shd w:val="clear" w:color="000000" w:fill="DFF2D0"/>
            <w:noWrap/>
            <w:vAlign w:val="center"/>
            <w:hideMark/>
          </w:tcPr>
          <w:p w14:paraId="2BEB794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14</w:t>
            </w:r>
          </w:p>
        </w:tc>
        <w:tc>
          <w:tcPr>
            <w:tcW w:w="1214" w:type="dxa"/>
            <w:tcBorders>
              <w:top w:val="nil"/>
              <w:left w:val="nil"/>
              <w:bottom w:val="single" w:sz="8" w:space="0" w:color="A6A6A6"/>
              <w:right w:val="single" w:sz="8" w:space="0" w:color="A6A6A6"/>
            </w:tcBorders>
            <w:shd w:val="clear" w:color="000000" w:fill="DFF2D0"/>
            <w:noWrap/>
            <w:vAlign w:val="center"/>
            <w:hideMark/>
          </w:tcPr>
          <w:p w14:paraId="0398D55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102.717 </w:t>
            </w:r>
          </w:p>
        </w:tc>
        <w:tc>
          <w:tcPr>
            <w:tcW w:w="1202" w:type="dxa"/>
            <w:tcBorders>
              <w:top w:val="nil"/>
              <w:left w:val="nil"/>
              <w:bottom w:val="single" w:sz="8" w:space="0" w:color="A6A6A6"/>
              <w:right w:val="double" w:sz="6" w:space="0" w:color="A6A6A6"/>
            </w:tcBorders>
            <w:shd w:val="clear" w:color="000000" w:fill="DFF2D0"/>
            <w:noWrap/>
            <w:vAlign w:val="center"/>
            <w:hideMark/>
          </w:tcPr>
          <w:p w14:paraId="193C383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102.717 </w:t>
            </w:r>
          </w:p>
        </w:tc>
      </w:tr>
      <w:tr w:rsidR="00335312" w:rsidRPr="00EE3E83" w14:paraId="1FDFC00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CD4A3D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S077</w:t>
            </w:r>
          </w:p>
        </w:tc>
        <w:tc>
          <w:tcPr>
            <w:tcW w:w="4923" w:type="dxa"/>
            <w:tcBorders>
              <w:top w:val="nil"/>
              <w:left w:val="nil"/>
              <w:bottom w:val="single" w:sz="8" w:space="0" w:color="A6A6A6"/>
              <w:right w:val="single" w:sz="8" w:space="0" w:color="A6A6A6"/>
            </w:tcBorders>
            <w:vAlign w:val="center"/>
            <w:hideMark/>
          </w:tcPr>
          <w:p w14:paraId="549D0BE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T.-MOMBARUZZO CON DEV.NE</w:t>
            </w:r>
          </w:p>
        </w:tc>
        <w:tc>
          <w:tcPr>
            <w:tcW w:w="753" w:type="dxa"/>
            <w:tcBorders>
              <w:top w:val="nil"/>
              <w:left w:val="nil"/>
              <w:bottom w:val="single" w:sz="8" w:space="0" w:color="A6A6A6"/>
              <w:right w:val="single" w:sz="8" w:space="0" w:color="A6A6A6"/>
            </w:tcBorders>
            <w:noWrap/>
            <w:vAlign w:val="center"/>
            <w:hideMark/>
          </w:tcPr>
          <w:p w14:paraId="27DF40C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3AC4657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9.006 </w:t>
            </w:r>
          </w:p>
        </w:tc>
        <w:tc>
          <w:tcPr>
            <w:tcW w:w="1202" w:type="dxa"/>
            <w:tcBorders>
              <w:top w:val="nil"/>
              <w:left w:val="nil"/>
              <w:bottom w:val="single" w:sz="8" w:space="0" w:color="A6A6A6"/>
              <w:right w:val="double" w:sz="6" w:space="0" w:color="A6A6A6"/>
            </w:tcBorders>
            <w:noWrap/>
            <w:vAlign w:val="center"/>
            <w:hideMark/>
          </w:tcPr>
          <w:p w14:paraId="1B762E6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9.006 </w:t>
            </w:r>
          </w:p>
        </w:tc>
      </w:tr>
      <w:tr w:rsidR="00335312" w:rsidRPr="00EE3E83" w14:paraId="3CD8E31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5D76BE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S081</w:t>
            </w:r>
          </w:p>
        </w:tc>
        <w:tc>
          <w:tcPr>
            <w:tcW w:w="4923" w:type="dxa"/>
            <w:tcBorders>
              <w:top w:val="nil"/>
              <w:left w:val="nil"/>
              <w:bottom w:val="single" w:sz="8" w:space="0" w:color="A6A6A6"/>
              <w:right w:val="single" w:sz="8" w:space="0" w:color="A6A6A6"/>
            </w:tcBorders>
            <w:shd w:val="clear" w:color="000000" w:fill="DFF2D0"/>
            <w:vAlign w:val="center"/>
            <w:hideMark/>
          </w:tcPr>
          <w:p w14:paraId="1452FA6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NOVI LIGURE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TORTONA</w:t>
            </w:r>
          </w:p>
        </w:tc>
        <w:tc>
          <w:tcPr>
            <w:tcW w:w="753" w:type="dxa"/>
            <w:tcBorders>
              <w:top w:val="nil"/>
              <w:left w:val="nil"/>
              <w:bottom w:val="single" w:sz="8" w:space="0" w:color="A6A6A6"/>
              <w:right w:val="single" w:sz="8" w:space="0" w:color="A6A6A6"/>
            </w:tcBorders>
            <w:shd w:val="clear" w:color="000000" w:fill="DFF2D0"/>
            <w:noWrap/>
            <w:vAlign w:val="center"/>
            <w:hideMark/>
          </w:tcPr>
          <w:p w14:paraId="4E5BE19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50</w:t>
            </w:r>
          </w:p>
        </w:tc>
        <w:tc>
          <w:tcPr>
            <w:tcW w:w="1214" w:type="dxa"/>
            <w:tcBorders>
              <w:top w:val="nil"/>
              <w:left w:val="nil"/>
              <w:bottom w:val="single" w:sz="8" w:space="0" w:color="A6A6A6"/>
              <w:right w:val="single" w:sz="8" w:space="0" w:color="A6A6A6"/>
            </w:tcBorders>
            <w:shd w:val="clear" w:color="000000" w:fill="DFF2D0"/>
            <w:noWrap/>
            <w:vAlign w:val="center"/>
            <w:hideMark/>
          </w:tcPr>
          <w:p w14:paraId="35EAE20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122.678 </w:t>
            </w:r>
          </w:p>
        </w:tc>
        <w:tc>
          <w:tcPr>
            <w:tcW w:w="1202" w:type="dxa"/>
            <w:tcBorders>
              <w:top w:val="nil"/>
              <w:left w:val="nil"/>
              <w:bottom w:val="single" w:sz="8" w:space="0" w:color="A6A6A6"/>
              <w:right w:val="double" w:sz="6" w:space="0" w:color="A6A6A6"/>
            </w:tcBorders>
            <w:shd w:val="clear" w:color="000000" w:fill="DFF2D0"/>
            <w:noWrap/>
            <w:vAlign w:val="center"/>
            <w:hideMark/>
          </w:tcPr>
          <w:p w14:paraId="0EED33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122.678 </w:t>
            </w:r>
          </w:p>
        </w:tc>
      </w:tr>
      <w:tr w:rsidR="00335312" w:rsidRPr="00EE3E83" w14:paraId="310C55D6"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78D7EF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S082</w:t>
            </w:r>
          </w:p>
        </w:tc>
        <w:tc>
          <w:tcPr>
            <w:tcW w:w="4923" w:type="dxa"/>
            <w:tcBorders>
              <w:top w:val="nil"/>
              <w:left w:val="nil"/>
              <w:bottom w:val="single" w:sz="8" w:space="0" w:color="A6A6A6"/>
              <w:right w:val="single" w:sz="8" w:space="0" w:color="A6A6A6"/>
            </w:tcBorders>
            <w:vAlign w:val="center"/>
            <w:hideMark/>
          </w:tcPr>
          <w:p w14:paraId="3A4CA2B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CASTAGNOLE LANZE</w:t>
            </w:r>
          </w:p>
        </w:tc>
        <w:tc>
          <w:tcPr>
            <w:tcW w:w="753" w:type="dxa"/>
            <w:tcBorders>
              <w:top w:val="nil"/>
              <w:left w:val="nil"/>
              <w:bottom w:val="single" w:sz="8" w:space="0" w:color="A6A6A6"/>
              <w:right w:val="single" w:sz="8" w:space="0" w:color="A6A6A6"/>
            </w:tcBorders>
            <w:noWrap/>
            <w:vAlign w:val="center"/>
            <w:hideMark/>
          </w:tcPr>
          <w:p w14:paraId="290C4B2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w:t>
            </w:r>
          </w:p>
        </w:tc>
        <w:tc>
          <w:tcPr>
            <w:tcW w:w="1214" w:type="dxa"/>
            <w:tcBorders>
              <w:top w:val="nil"/>
              <w:left w:val="nil"/>
              <w:bottom w:val="single" w:sz="8" w:space="0" w:color="A6A6A6"/>
              <w:right w:val="single" w:sz="8" w:space="0" w:color="A6A6A6"/>
            </w:tcBorders>
            <w:noWrap/>
            <w:vAlign w:val="center"/>
            <w:hideMark/>
          </w:tcPr>
          <w:p w14:paraId="57AB37B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190.163 </w:t>
            </w:r>
          </w:p>
        </w:tc>
        <w:tc>
          <w:tcPr>
            <w:tcW w:w="1202" w:type="dxa"/>
            <w:tcBorders>
              <w:top w:val="nil"/>
              <w:left w:val="nil"/>
              <w:bottom w:val="single" w:sz="8" w:space="0" w:color="A6A6A6"/>
              <w:right w:val="double" w:sz="6" w:space="0" w:color="A6A6A6"/>
            </w:tcBorders>
            <w:noWrap/>
            <w:vAlign w:val="center"/>
            <w:hideMark/>
          </w:tcPr>
          <w:p w14:paraId="5E850B3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190.163 </w:t>
            </w:r>
          </w:p>
        </w:tc>
      </w:tr>
      <w:tr w:rsidR="00335312" w:rsidRPr="00EE3E83" w14:paraId="52D124A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145BB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S083</w:t>
            </w:r>
          </w:p>
        </w:tc>
        <w:tc>
          <w:tcPr>
            <w:tcW w:w="4923" w:type="dxa"/>
            <w:tcBorders>
              <w:top w:val="nil"/>
              <w:left w:val="nil"/>
              <w:bottom w:val="single" w:sz="8" w:space="0" w:color="A6A6A6"/>
              <w:right w:val="single" w:sz="8" w:space="0" w:color="A6A6A6"/>
            </w:tcBorders>
            <w:shd w:val="clear" w:color="000000" w:fill="DFF2D0"/>
            <w:vAlign w:val="center"/>
            <w:hideMark/>
          </w:tcPr>
          <w:p w14:paraId="2B2B5FC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MOMBARUZZO-QUATTORDIO STAB.TI IND.LI CON DIR.NI</w:t>
            </w:r>
          </w:p>
        </w:tc>
        <w:tc>
          <w:tcPr>
            <w:tcW w:w="753" w:type="dxa"/>
            <w:tcBorders>
              <w:top w:val="nil"/>
              <w:left w:val="nil"/>
              <w:bottom w:val="single" w:sz="8" w:space="0" w:color="A6A6A6"/>
              <w:right w:val="single" w:sz="8" w:space="0" w:color="A6A6A6"/>
            </w:tcBorders>
            <w:shd w:val="clear" w:color="000000" w:fill="DFF2D0"/>
            <w:noWrap/>
            <w:vAlign w:val="center"/>
            <w:hideMark/>
          </w:tcPr>
          <w:p w14:paraId="3A07383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shd w:val="clear" w:color="000000" w:fill="DFF2D0"/>
            <w:noWrap/>
            <w:vAlign w:val="center"/>
            <w:hideMark/>
          </w:tcPr>
          <w:p w14:paraId="4204F37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18.760 </w:t>
            </w:r>
          </w:p>
        </w:tc>
        <w:tc>
          <w:tcPr>
            <w:tcW w:w="1202" w:type="dxa"/>
            <w:tcBorders>
              <w:top w:val="nil"/>
              <w:left w:val="nil"/>
              <w:bottom w:val="single" w:sz="8" w:space="0" w:color="A6A6A6"/>
              <w:right w:val="double" w:sz="6" w:space="0" w:color="A6A6A6"/>
            </w:tcBorders>
            <w:shd w:val="clear" w:color="000000" w:fill="DFF2D0"/>
            <w:noWrap/>
            <w:vAlign w:val="center"/>
            <w:hideMark/>
          </w:tcPr>
          <w:p w14:paraId="52FD19B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18.760 </w:t>
            </w:r>
          </w:p>
        </w:tc>
      </w:tr>
      <w:tr w:rsidR="00335312" w:rsidRPr="00EE3E83" w14:paraId="34CB3206"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C77EEF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S085</w:t>
            </w:r>
          </w:p>
        </w:tc>
        <w:tc>
          <w:tcPr>
            <w:tcW w:w="4923" w:type="dxa"/>
            <w:tcBorders>
              <w:top w:val="nil"/>
              <w:left w:val="nil"/>
              <w:bottom w:val="single" w:sz="8" w:space="0" w:color="A6A6A6"/>
              <w:right w:val="single" w:sz="8" w:space="0" w:color="A6A6A6"/>
            </w:tcBorders>
            <w:vAlign w:val="center"/>
            <w:hideMark/>
          </w:tcPr>
          <w:p w14:paraId="60173A7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REFRANCORE </w:t>
            </w:r>
            <w:r>
              <w:rPr>
                <w:rFonts w:ascii="Calibri" w:eastAsia="Times New Roman" w:hAnsi="Calibri" w:cstheme="minorHAnsi"/>
                <w:color w:val="000000"/>
                <w:sz w:val="18"/>
                <w:szCs w:val="18"/>
              </w:rPr>
              <w:t>–</w:t>
            </w:r>
            <w:r w:rsidRPr="00EE3E83">
              <w:rPr>
                <w:rFonts w:ascii="Calibri" w:eastAsia="Times New Roman" w:hAnsi="Calibri" w:cstheme="minorHAnsi"/>
                <w:color w:val="000000"/>
                <w:sz w:val="18"/>
                <w:szCs w:val="18"/>
              </w:rPr>
              <w:t xml:space="preserve"> ALESSANDRIA</w:t>
            </w:r>
          </w:p>
        </w:tc>
        <w:tc>
          <w:tcPr>
            <w:tcW w:w="753" w:type="dxa"/>
            <w:tcBorders>
              <w:top w:val="nil"/>
              <w:left w:val="nil"/>
              <w:bottom w:val="single" w:sz="8" w:space="0" w:color="A6A6A6"/>
              <w:right w:val="single" w:sz="8" w:space="0" w:color="A6A6A6"/>
            </w:tcBorders>
            <w:noWrap/>
            <w:vAlign w:val="center"/>
            <w:hideMark/>
          </w:tcPr>
          <w:p w14:paraId="762AE50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44</w:t>
            </w:r>
          </w:p>
        </w:tc>
        <w:tc>
          <w:tcPr>
            <w:tcW w:w="1214" w:type="dxa"/>
            <w:tcBorders>
              <w:top w:val="nil"/>
              <w:left w:val="nil"/>
              <w:bottom w:val="single" w:sz="8" w:space="0" w:color="A6A6A6"/>
              <w:right w:val="single" w:sz="8" w:space="0" w:color="A6A6A6"/>
            </w:tcBorders>
            <w:noWrap/>
            <w:vAlign w:val="center"/>
            <w:hideMark/>
          </w:tcPr>
          <w:p w14:paraId="66A1632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145.203 </w:t>
            </w:r>
          </w:p>
        </w:tc>
        <w:tc>
          <w:tcPr>
            <w:tcW w:w="1202" w:type="dxa"/>
            <w:tcBorders>
              <w:top w:val="nil"/>
              <w:left w:val="nil"/>
              <w:bottom w:val="single" w:sz="8" w:space="0" w:color="A6A6A6"/>
              <w:right w:val="double" w:sz="6" w:space="0" w:color="A6A6A6"/>
            </w:tcBorders>
            <w:noWrap/>
            <w:vAlign w:val="center"/>
            <w:hideMark/>
          </w:tcPr>
          <w:p w14:paraId="5864F9A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145.203 </w:t>
            </w:r>
          </w:p>
        </w:tc>
      </w:tr>
      <w:tr w:rsidR="00335312" w:rsidRPr="00EE3E83" w14:paraId="312BC853"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724AD14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S088</w:t>
            </w:r>
          </w:p>
        </w:tc>
        <w:tc>
          <w:tcPr>
            <w:tcW w:w="4923" w:type="dxa"/>
            <w:tcBorders>
              <w:top w:val="nil"/>
              <w:left w:val="nil"/>
              <w:bottom w:val="single" w:sz="8" w:space="0" w:color="A6A6A6"/>
              <w:right w:val="single" w:sz="8" w:space="0" w:color="A6A6A6"/>
            </w:tcBorders>
            <w:shd w:val="clear" w:color="000000" w:fill="DFF2D0"/>
            <w:vAlign w:val="center"/>
            <w:hideMark/>
          </w:tcPr>
          <w:p w14:paraId="3B4BFE2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MASIO - ALESSANDRIA</w:t>
            </w:r>
          </w:p>
        </w:tc>
        <w:tc>
          <w:tcPr>
            <w:tcW w:w="753" w:type="dxa"/>
            <w:tcBorders>
              <w:top w:val="nil"/>
              <w:left w:val="nil"/>
              <w:bottom w:val="single" w:sz="8" w:space="0" w:color="A6A6A6"/>
              <w:right w:val="single" w:sz="8" w:space="0" w:color="A6A6A6"/>
            </w:tcBorders>
            <w:shd w:val="clear" w:color="000000" w:fill="DFF2D0"/>
            <w:noWrap/>
            <w:vAlign w:val="center"/>
            <w:hideMark/>
          </w:tcPr>
          <w:p w14:paraId="6D627BE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11</w:t>
            </w:r>
          </w:p>
        </w:tc>
        <w:tc>
          <w:tcPr>
            <w:tcW w:w="1214" w:type="dxa"/>
            <w:tcBorders>
              <w:top w:val="nil"/>
              <w:left w:val="nil"/>
              <w:bottom w:val="single" w:sz="8" w:space="0" w:color="A6A6A6"/>
              <w:right w:val="single" w:sz="8" w:space="0" w:color="A6A6A6"/>
            </w:tcBorders>
            <w:shd w:val="clear" w:color="000000" w:fill="DFF2D0"/>
            <w:noWrap/>
            <w:vAlign w:val="center"/>
            <w:hideMark/>
          </w:tcPr>
          <w:p w14:paraId="763752C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50.000 </w:t>
            </w:r>
          </w:p>
        </w:tc>
        <w:tc>
          <w:tcPr>
            <w:tcW w:w="1202" w:type="dxa"/>
            <w:tcBorders>
              <w:top w:val="nil"/>
              <w:left w:val="nil"/>
              <w:bottom w:val="single" w:sz="8" w:space="0" w:color="A6A6A6"/>
              <w:right w:val="double" w:sz="6" w:space="0" w:color="A6A6A6"/>
            </w:tcBorders>
            <w:shd w:val="clear" w:color="000000" w:fill="DFF2D0"/>
            <w:noWrap/>
            <w:vAlign w:val="center"/>
            <w:hideMark/>
          </w:tcPr>
          <w:p w14:paraId="436FC02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50.000 </w:t>
            </w:r>
          </w:p>
        </w:tc>
      </w:tr>
      <w:tr w:rsidR="00335312" w:rsidRPr="00EE3E83" w14:paraId="7969CC9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7B0F36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S091</w:t>
            </w:r>
          </w:p>
        </w:tc>
        <w:tc>
          <w:tcPr>
            <w:tcW w:w="4923" w:type="dxa"/>
            <w:tcBorders>
              <w:top w:val="nil"/>
              <w:left w:val="nil"/>
              <w:bottom w:val="single" w:sz="8" w:space="0" w:color="A6A6A6"/>
              <w:right w:val="single" w:sz="8" w:space="0" w:color="A6A6A6"/>
            </w:tcBorders>
            <w:vAlign w:val="center"/>
            <w:hideMark/>
          </w:tcPr>
          <w:p w14:paraId="5A770C7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GARBAGNA - TORTONA</w:t>
            </w:r>
          </w:p>
        </w:tc>
        <w:tc>
          <w:tcPr>
            <w:tcW w:w="753" w:type="dxa"/>
            <w:tcBorders>
              <w:top w:val="nil"/>
              <w:left w:val="nil"/>
              <w:bottom w:val="single" w:sz="8" w:space="0" w:color="A6A6A6"/>
              <w:right w:val="single" w:sz="8" w:space="0" w:color="A6A6A6"/>
            </w:tcBorders>
            <w:noWrap/>
            <w:vAlign w:val="center"/>
            <w:hideMark/>
          </w:tcPr>
          <w:p w14:paraId="2426EF4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noWrap/>
            <w:vAlign w:val="center"/>
            <w:hideMark/>
          </w:tcPr>
          <w:p w14:paraId="04B7394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38.870 </w:t>
            </w:r>
          </w:p>
        </w:tc>
        <w:tc>
          <w:tcPr>
            <w:tcW w:w="1202" w:type="dxa"/>
            <w:tcBorders>
              <w:top w:val="nil"/>
              <w:left w:val="nil"/>
              <w:bottom w:val="single" w:sz="8" w:space="0" w:color="A6A6A6"/>
              <w:right w:val="double" w:sz="6" w:space="0" w:color="A6A6A6"/>
            </w:tcBorders>
            <w:noWrap/>
            <w:vAlign w:val="center"/>
            <w:hideMark/>
          </w:tcPr>
          <w:p w14:paraId="041D76F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38.870 </w:t>
            </w:r>
          </w:p>
        </w:tc>
      </w:tr>
      <w:tr w:rsidR="00335312" w:rsidRPr="00EE3E83" w14:paraId="67BA8423"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ADA245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S092</w:t>
            </w:r>
          </w:p>
        </w:tc>
        <w:tc>
          <w:tcPr>
            <w:tcW w:w="4923" w:type="dxa"/>
            <w:tcBorders>
              <w:top w:val="nil"/>
              <w:left w:val="nil"/>
              <w:bottom w:val="single" w:sz="8" w:space="0" w:color="A6A6A6"/>
              <w:right w:val="single" w:sz="8" w:space="0" w:color="A6A6A6"/>
            </w:tcBorders>
            <w:shd w:val="clear" w:color="000000" w:fill="DFF2D0"/>
            <w:vAlign w:val="center"/>
            <w:hideMark/>
          </w:tcPr>
          <w:p w14:paraId="4DB181C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CAREZZANO MAGGIORE - TORTONA</w:t>
            </w:r>
          </w:p>
        </w:tc>
        <w:tc>
          <w:tcPr>
            <w:tcW w:w="753" w:type="dxa"/>
            <w:tcBorders>
              <w:top w:val="nil"/>
              <w:left w:val="nil"/>
              <w:bottom w:val="single" w:sz="8" w:space="0" w:color="A6A6A6"/>
              <w:right w:val="single" w:sz="8" w:space="0" w:color="A6A6A6"/>
            </w:tcBorders>
            <w:shd w:val="clear" w:color="000000" w:fill="DFF2D0"/>
            <w:noWrap/>
            <w:vAlign w:val="center"/>
            <w:hideMark/>
          </w:tcPr>
          <w:p w14:paraId="2DCBF3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shd w:val="clear" w:color="000000" w:fill="DFF2D0"/>
            <w:noWrap/>
            <w:vAlign w:val="center"/>
            <w:hideMark/>
          </w:tcPr>
          <w:p w14:paraId="0446716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22.030 </w:t>
            </w:r>
          </w:p>
        </w:tc>
        <w:tc>
          <w:tcPr>
            <w:tcW w:w="1202" w:type="dxa"/>
            <w:tcBorders>
              <w:top w:val="nil"/>
              <w:left w:val="nil"/>
              <w:bottom w:val="single" w:sz="8" w:space="0" w:color="A6A6A6"/>
              <w:right w:val="double" w:sz="6" w:space="0" w:color="A6A6A6"/>
            </w:tcBorders>
            <w:shd w:val="clear" w:color="000000" w:fill="DFF2D0"/>
            <w:noWrap/>
            <w:vAlign w:val="center"/>
            <w:hideMark/>
          </w:tcPr>
          <w:p w14:paraId="1D79E10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22.030 </w:t>
            </w:r>
          </w:p>
        </w:tc>
      </w:tr>
      <w:tr w:rsidR="00335312" w:rsidRPr="00EE3E83" w14:paraId="6EE99C6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96C0E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S095</w:t>
            </w:r>
          </w:p>
        </w:tc>
        <w:tc>
          <w:tcPr>
            <w:tcW w:w="4923" w:type="dxa"/>
            <w:tcBorders>
              <w:top w:val="nil"/>
              <w:left w:val="nil"/>
              <w:bottom w:val="single" w:sz="8" w:space="0" w:color="A6A6A6"/>
              <w:right w:val="single" w:sz="8" w:space="0" w:color="A6A6A6"/>
            </w:tcBorders>
            <w:vAlign w:val="center"/>
            <w:hideMark/>
          </w:tcPr>
          <w:p w14:paraId="4169B26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FONTANILE-ALESSANDRIA</w:t>
            </w:r>
          </w:p>
        </w:tc>
        <w:tc>
          <w:tcPr>
            <w:tcW w:w="753" w:type="dxa"/>
            <w:tcBorders>
              <w:top w:val="nil"/>
              <w:left w:val="nil"/>
              <w:bottom w:val="single" w:sz="8" w:space="0" w:color="A6A6A6"/>
              <w:right w:val="single" w:sz="8" w:space="0" w:color="A6A6A6"/>
            </w:tcBorders>
            <w:noWrap/>
            <w:vAlign w:val="center"/>
            <w:hideMark/>
          </w:tcPr>
          <w:p w14:paraId="0EEE57F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1214" w:type="dxa"/>
            <w:tcBorders>
              <w:top w:val="nil"/>
              <w:left w:val="nil"/>
              <w:bottom w:val="single" w:sz="8" w:space="0" w:color="A6A6A6"/>
              <w:right w:val="single" w:sz="8" w:space="0" w:color="A6A6A6"/>
            </w:tcBorders>
            <w:noWrap/>
            <w:vAlign w:val="center"/>
            <w:hideMark/>
          </w:tcPr>
          <w:p w14:paraId="68B14ED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34.725 </w:t>
            </w:r>
          </w:p>
        </w:tc>
        <w:tc>
          <w:tcPr>
            <w:tcW w:w="1202" w:type="dxa"/>
            <w:tcBorders>
              <w:top w:val="nil"/>
              <w:left w:val="nil"/>
              <w:bottom w:val="single" w:sz="8" w:space="0" w:color="A6A6A6"/>
              <w:right w:val="double" w:sz="6" w:space="0" w:color="A6A6A6"/>
            </w:tcBorders>
            <w:noWrap/>
            <w:vAlign w:val="center"/>
            <w:hideMark/>
          </w:tcPr>
          <w:p w14:paraId="752A32B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34.725 </w:t>
            </w:r>
          </w:p>
        </w:tc>
      </w:tr>
      <w:tr w:rsidR="00335312" w:rsidRPr="00EE3E83" w14:paraId="20A5A23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322258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S099</w:t>
            </w:r>
          </w:p>
        </w:tc>
        <w:tc>
          <w:tcPr>
            <w:tcW w:w="4923" w:type="dxa"/>
            <w:tcBorders>
              <w:top w:val="nil"/>
              <w:left w:val="nil"/>
              <w:bottom w:val="single" w:sz="8" w:space="0" w:color="A6A6A6"/>
              <w:right w:val="single" w:sz="8" w:space="0" w:color="A6A6A6"/>
            </w:tcBorders>
            <w:shd w:val="clear" w:color="000000" w:fill="DFF2D0"/>
            <w:vAlign w:val="center"/>
            <w:hideMark/>
          </w:tcPr>
          <w:p w14:paraId="2005E37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SERVIZI SCOLASTICI ALESSANDRIA</w:t>
            </w:r>
          </w:p>
        </w:tc>
        <w:tc>
          <w:tcPr>
            <w:tcW w:w="753" w:type="dxa"/>
            <w:tcBorders>
              <w:top w:val="nil"/>
              <w:left w:val="nil"/>
              <w:bottom w:val="single" w:sz="8" w:space="0" w:color="A6A6A6"/>
              <w:right w:val="single" w:sz="8" w:space="0" w:color="A6A6A6"/>
            </w:tcBorders>
            <w:shd w:val="clear" w:color="000000" w:fill="DFF2D0"/>
            <w:noWrap/>
            <w:vAlign w:val="center"/>
            <w:hideMark/>
          </w:tcPr>
          <w:p w14:paraId="1CF3192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w:t>
            </w:r>
          </w:p>
        </w:tc>
        <w:tc>
          <w:tcPr>
            <w:tcW w:w="1214" w:type="dxa"/>
            <w:tcBorders>
              <w:top w:val="nil"/>
              <w:left w:val="nil"/>
              <w:bottom w:val="single" w:sz="8" w:space="0" w:color="A6A6A6"/>
              <w:right w:val="single" w:sz="8" w:space="0" w:color="A6A6A6"/>
            </w:tcBorders>
            <w:shd w:val="clear" w:color="000000" w:fill="DFF2D0"/>
            <w:noWrap/>
            <w:vAlign w:val="center"/>
            <w:hideMark/>
          </w:tcPr>
          <w:p w14:paraId="3518C25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3.889 </w:t>
            </w:r>
          </w:p>
        </w:tc>
        <w:tc>
          <w:tcPr>
            <w:tcW w:w="1202" w:type="dxa"/>
            <w:tcBorders>
              <w:top w:val="nil"/>
              <w:left w:val="nil"/>
              <w:bottom w:val="single" w:sz="8" w:space="0" w:color="A6A6A6"/>
              <w:right w:val="double" w:sz="6" w:space="0" w:color="A6A6A6"/>
            </w:tcBorders>
            <w:shd w:val="clear" w:color="000000" w:fill="DFF2D0"/>
            <w:noWrap/>
            <w:vAlign w:val="center"/>
            <w:hideMark/>
          </w:tcPr>
          <w:p w14:paraId="11E5316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3.889 </w:t>
            </w:r>
          </w:p>
        </w:tc>
      </w:tr>
      <w:tr w:rsidR="00335312" w:rsidRPr="00EE3E83" w14:paraId="41BED516"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D4D421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S120</w:t>
            </w:r>
          </w:p>
        </w:tc>
        <w:tc>
          <w:tcPr>
            <w:tcW w:w="4923" w:type="dxa"/>
            <w:tcBorders>
              <w:top w:val="nil"/>
              <w:left w:val="nil"/>
              <w:bottom w:val="single" w:sz="8" w:space="0" w:color="A6A6A6"/>
              <w:right w:val="single" w:sz="8" w:space="0" w:color="A6A6A6"/>
            </w:tcBorders>
            <w:vAlign w:val="center"/>
            <w:hideMark/>
          </w:tcPr>
          <w:p w14:paraId="67EC6C7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CASALE MONFERRATO - VALENZA - MILANO</w:t>
            </w:r>
          </w:p>
        </w:tc>
        <w:tc>
          <w:tcPr>
            <w:tcW w:w="753" w:type="dxa"/>
            <w:tcBorders>
              <w:top w:val="nil"/>
              <w:left w:val="nil"/>
              <w:bottom w:val="single" w:sz="8" w:space="0" w:color="A6A6A6"/>
              <w:right w:val="single" w:sz="8" w:space="0" w:color="A6A6A6"/>
            </w:tcBorders>
            <w:noWrap/>
            <w:vAlign w:val="center"/>
            <w:hideMark/>
          </w:tcPr>
          <w:p w14:paraId="740975A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noWrap/>
            <w:vAlign w:val="center"/>
            <w:hideMark/>
          </w:tcPr>
          <w:p w14:paraId="29F38DD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122.642 </w:t>
            </w:r>
          </w:p>
        </w:tc>
        <w:tc>
          <w:tcPr>
            <w:tcW w:w="1202" w:type="dxa"/>
            <w:tcBorders>
              <w:top w:val="nil"/>
              <w:left w:val="nil"/>
              <w:bottom w:val="single" w:sz="8" w:space="0" w:color="A6A6A6"/>
              <w:right w:val="double" w:sz="6" w:space="0" w:color="A6A6A6"/>
            </w:tcBorders>
            <w:noWrap/>
            <w:vAlign w:val="center"/>
            <w:hideMark/>
          </w:tcPr>
          <w:p w14:paraId="7F963D6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122.642 </w:t>
            </w:r>
          </w:p>
        </w:tc>
      </w:tr>
      <w:tr w:rsidR="00335312" w:rsidRPr="00EE3E83" w14:paraId="0142623D"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5101953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S121</w:t>
            </w:r>
          </w:p>
        </w:tc>
        <w:tc>
          <w:tcPr>
            <w:tcW w:w="4923" w:type="dxa"/>
            <w:tcBorders>
              <w:top w:val="nil"/>
              <w:left w:val="nil"/>
              <w:bottom w:val="single" w:sz="8" w:space="0" w:color="A6A6A6"/>
              <w:right w:val="single" w:sz="8" w:space="0" w:color="A6A6A6"/>
            </w:tcBorders>
            <w:shd w:val="clear" w:color="000000" w:fill="DFF2D0"/>
            <w:vAlign w:val="center"/>
            <w:hideMark/>
          </w:tcPr>
          <w:p w14:paraId="44C6523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MONCALVO - GRAZZANO - ROSIGNANO - CASALE MONFERRATO</w:t>
            </w:r>
          </w:p>
        </w:tc>
        <w:tc>
          <w:tcPr>
            <w:tcW w:w="753" w:type="dxa"/>
            <w:tcBorders>
              <w:top w:val="nil"/>
              <w:left w:val="nil"/>
              <w:bottom w:val="single" w:sz="8" w:space="0" w:color="A6A6A6"/>
              <w:right w:val="single" w:sz="8" w:space="0" w:color="A6A6A6"/>
            </w:tcBorders>
            <w:shd w:val="clear" w:color="000000" w:fill="DFF2D0"/>
            <w:noWrap/>
            <w:vAlign w:val="center"/>
            <w:hideMark/>
          </w:tcPr>
          <w:p w14:paraId="074D162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11</w:t>
            </w:r>
          </w:p>
        </w:tc>
        <w:tc>
          <w:tcPr>
            <w:tcW w:w="1214" w:type="dxa"/>
            <w:tcBorders>
              <w:top w:val="nil"/>
              <w:left w:val="nil"/>
              <w:bottom w:val="single" w:sz="8" w:space="0" w:color="A6A6A6"/>
              <w:right w:val="single" w:sz="8" w:space="0" w:color="A6A6A6"/>
            </w:tcBorders>
            <w:shd w:val="clear" w:color="000000" w:fill="DFF2D0"/>
            <w:noWrap/>
            <w:vAlign w:val="center"/>
            <w:hideMark/>
          </w:tcPr>
          <w:p w14:paraId="33566CB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57.948 </w:t>
            </w:r>
          </w:p>
        </w:tc>
        <w:tc>
          <w:tcPr>
            <w:tcW w:w="1202" w:type="dxa"/>
            <w:tcBorders>
              <w:top w:val="nil"/>
              <w:left w:val="nil"/>
              <w:bottom w:val="single" w:sz="8" w:space="0" w:color="A6A6A6"/>
              <w:right w:val="double" w:sz="6" w:space="0" w:color="A6A6A6"/>
            </w:tcBorders>
            <w:shd w:val="clear" w:color="000000" w:fill="DFF2D0"/>
            <w:noWrap/>
            <w:vAlign w:val="center"/>
            <w:hideMark/>
          </w:tcPr>
          <w:p w14:paraId="15949C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57.948 </w:t>
            </w:r>
          </w:p>
        </w:tc>
      </w:tr>
      <w:tr w:rsidR="00335312" w:rsidRPr="00EE3E83" w14:paraId="762ABB1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ABF60B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S122</w:t>
            </w:r>
          </w:p>
        </w:tc>
        <w:tc>
          <w:tcPr>
            <w:tcW w:w="4923" w:type="dxa"/>
            <w:tcBorders>
              <w:top w:val="nil"/>
              <w:left w:val="nil"/>
              <w:bottom w:val="single" w:sz="8" w:space="0" w:color="A6A6A6"/>
              <w:right w:val="single" w:sz="8" w:space="0" w:color="A6A6A6"/>
            </w:tcBorders>
            <w:vAlign w:val="center"/>
            <w:hideMark/>
          </w:tcPr>
          <w:p w14:paraId="4AEDA91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MONCALVO - OTTIGLIO - OZZANO - CASALE MONFERRATO</w:t>
            </w:r>
          </w:p>
        </w:tc>
        <w:tc>
          <w:tcPr>
            <w:tcW w:w="753" w:type="dxa"/>
            <w:tcBorders>
              <w:top w:val="nil"/>
              <w:left w:val="nil"/>
              <w:bottom w:val="single" w:sz="8" w:space="0" w:color="A6A6A6"/>
              <w:right w:val="single" w:sz="8" w:space="0" w:color="A6A6A6"/>
            </w:tcBorders>
            <w:noWrap/>
            <w:vAlign w:val="center"/>
            <w:hideMark/>
          </w:tcPr>
          <w:p w14:paraId="1A7DAD0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noWrap/>
            <w:vAlign w:val="center"/>
            <w:hideMark/>
          </w:tcPr>
          <w:p w14:paraId="6263CA2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43.811 </w:t>
            </w:r>
          </w:p>
        </w:tc>
        <w:tc>
          <w:tcPr>
            <w:tcW w:w="1202" w:type="dxa"/>
            <w:tcBorders>
              <w:top w:val="nil"/>
              <w:left w:val="nil"/>
              <w:bottom w:val="single" w:sz="8" w:space="0" w:color="A6A6A6"/>
              <w:right w:val="double" w:sz="6" w:space="0" w:color="A6A6A6"/>
            </w:tcBorders>
            <w:noWrap/>
            <w:vAlign w:val="center"/>
            <w:hideMark/>
          </w:tcPr>
          <w:p w14:paraId="294FD1A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43.811 </w:t>
            </w:r>
          </w:p>
        </w:tc>
      </w:tr>
      <w:tr w:rsidR="00335312" w:rsidRPr="00EE3E83" w14:paraId="139413F3"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057A5B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S125</w:t>
            </w:r>
          </w:p>
        </w:tc>
        <w:tc>
          <w:tcPr>
            <w:tcW w:w="4923" w:type="dxa"/>
            <w:tcBorders>
              <w:top w:val="nil"/>
              <w:left w:val="nil"/>
              <w:bottom w:val="single" w:sz="8" w:space="0" w:color="A6A6A6"/>
              <w:right w:val="single" w:sz="8" w:space="0" w:color="A6A6A6"/>
            </w:tcBorders>
            <w:shd w:val="clear" w:color="000000" w:fill="DFF2D0"/>
            <w:vAlign w:val="center"/>
            <w:hideMark/>
          </w:tcPr>
          <w:p w14:paraId="1D7D20D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PONZANO MONFERRATO - PONTESTURA </w:t>
            </w:r>
          </w:p>
        </w:tc>
        <w:tc>
          <w:tcPr>
            <w:tcW w:w="753" w:type="dxa"/>
            <w:tcBorders>
              <w:top w:val="nil"/>
              <w:left w:val="nil"/>
              <w:bottom w:val="single" w:sz="8" w:space="0" w:color="A6A6A6"/>
              <w:right w:val="single" w:sz="8" w:space="0" w:color="A6A6A6"/>
            </w:tcBorders>
            <w:shd w:val="clear" w:color="000000" w:fill="DFF2D0"/>
            <w:noWrap/>
            <w:vAlign w:val="center"/>
            <w:hideMark/>
          </w:tcPr>
          <w:p w14:paraId="6461BD4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w:t>
            </w:r>
          </w:p>
        </w:tc>
        <w:tc>
          <w:tcPr>
            <w:tcW w:w="1214" w:type="dxa"/>
            <w:tcBorders>
              <w:top w:val="nil"/>
              <w:left w:val="nil"/>
              <w:bottom w:val="single" w:sz="8" w:space="0" w:color="A6A6A6"/>
              <w:right w:val="single" w:sz="8" w:space="0" w:color="A6A6A6"/>
            </w:tcBorders>
            <w:shd w:val="clear" w:color="000000" w:fill="DFF2D0"/>
            <w:noWrap/>
            <w:vAlign w:val="center"/>
            <w:hideMark/>
          </w:tcPr>
          <w:p w14:paraId="14A66F1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8.260 </w:t>
            </w:r>
          </w:p>
        </w:tc>
        <w:tc>
          <w:tcPr>
            <w:tcW w:w="1202" w:type="dxa"/>
            <w:tcBorders>
              <w:top w:val="nil"/>
              <w:left w:val="nil"/>
              <w:bottom w:val="single" w:sz="8" w:space="0" w:color="A6A6A6"/>
              <w:right w:val="double" w:sz="6" w:space="0" w:color="A6A6A6"/>
            </w:tcBorders>
            <w:shd w:val="clear" w:color="000000" w:fill="DFF2D0"/>
            <w:noWrap/>
            <w:vAlign w:val="center"/>
            <w:hideMark/>
          </w:tcPr>
          <w:p w14:paraId="4FFF635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8.260 </w:t>
            </w:r>
          </w:p>
        </w:tc>
      </w:tr>
      <w:tr w:rsidR="00335312" w:rsidRPr="00EE3E83" w14:paraId="570583A0"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2CDFBF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S126</w:t>
            </w:r>
          </w:p>
        </w:tc>
        <w:tc>
          <w:tcPr>
            <w:tcW w:w="4923" w:type="dxa"/>
            <w:tcBorders>
              <w:top w:val="nil"/>
              <w:left w:val="nil"/>
              <w:bottom w:val="single" w:sz="8" w:space="0" w:color="A6A6A6"/>
              <w:right w:val="single" w:sz="8" w:space="0" w:color="A6A6A6"/>
            </w:tcBorders>
            <w:vAlign w:val="center"/>
            <w:hideMark/>
          </w:tcPr>
          <w:p w14:paraId="2348E0E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MORTARA - CASALE MONFERRATO - ASTI</w:t>
            </w:r>
          </w:p>
        </w:tc>
        <w:tc>
          <w:tcPr>
            <w:tcW w:w="753" w:type="dxa"/>
            <w:tcBorders>
              <w:top w:val="nil"/>
              <w:left w:val="nil"/>
              <w:bottom w:val="single" w:sz="8" w:space="0" w:color="A6A6A6"/>
              <w:right w:val="single" w:sz="8" w:space="0" w:color="A6A6A6"/>
            </w:tcBorders>
            <w:noWrap/>
            <w:vAlign w:val="center"/>
            <w:hideMark/>
          </w:tcPr>
          <w:p w14:paraId="3DE9603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30</w:t>
            </w:r>
          </w:p>
        </w:tc>
        <w:tc>
          <w:tcPr>
            <w:tcW w:w="1214" w:type="dxa"/>
            <w:tcBorders>
              <w:top w:val="nil"/>
              <w:left w:val="nil"/>
              <w:bottom w:val="single" w:sz="8" w:space="0" w:color="A6A6A6"/>
              <w:right w:val="single" w:sz="8" w:space="0" w:color="A6A6A6"/>
            </w:tcBorders>
            <w:noWrap/>
            <w:vAlign w:val="center"/>
            <w:hideMark/>
          </w:tcPr>
          <w:p w14:paraId="3D1C73A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298.377 </w:t>
            </w:r>
          </w:p>
        </w:tc>
        <w:tc>
          <w:tcPr>
            <w:tcW w:w="1202" w:type="dxa"/>
            <w:tcBorders>
              <w:top w:val="nil"/>
              <w:left w:val="nil"/>
              <w:bottom w:val="single" w:sz="8" w:space="0" w:color="A6A6A6"/>
              <w:right w:val="double" w:sz="6" w:space="0" w:color="A6A6A6"/>
            </w:tcBorders>
            <w:noWrap/>
            <w:vAlign w:val="center"/>
            <w:hideMark/>
          </w:tcPr>
          <w:p w14:paraId="078D691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298.377 </w:t>
            </w:r>
          </w:p>
        </w:tc>
      </w:tr>
      <w:tr w:rsidR="00335312" w:rsidRPr="00EE3E83" w14:paraId="043E5C21"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9977D0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S128</w:t>
            </w:r>
          </w:p>
        </w:tc>
        <w:tc>
          <w:tcPr>
            <w:tcW w:w="4923" w:type="dxa"/>
            <w:tcBorders>
              <w:top w:val="nil"/>
              <w:left w:val="nil"/>
              <w:bottom w:val="single" w:sz="8" w:space="0" w:color="A6A6A6"/>
              <w:right w:val="single" w:sz="8" w:space="0" w:color="A6A6A6"/>
            </w:tcBorders>
            <w:shd w:val="clear" w:color="000000" w:fill="DFF2D0"/>
            <w:vAlign w:val="center"/>
            <w:hideMark/>
          </w:tcPr>
          <w:p w14:paraId="13A4183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TRINO - PONTESTURA - CASALE MONFERRATO</w:t>
            </w:r>
          </w:p>
        </w:tc>
        <w:tc>
          <w:tcPr>
            <w:tcW w:w="753" w:type="dxa"/>
            <w:tcBorders>
              <w:top w:val="nil"/>
              <w:left w:val="nil"/>
              <w:bottom w:val="single" w:sz="8" w:space="0" w:color="A6A6A6"/>
              <w:right w:val="single" w:sz="8" w:space="0" w:color="A6A6A6"/>
            </w:tcBorders>
            <w:shd w:val="clear" w:color="000000" w:fill="DFF2D0"/>
            <w:noWrap/>
            <w:vAlign w:val="center"/>
            <w:hideMark/>
          </w:tcPr>
          <w:p w14:paraId="1942937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31</w:t>
            </w:r>
          </w:p>
        </w:tc>
        <w:tc>
          <w:tcPr>
            <w:tcW w:w="1214" w:type="dxa"/>
            <w:tcBorders>
              <w:top w:val="nil"/>
              <w:left w:val="nil"/>
              <w:bottom w:val="single" w:sz="8" w:space="0" w:color="A6A6A6"/>
              <w:right w:val="single" w:sz="8" w:space="0" w:color="A6A6A6"/>
            </w:tcBorders>
            <w:shd w:val="clear" w:color="000000" w:fill="DFF2D0"/>
            <w:noWrap/>
            <w:vAlign w:val="center"/>
            <w:hideMark/>
          </w:tcPr>
          <w:p w14:paraId="2A1FCB4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91.145 </w:t>
            </w:r>
          </w:p>
        </w:tc>
        <w:tc>
          <w:tcPr>
            <w:tcW w:w="1202" w:type="dxa"/>
            <w:tcBorders>
              <w:top w:val="nil"/>
              <w:left w:val="nil"/>
              <w:bottom w:val="single" w:sz="8" w:space="0" w:color="A6A6A6"/>
              <w:right w:val="double" w:sz="6" w:space="0" w:color="A6A6A6"/>
            </w:tcBorders>
            <w:shd w:val="clear" w:color="000000" w:fill="DFF2D0"/>
            <w:noWrap/>
            <w:vAlign w:val="center"/>
            <w:hideMark/>
          </w:tcPr>
          <w:p w14:paraId="20C6C34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91.145 </w:t>
            </w:r>
          </w:p>
        </w:tc>
      </w:tr>
      <w:tr w:rsidR="00335312" w:rsidRPr="00EE3E83" w14:paraId="5EF1FB8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67610F9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S129</w:t>
            </w:r>
          </w:p>
        </w:tc>
        <w:tc>
          <w:tcPr>
            <w:tcW w:w="4923" w:type="dxa"/>
            <w:tcBorders>
              <w:top w:val="nil"/>
              <w:left w:val="nil"/>
              <w:bottom w:val="single" w:sz="8" w:space="0" w:color="A6A6A6"/>
              <w:right w:val="single" w:sz="8" w:space="0" w:color="A6A6A6"/>
            </w:tcBorders>
            <w:vAlign w:val="center"/>
            <w:hideMark/>
          </w:tcPr>
          <w:p w14:paraId="119FF723"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BALZOLA - CASALE MONFERRATO</w:t>
            </w:r>
          </w:p>
        </w:tc>
        <w:tc>
          <w:tcPr>
            <w:tcW w:w="753" w:type="dxa"/>
            <w:tcBorders>
              <w:top w:val="nil"/>
              <w:left w:val="nil"/>
              <w:bottom w:val="single" w:sz="8" w:space="0" w:color="A6A6A6"/>
              <w:right w:val="single" w:sz="8" w:space="0" w:color="A6A6A6"/>
            </w:tcBorders>
            <w:noWrap/>
            <w:vAlign w:val="center"/>
            <w:hideMark/>
          </w:tcPr>
          <w:p w14:paraId="40D8C70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noWrap/>
            <w:vAlign w:val="center"/>
            <w:hideMark/>
          </w:tcPr>
          <w:p w14:paraId="5758B5D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9.955 </w:t>
            </w:r>
          </w:p>
        </w:tc>
        <w:tc>
          <w:tcPr>
            <w:tcW w:w="1202" w:type="dxa"/>
            <w:tcBorders>
              <w:top w:val="nil"/>
              <w:left w:val="nil"/>
              <w:bottom w:val="single" w:sz="8" w:space="0" w:color="A6A6A6"/>
              <w:right w:val="double" w:sz="6" w:space="0" w:color="A6A6A6"/>
            </w:tcBorders>
            <w:noWrap/>
            <w:vAlign w:val="center"/>
            <w:hideMark/>
          </w:tcPr>
          <w:p w14:paraId="014569A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9.955 </w:t>
            </w:r>
          </w:p>
        </w:tc>
      </w:tr>
      <w:tr w:rsidR="00335312" w:rsidRPr="00EE3E83" w14:paraId="06F804D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44AA90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S130</w:t>
            </w:r>
          </w:p>
        </w:tc>
        <w:tc>
          <w:tcPr>
            <w:tcW w:w="4923" w:type="dxa"/>
            <w:tcBorders>
              <w:top w:val="nil"/>
              <w:left w:val="nil"/>
              <w:bottom w:val="single" w:sz="8" w:space="0" w:color="A6A6A6"/>
              <w:right w:val="single" w:sz="8" w:space="0" w:color="A6A6A6"/>
            </w:tcBorders>
            <w:shd w:val="clear" w:color="000000" w:fill="DFF2D0"/>
            <w:vAlign w:val="center"/>
            <w:hideMark/>
          </w:tcPr>
          <w:p w14:paraId="3F427D8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GABIANO - CASALE MONFERRATO</w:t>
            </w:r>
          </w:p>
        </w:tc>
        <w:tc>
          <w:tcPr>
            <w:tcW w:w="753" w:type="dxa"/>
            <w:tcBorders>
              <w:top w:val="nil"/>
              <w:left w:val="nil"/>
              <w:bottom w:val="single" w:sz="8" w:space="0" w:color="A6A6A6"/>
              <w:right w:val="single" w:sz="8" w:space="0" w:color="A6A6A6"/>
            </w:tcBorders>
            <w:shd w:val="clear" w:color="000000" w:fill="DFF2D0"/>
            <w:noWrap/>
            <w:vAlign w:val="center"/>
            <w:hideMark/>
          </w:tcPr>
          <w:p w14:paraId="74D7838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shd w:val="clear" w:color="000000" w:fill="DFF2D0"/>
            <w:noWrap/>
            <w:vAlign w:val="center"/>
            <w:hideMark/>
          </w:tcPr>
          <w:p w14:paraId="0ADDD52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28.246 </w:t>
            </w:r>
          </w:p>
        </w:tc>
        <w:tc>
          <w:tcPr>
            <w:tcW w:w="1202" w:type="dxa"/>
            <w:tcBorders>
              <w:top w:val="nil"/>
              <w:left w:val="nil"/>
              <w:bottom w:val="single" w:sz="8" w:space="0" w:color="A6A6A6"/>
              <w:right w:val="double" w:sz="6" w:space="0" w:color="A6A6A6"/>
            </w:tcBorders>
            <w:shd w:val="clear" w:color="000000" w:fill="DFF2D0"/>
            <w:noWrap/>
            <w:vAlign w:val="center"/>
            <w:hideMark/>
          </w:tcPr>
          <w:p w14:paraId="7B47A7A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28.246 </w:t>
            </w:r>
          </w:p>
        </w:tc>
      </w:tr>
      <w:tr w:rsidR="00335312" w:rsidRPr="00EE3E83" w14:paraId="0983A83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3DD9AA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S131</w:t>
            </w:r>
          </w:p>
        </w:tc>
        <w:tc>
          <w:tcPr>
            <w:tcW w:w="4923" w:type="dxa"/>
            <w:tcBorders>
              <w:top w:val="nil"/>
              <w:left w:val="nil"/>
              <w:bottom w:val="single" w:sz="8" w:space="0" w:color="A6A6A6"/>
              <w:right w:val="single" w:sz="8" w:space="0" w:color="A6A6A6"/>
            </w:tcBorders>
            <w:vAlign w:val="center"/>
            <w:hideMark/>
          </w:tcPr>
          <w:p w14:paraId="17837CA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CASALE MONFERRATO - VERCELLI</w:t>
            </w:r>
          </w:p>
        </w:tc>
        <w:tc>
          <w:tcPr>
            <w:tcW w:w="753" w:type="dxa"/>
            <w:tcBorders>
              <w:top w:val="nil"/>
              <w:left w:val="nil"/>
              <w:bottom w:val="single" w:sz="8" w:space="0" w:color="A6A6A6"/>
              <w:right w:val="single" w:sz="8" w:space="0" w:color="A6A6A6"/>
            </w:tcBorders>
            <w:noWrap/>
            <w:vAlign w:val="center"/>
            <w:hideMark/>
          </w:tcPr>
          <w:p w14:paraId="2A52915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noWrap/>
            <w:vAlign w:val="center"/>
            <w:hideMark/>
          </w:tcPr>
          <w:p w14:paraId="3C9EEC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165.943 </w:t>
            </w:r>
          </w:p>
        </w:tc>
        <w:tc>
          <w:tcPr>
            <w:tcW w:w="1202" w:type="dxa"/>
            <w:tcBorders>
              <w:top w:val="nil"/>
              <w:left w:val="nil"/>
              <w:bottom w:val="single" w:sz="8" w:space="0" w:color="A6A6A6"/>
              <w:right w:val="double" w:sz="6" w:space="0" w:color="A6A6A6"/>
            </w:tcBorders>
            <w:noWrap/>
            <w:vAlign w:val="center"/>
            <w:hideMark/>
          </w:tcPr>
          <w:p w14:paraId="37DF386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165.943 </w:t>
            </w:r>
          </w:p>
        </w:tc>
      </w:tr>
      <w:tr w:rsidR="00335312" w:rsidRPr="00EE3E83" w14:paraId="2287360F"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1AD986A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S157</w:t>
            </w:r>
          </w:p>
        </w:tc>
        <w:tc>
          <w:tcPr>
            <w:tcW w:w="4923" w:type="dxa"/>
            <w:tcBorders>
              <w:top w:val="nil"/>
              <w:left w:val="nil"/>
              <w:bottom w:val="single" w:sz="8" w:space="0" w:color="A6A6A6"/>
              <w:right w:val="single" w:sz="8" w:space="0" w:color="A6A6A6"/>
            </w:tcBorders>
            <w:shd w:val="clear" w:color="000000" w:fill="DFF2D0"/>
            <w:vAlign w:val="center"/>
            <w:hideMark/>
          </w:tcPr>
          <w:p w14:paraId="260E5B8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VALENZA - SPINETTA MARENGO STABILIMENTI</w:t>
            </w:r>
          </w:p>
        </w:tc>
        <w:tc>
          <w:tcPr>
            <w:tcW w:w="753" w:type="dxa"/>
            <w:tcBorders>
              <w:top w:val="nil"/>
              <w:left w:val="nil"/>
              <w:bottom w:val="single" w:sz="8" w:space="0" w:color="A6A6A6"/>
              <w:right w:val="single" w:sz="8" w:space="0" w:color="A6A6A6"/>
            </w:tcBorders>
            <w:shd w:val="clear" w:color="000000" w:fill="DFF2D0"/>
            <w:noWrap/>
            <w:vAlign w:val="center"/>
            <w:hideMark/>
          </w:tcPr>
          <w:p w14:paraId="0FDA14C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shd w:val="clear" w:color="000000" w:fill="DFF2D0"/>
            <w:noWrap/>
            <w:vAlign w:val="center"/>
            <w:hideMark/>
          </w:tcPr>
          <w:p w14:paraId="3C5AC0E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41.736 </w:t>
            </w:r>
          </w:p>
        </w:tc>
        <w:tc>
          <w:tcPr>
            <w:tcW w:w="1202" w:type="dxa"/>
            <w:tcBorders>
              <w:top w:val="nil"/>
              <w:left w:val="nil"/>
              <w:bottom w:val="single" w:sz="8" w:space="0" w:color="A6A6A6"/>
              <w:right w:val="double" w:sz="6" w:space="0" w:color="A6A6A6"/>
            </w:tcBorders>
            <w:shd w:val="clear" w:color="000000" w:fill="DFF2D0"/>
            <w:noWrap/>
            <w:vAlign w:val="center"/>
            <w:hideMark/>
          </w:tcPr>
          <w:p w14:paraId="00A7056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41.736 </w:t>
            </w:r>
          </w:p>
        </w:tc>
      </w:tr>
      <w:tr w:rsidR="00335312" w:rsidRPr="00EE3E83" w14:paraId="2381AD09"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83197A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S192</w:t>
            </w:r>
          </w:p>
        </w:tc>
        <w:tc>
          <w:tcPr>
            <w:tcW w:w="4923" w:type="dxa"/>
            <w:tcBorders>
              <w:top w:val="nil"/>
              <w:left w:val="nil"/>
              <w:bottom w:val="single" w:sz="8" w:space="0" w:color="A6A6A6"/>
              <w:right w:val="single" w:sz="8" w:space="0" w:color="A6A6A6"/>
            </w:tcBorders>
            <w:vAlign w:val="center"/>
            <w:hideMark/>
          </w:tcPr>
          <w:p w14:paraId="619465A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TERME - MONTECHIARO D'ACQUIDIR.</w:t>
            </w:r>
          </w:p>
        </w:tc>
        <w:tc>
          <w:tcPr>
            <w:tcW w:w="753" w:type="dxa"/>
            <w:tcBorders>
              <w:top w:val="nil"/>
              <w:left w:val="nil"/>
              <w:bottom w:val="single" w:sz="8" w:space="0" w:color="A6A6A6"/>
              <w:right w:val="single" w:sz="8" w:space="0" w:color="A6A6A6"/>
            </w:tcBorders>
            <w:noWrap/>
            <w:vAlign w:val="center"/>
            <w:hideMark/>
          </w:tcPr>
          <w:p w14:paraId="150BC63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noWrap/>
            <w:vAlign w:val="center"/>
            <w:hideMark/>
          </w:tcPr>
          <w:p w14:paraId="7FC078C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25.434 </w:t>
            </w:r>
          </w:p>
        </w:tc>
        <w:tc>
          <w:tcPr>
            <w:tcW w:w="1202" w:type="dxa"/>
            <w:tcBorders>
              <w:top w:val="nil"/>
              <w:left w:val="nil"/>
              <w:bottom w:val="single" w:sz="8" w:space="0" w:color="A6A6A6"/>
              <w:right w:val="double" w:sz="6" w:space="0" w:color="A6A6A6"/>
            </w:tcBorders>
            <w:noWrap/>
            <w:vAlign w:val="center"/>
            <w:hideMark/>
          </w:tcPr>
          <w:p w14:paraId="15E5949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25.434 </w:t>
            </w:r>
          </w:p>
        </w:tc>
      </w:tr>
      <w:tr w:rsidR="00335312" w:rsidRPr="00EE3E83" w14:paraId="3B629B5D"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40D7FFB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S193</w:t>
            </w:r>
          </w:p>
        </w:tc>
        <w:tc>
          <w:tcPr>
            <w:tcW w:w="4923" w:type="dxa"/>
            <w:tcBorders>
              <w:top w:val="nil"/>
              <w:left w:val="nil"/>
              <w:bottom w:val="single" w:sz="8" w:space="0" w:color="A6A6A6"/>
              <w:right w:val="single" w:sz="8" w:space="0" w:color="A6A6A6"/>
            </w:tcBorders>
            <w:shd w:val="clear" w:color="000000" w:fill="DFF2D0"/>
            <w:vAlign w:val="center"/>
            <w:hideMark/>
          </w:tcPr>
          <w:p w14:paraId="397B152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ACQUI TERME - COSTA DI MORBELLO</w:t>
            </w:r>
          </w:p>
        </w:tc>
        <w:tc>
          <w:tcPr>
            <w:tcW w:w="753" w:type="dxa"/>
            <w:tcBorders>
              <w:top w:val="nil"/>
              <w:left w:val="nil"/>
              <w:bottom w:val="single" w:sz="8" w:space="0" w:color="A6A6A6"/>
              <w:right w:val="single" w:sz="8" w:space="0" w:color="A6A6A6"/>
            </w:tcBorders>
            <w:shd w:val="clear" w:color="000000" w:fill="DFF2D0"/>
            <w:noWrap/>
            <w:vAlign w:val="center"/>
            <w:hideMark/>
          </w:tcPr>
          <w:p w14:paraId="41E87AE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1214" w:type="dxa"/>
            <w:tcBorders>
              <w:top w:val="nil"/>
              <w:left w:val="nil"/>
              <w:bottom w:val="single" w:sz="8" w:space="0" w:color="A6A6A6"/>
              <w:right w:val="single" w:sz="8" w:space="0" w:color="A6A6A6"/>
            </w:tcBorders>
            <w:shd w:val="clear" w:color="000000" w:fill="DFF2D0"/>
            <w:noWrap/>
            <w:vAlign w:val="center"/>
            <w:hideMark/>
          </w:tcPr>
          <w:p w14:paraId="0EBFA6B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28.048 </w:t>
            </w:r>
          </w:p>
        </w:tc>
        <w:tc>
          <w:tcPr>
            <w:tcW w:w="1202" w:type="dxa"/>
            <w:tcBorders>
              <w:top w:val="nil"/>
              <w:left w:val="nil"/>
              <w:bottom w:val="single" w:sz="8" w:space="0" w:color="A6A6A6"/>
              <w:right w:val="double" w:sz="6" w:space="0" w:color="A6A6A6"/>
            </w:tcBorders>
            <w:shd w:val="clear" w:color="000000" w:fill="DFF2D0"/>
            <w:noWrap/>
            <w:vAlign w:val="center"/>
            <w:hideMark/>
          </w:tcPr>
          <w:p w14:paraId="696AA5A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28.048 </w:t>
            </w:r>
          </w:p>
        </w:tc>
      </w:tr>
      <w:tr w:rsidR="00335312" w:rsidRPr="00EE3E83" w14:paraId="21AA2538"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50EF1D7E"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004B5B65"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EXTRURBANI BACINO SUD EST</w:t>
            </w:r>
          </w:p>
        </w:tc>
        <w:tc>
          <w:tcPr>
            <w:tcW w:w="753" w:type="dxa"/>
            <w:tcBorders>
              <w:top w:val="nil"/>
              <w:left w:val="nil"/>
              <w:bottom w:val="double" w:sz="6" w:space="0" w:color="A6A6A6"/>
              <w:right w:val="single" w:sz="8" w:space="0" w:color="A6A6A6"/>
            </w:tcBorders>
            <w:shd w:val="clear" w:color="000000" w:fill="B5E6A2"/>
            <w:noWrap/>
            <w:vAlign w:val="center"/>
            <w:hideMark/>
          </w:tcPr>
          <w:p w14:paraId="65FDE564"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2.902</w:t>
            </w:r>
          </w:p>
        </w:tc>
        <w:tc>
          <w:tcPr>
            <w:tcW w:w="1214" w:type="dxa"/>
            <w:tcBorders>
              <w:top w:val="nil"/>
              <w:left w:val="nil"/>
              <w:bottom w:val="double" w:sz="6" w:space="0" w:color="A6A6A6"/>
              <w:right w:val="single" w:sz="8" w:space="0" w:color="A6A6A6"/>
            </w:tcBorders>
            <w:shd w:val="clear" w:color="000000" w:fill="B5E6A2"/>
            <w:noWrap/>
            <w:vAlign w:val="center"/>
            <w:hideMark/>
          </w:tcPr>
          <w:p w14:paraId="585613E8"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9.799.770 </w:t>
            </w:r>
          </w:p>
        </w:tc>
        <w:tc>
          <w:tcPr>
            <w:tcW w:w="1202" w:type="dxa"/>
            <w:tcBorders>
              <w:top w:val="nil"/>
              <w:left w:val="nil"/>
              <w:bottom w:val="double" w:sz="6" w:space="0" w:color="A6A6A6"/>
              <w:right w:val="double" w:sz="6" w:space="0" w:color="A6A6A6"/>
            </w:tcBorders>
            <w:shd w:val="clear" w:color="000000" w:fill="B5E6A2"/>
            <w:noWrap/>
            <w:vAlign w:val="center"/>
            <w:hideMark/>
          </w:tcPr>
          <w:p w14:paraId="794686B1"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9.732.991 </w:t>
            </w:r>
          </w:p>
        </w:tc>
      </w:tr>
      <w:tr w:rsidR="00335312" w:rsidRPr="00EE3E83" w14:paraId="06FD1C3F"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1762A4F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a002</w:t>
            </w:r>
          </w:p>
        </w:tc>
        <w:tc>
          <w:tcPr>
            <w:tcW w:w="4923" w:type="dxa"/>
            <w:tcBorders>
              <w:top w:val="nil"/>
              <w:left w:val="nil"/>
              <w:bottom w:val="single" w:sz="8" w:space="0" w:color="A6A6A6"/>
              <w:right w:val="single" w:sz="8" w:space="0" w:color="A6A6A6"/>
            </w:tcBorders>
            <w:vAlign w:val="center"/>
            <w:hideMark/>
          </w:tcPr>
          <w:p w14:paraId="3E60815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SPALTO MARENGO - CABANETTE - CANTALUPO</w:t>
            </w:r>
          </w:p>
        </w:tc>
        <w:tc>
          <w:tcPr>
            <w:tcW w:w="753" w:type="dxa"/>
            <w:tcBorders>
              <w:top w:val="nil"/>
              <w:left w:val="nil"/>
              <w:bottom w:val="single" w:sz="8" w:space="0" w:color="A6A6A6"/>
              <w:right w:val="single" w:sz="8" w:space="0" w:color="A6A6A6"/>
            </w:tcBorders>
            <w:noWrap/>
            <w:vAlign w:val="center"/>
            <w:hideMark/>
          </w:tcPr>
          <w:p w14:paraId="174E8AA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233</w:t>
            </w:r>
          </w:p>
        </w:tc>
        <w:tc>
          <w:tcPr>
            <w:tcW w:w="1214" w:type="dxa"/>
            <w:tcBorders>
              <w:top w:val="nil"/>
              <w:left w:val="nil"/>
              <w:bottom w:val="single" w:sz="8" w:space="0" w:color="A6A6A6"/>
              <w:right w:val="single" w:sz="8" w:space="0" w:color="A6A6A6"/>
            </w:tcBorders>
            <w:noWrap/>
            <w:vAlign w:val="center"/>
            <w:hideMark/>
          </w:tcPr>
          <w:p w14:paraId="3B29C3F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280.102 </w:t>
            </w:r>
          </w:p>
        </w:tc>
        <w:tc>
          <w:tcPr>
            <w:tcW w:w="1202" w:type="dxa"/>
            <w:tcBorders>
              <w:top w:val="nil"/>
              <w:left w:val="nil"/>
              <w:bottom w:val="single" w:sz="8" w:space="0" w:color="A6A6A6"/>
              <w:right w:val="double" w:sz="6" w:space="0" w:color="A6A6A6"/>
            </w:tcBorders>
            <w:noWrap/>
            <w:vAlign w:val="center"/>
            <w:hideMark/>
          </w:tcPr>
          <w:p w14:paraId="4C4ED2E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280.102 </w:t>
            </w:r>
          </w:p>
        </w:tc>
      </w:tr>
      <w:tr w:rsidR="00335312" w:rsidRPr="00EE3E83" w14:paraId="2A0AE8E3"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7313ED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a003</w:t>
            </w:r>
          </w:p>
        </w:tc>
        <w:tc>
          <w:tcPr>
            <w:tcW w:w="4923" w:type="dxa"/>
            <w:tcBorders>
              <w:top w:val="nil"/>
              <w:left w:val="nil"/>
              <w:bottom w:val="single" w:sz="8" w:space="0" w:color="A6A6A6"/>
              <w:right w:val="single" w:sz="8" w:space="0" w:color="A6A6A6"/>
            </w:tcBorders>
            <w:shd w:val="clear" w:color="000000" w:fill="DFF2D0"/>
            <w:vAlign w:val="center"/>
            <w:hideMark/>
          </w:tcPr>
          <w:p w14:paraId="77442FB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CASALBAGLIANO - STAZIONE FS - CIMITERO</w:t>
            </w:r>
          </w:p>
        </w:tc>
        <w:tc>
          <w:tcPr>
            <w:tcW w:w="753" w:type="dxa"/>
            <w:tcBorders>
              <w:top w:val="nil"/>
              <w:left w:val="nil"/>
              <w:bottom w:val="single" w:sz="8" w:space="0" w:color="A6A6A6"/>
              <w:right w:val="single" w:sz="8" w:space="0" w:color="A6A6A6"/>
            </w:tcBorders>
            <w:shd w:val="clear" w:color="000000" w:fill="DFF2D0"/>
            <w:noWrap/>
            <w:vAlign w:val="center"/>
            <w:hideMark/>
          </w:tcPr>
          <w:p w14:paraId="0DE7847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131</w:t>
            </w:r>
          </w:p>
        </w:tc>
        <w:tc>
          <w:tcPr>
            <w:tcW w:w="1214" w:type="dxa"/>
            <w:tcBorders>
              <w:top w:val="nil"/>
              <w:left w:val="nil"/>
              <w:bottom w:val="single" w:sz="8" w:space="0" w:color="A6A6A6"/>
              <w:right w:val="single" w:sz="8" w:space="0" w:color="A6A6A6"/>
            </w:tcBorders>
            <w:shd w:val="clear" w:color="000000" w:fill="DFF2D0"/>
            <w:noWrap/>
            <w:vAlign w:val="center"/>
            <w:hideMark/>
          </w:tcPr>
          <w:p w14:paraId="05D2260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187.403 </w:t>
            </w:r>
          </w:p>
        </w:tc>
        <w:tc>
          <w:tcPr>
            <w:tcW w:w="1202" w:type="dxa"/>
            <w:tcBorders>
              <w:top w:val="nil"/>
              <w:left w:val="nil"/>
              <w:bottom w:val="single" w:sz="8" w:space="0" w:color="A6A6A6"/>
              <w:right w:val="double" w:sz="6" w:space="0" w:color="A6A6A6"/>
            </w:tcBorders>
            <w:shd w:val="clear" w:color="000000" w:fill="DFF2D0"/>
            <w:noWrap/>
            <w:vAlign w:val="center"/>
            <w:hideMark/>
          </w:tcPr>
          <w:p w14:paraId="6A0A592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187.403 </w:t>
            </w:r>
          </w:p>
        </w:tc>
      </w:tr>
      <w:tr w:rsidR="00335312" w:rsidRPr="00EE3E83" w14:paraId="355EA94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F951D6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a004</w:t>
            </w:r>
          </w:p>
        </w:tc>
        <w:tc>
          <w:tcPr>
            <w:tcW w:w="4923" w:type="dxa"/>
            <w:tcBorders>
              <w:top w:val="nil"/>
              <w:left w:val="nil"/>
              <w:bottom w:val="single" w:sz="8" w:space="0" w:color="A6A6A6"/>
              <w:right w:val="single" w:sz="8" w:space="0" w:color="A6A6A6"/>
            </w:tcBorders>
            <w:vAlign w:val="center"/>
            <w:hideMark/>
          </w:tcPr>
          <w:p w14:paraId="16953F6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DONIZETTI - STAZIONE FS - DE GASPERI</w:t>
            </w:r>
          </w:p>
        </w:tc>
        <w:tc>
          <w:tcPr>
            <w:tcW w:w="753" w:type="dxa"/>
            <w:tcBorders>
              <w:top w:val="nil"/>
              <w:left w:val="nil"/>
              <w:bottom w:val="single" w:sz="8" w:space="0" w:color="A6A6A6"/>
              <w:right w:val="single" w:sz="8" w:space="0" w:color="A6A6A6"/>
            </w:tcBorders>
            <w:noWrap/>
            <w:vAlign w:val="center"/>
            <w:hideMark/>
          </w:tcPr>
          <w:p w14:paraId="76ADFD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134</w:t>
            </w:r>
          </w:p>
        </w:tc>
        <w:tc>
          <w:tcPr>
            <w:tcW w:w="1214" w:type="dxa"/>
            <w:tcBorders>
              <w:top w:val="nil"/>
              <w:left w:val="nil"/>
              <w:bottom w:val="single" w:sz="8" w:space="0" w:color="A6A6A6"/>
              <w:right w:val="single" w:sz="8" w:space="0" w:color="A6A6A6"/>
            </w:tcBorders>
            <w:noWrap/>
            <w:vAlign w:val="center"/>
            <w:hideMark/>
          </w:tcPr>
          <w:p w14:paraId="0BD782D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183.371 </w:t>
            </w:r>
          </w:p>
        </w:tc>
        <w:tc>
          <w:tcPr>
            <w:tcW w:w="1202" w:type="dxa"/>
            <w:tcBorders>
              <w:top w:val="nil"/>
              <w:left w:val="nil"/>
              <w:bottom w:val="single" w:sz="8" w:space="0" w:color="A6A6A6"/>
              <w:right w:val="double" w:sz="6" w:space="0" w:color="A6A6A6"/>
            </w:tcBorders>
            <w:noWrap/>
            <w:vAlign w:val="center"/>
            <w:hideMark/>
          </w:tcPr>
          <w:p w14:paraId="65C4438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183.371 </w:t>
            </w:r>
          </w:p>
        </w:tc>
      </w:tr>
      <w:tr w:rsidR="00335312" w:rsidRPr="00EE3E83" w14:paraId="74BAA001"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0B917EA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a005</w:t>
            </w:r>
          </w:p>
        </w:tc>
        <w:tc>
          <w:tcPr>
            <w:tcW w:w="4923" w:type="dxa"/>
            <w:tcBorders>
              <w:top w:val="nil"/>
              <w:left w:val="nil"/>
              <w:bottom w:val="single" w:sz="8" w:space="0" w:color="A6A6A6"/>
              <w:right w:val="single" w:sz="8" w:space="0" w:color="A6A6A6"/>
            </w:tcBorders>
            <w:shd w:val="clear" w:color="000000" w:fill="DFF2D0"/>
            <w:vAlign w:val="center"/>
            <w:hideMark/>
          </w:tcPr>
          <w:p w14:paraId="67B3E54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STAZIONE FS - MARENGO - PERFUMO - BETTALE</w:t>
            </w:r>
          </w:p>
        </w:tc>
        <w:tc>
          <w:tcPr>
            <w:tcW w:w="753" w:type="dxa"/>
            <w:tcBorders>
              <w:top w:val="nil"/>
              <w:left w:val="nil"/>
              <w:bottom w:val="single" w:sz="8" w:space="0" w:color="A6A6A6"/>
              <w:right w:val="single" w:sz="8" w:space="0" w:color="A6A6A6"/>
            </w:tcBorders>
            <w:shd w:val="clear" w:color="000000" w:fill="DFF2D0"/>
            <w:noWrap/>
            <w:vAlign w:val="center"/>
            <w:hideMark/>
          </w:tcPr>
          <w:p w14:paraId="7B6F486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197</w:t>
            </w:r>
          </w:p>
        </w:tc>
        <w:tc>
          <w:tcPr>
            <w:tcW w:w="1214" w:type="dxa"/>
            <w:tcBorders>
              <w:top w:val="nil"/>
              <w:left w:val="nil"/>
              <w:bottom w:val="single" w:sz="8" w:space="0" w:color="A6A6A6"/>
              <w:right w:val="single" w:sz="8" w:space="0" w:color="A6A6A6"/>
            </w:tcBorders>
            <w:shd w:val="clear" w:color="000000" w:fill="DFF2D0"/>
            <w:noWrap/>
            <w:vAlign w:val="center"/>
            <w:hideMark/>
          </w:tcPr>
          <w:p w14:paraId="773A7EE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185.234 </w:t>
            </w:r>
          </w:p>
        </w:tc>
        <w:tc>
          <w:tcPr>
            <w:tcW w:w="1202" w:type="dxa"/>
            <w:tcBorders>
              <w:top w:val="nil"/>
              <w:left w:val="nil"/>
              <w:bottom w:val="single" w:sz="8" w:space="0" w:color="A6A6A6"/>
              <w:right w:val="double" w:sz="6" w:space="0" w:color="A6A6A6"/>
            </w:tcBorders>
            <w:shd w:val="clear" w:color="000000" w:fill="DFF2D0"/>
            <w:noWrap/>
            <w:vAlign w:val="center"/>
            <w:hideMark/>
          </w:tcPr>
          <w:p w14:paraId="1A24115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185.234 </w:t>
            </w:r>
          </w:p>
        </w:tc>
      </w:tr>
      <w:tr w:rsidR="00335312" w:rsidRPr="00EE3E83" w14:paraId="5F251A0E"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6993F4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a006</w:t>
            </w:r>
          </w:p>
        </w:tc>
        <w:tc>
          <w:tcPr>
            <w:tcW w:w="4923" w:type="dxa"/>
            <w:tcBorders>
              <w:top w:val="nil"/>
              <w:left w:val="nil"/>
              <w:bottom w:val="single" w:sz="8" w:space="0" w:color="A6A6A6"/>
              <w:right w:val="single" w:sz="8" w:space="0" w:color="A6A6A6"/>
            </w:tcBorders>
            <w:vAlign w:val="center"/>
            <w:hideMark/>
          </w:tcPr>
          <w:p w14:paraId="301E270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DE GASPERI - STAZIONE FS - GUALA AGV</w:t>
            </w:r>
          </w:p>
        </w:tc>
        <w:tc>
          <w:tcPr>
            <w:tcW w:w="753" w:type="dxa"/>
            <w:tcBorders>
              <w:top w:val="nil"/>
              <w:left w:val="nil"/>
              <w:bottom w:val="single" w:sz="8" w:space="0" w:color="A6A6A6"/>
              <w:right w:val="single" w:sz="8" w:space="0" w:color="A6A6A6"/>
            </w:tcBorders>
            <w:noWrap/>
            <w:vAlign w:val="center"/>
            <w:hideMark/>
          </w:tcPr>
          <w:p w14:paraId="0FCCA21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14</w:t>
            </w:r>
          </w:p>
        </w:tc>
        <w:tc>
          <w:tcPr>
            <w:tcW w:w="1214" w:type="dxa"/>
            <w:tcBorders>
              <w:top w:val="nil"/>
              <w:left w:val="nil"/>
              <w:bottom w:val="single" w:sz="8" w:space="0" w:color="A6A6A6"/>
              <w:right w:val="single" w:sz="8" w:space="0" w:color="A6A6A6"/>
            </w:tcBorders>
            <w:noWrap/>
            <w:vAlign w:val="center"/>
            <w:hideMark/>
          </w:tcPr>
          <w:p w14:paraId="3872548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72.485 </w:t>
            </w:r>
          </w:p>
        </w:tc>
        <w:tc>
          <w:tcPr>
            <w:tcW w:w="1202" w:type="dxa"/>
            <w:tcBorders>
              <w:top w:val="nil"/>
              <w:left w:val="nil"/>
              <w:bottom w:val="single" w:sz="8" w:space="0" w:color="A6A6A6"/>
              <w:right w:val="double" w:sz="6" w:space="0" w:color="A6A6A6"/>
            </w:tcBorders>
            <w:noWrap/>
            <w:vAlign w:val="center"/>
            <w:hideMark/>
          </w:tcPr>
          <w:p w14:paraId="152247B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72.485 </w:t>
            </w:r>
          </w:p>
        </w:tc>
      </w:tr>
      <w:tr w:rsidR="00335312" w:rsidRPr="00EE3E83" w14:paraId="24BA5B8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D65733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a010</w:t>
            </w:r>
          </w:p>
        </w:tc>
        <w:tc>
          <w:tcPr>
            <w:tcW w:w="4923" w:type="dxa"/>
            <w:tcBorders>
              <w:top w:val="nil"/>
              <w:left w:val="nil"/>
              <w:bottom w:val="single" w:sz="8" w:space="0" w:color="A6A6A6"/>
              <w:right w:val="single" w:sz="8" w:space="0" w:color="A6A6A6"/>
            </w:tcBorders>
            <w:shd w:val="clear" w:color="000000" w:fill="DFF2D0"/>
            <w:vAlign w:val="center"/>
            <w:hideMark/>
          </w:tcPr>
          <w:p w14:paraId="2802B11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VALLE S. BARTOLOMEO - PECETTO - PELLIZZARI</w:t>
            </w:r>
          </w:p>
        </w:tc>
        <w:tc>
          <w:tcPr>
            <w:tcW w:w="753" w:type="dxa"/>
            <w:tcBorders>
              <w:top w:val="nil"/>
              <w:left w:val="nil"/>
              <w:bottom w:val="single" w:sz="8" w:space="0" w:color="A6A6A6"/>
              <w:right w:val="single" w:sz="8" w:space="0" w:color="A6A6A6"/>
            </w:tcBorders>
            <w:shd w:val="clear" w:color="000000" w:fill="DFF2D0"/>
            <w:noWrap/>
            <w:vAlign w:val="center"/>
            <w:hideMark/>
          </w:tcPr>
          <w:p w14:paraId="0A4FC51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shd w:val="clear" w:color="000000" w:fill="DFF2D0"/>
            <w:noWrap/>
            <w:vAlign w:val="center"/>
            <w:hideMark/>
          </w:tcPr>
          <w:p w14:paraId="314832F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27.628 </w:t>
            </w:r>
          </w:p>
        </w:tc>
        <w:tc>
          <w:tcPr>
            <w:tcW w:w="1202" w:type="dxa"/>
            <w:tcBorders>
              <w:top w:val="nil"/>
              <w:left w:val="nil"/>
              <w:bottom w:val="single" w:sz="8" w:space="0" w:color="A6A6A6"/>
              <w:right w:val="double" w:sz="6" w:space="0" w:color="A6A6A6"/>
            </w:tcBorders>
            <w:shd w:val="clear" w:color="000000" w:fill="DFF2D0"/>
            <w:noWrap/>
            <w:vAlign w:val="center"/>
            <w:hideMark/>
          </w:tcPr>
          <w:p w14:paraId="39D7BEA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27.628 </w:t>
            </w:r>
          </w:p>
        </w:tc>
      </w:tr>
      <w:tr w:rsidR="00335312" w:rsidRPr="00EE3E83" w14:paraId="236D7C1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C56D0E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a011</w:t>
            </w:r>
          </w:p>
        </w:tc>
        <w:tc>
          <w:tcPr>
            <w:tcW w:w="4923" w:type="dxa"/>
            <w:tcBorders>
              <w:top w:val="nil"/>
              <w:left w:val="nil"/>
              <w:bottom w:val="single" w:sz="8" w:space="0" w:color="A6A6A6"/>
              <w:right w:val="single" w:sz="8" w:space="0" w:color="A6A6A6"/>
            </w:tcBorders>
            <w:vAlign w:val="center"/>
            <w:hideMark/>
          </w:tcPr>
          <w:p w14:paraId="49989C2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S. MICHELE GIARDINETTO</w:t>
            </w:r>
          </w:p>
        </w:tc>
        <w:tc>
          <w:tcPr>
            <w:tcW w:w="753" w:type="dxa"/>
            <w:tcBorders>
              <w:top w:val="nil"/>
              <w:left w:val="nil"/>
              <w:bottom w:val="single" w:sz="8" w:space="0" w:color="A6A6A6"/>
              <w:right w:val="single" w:sz="8" w:space="0" w:color="A6A6A6"/>
            </w:tcBorders>
            <w:noWrap/>
            <w:vAlign w:val="center"/>
            <w:hideMark/>
          </w:tcPr>
          <w:p w14:paraId="7EABA8D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noWrap/>
            <w:vAlign w:val="center"/>
            <w:hideMark/>
          </w:tcPr>
          <w:p w14:paraId="1A79E33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21.320 </w:t>
            </w:r>
          </w:p>
        </w:tc>
        <w:tc>
          <w:tcPr>
            <w:tcW w:w="1202" w:type="dxa"/>
            <w:tcBorders>
              <w:top w:val="nil"/>
              <w:left w:val="nil"/>
              <w:bottom w:val="single" w:sz="8" w:space="0" w:color="A6A6A6"/>
              <w:right w:val="double" w:sz="6" w:space="0" w:color="A6A6A6"/>
            </w:tcBorders>
            <w:noWrap/>
            <w:vAlign w:val="center"/>
            <w:hideMark/>
          </w:tcPr>
          <w:p w14:paraId="510E0F4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21.320 </w:t>
            </w:r>
          </w:p>
        </w:tc>
      </w:tr>
      <w:tr w:rsidR="00335312" w:rsidRPr="00EE3E83" w14:paraId="6D437166"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A3DB7D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a013</w:t>
            </w:r>
          </w:p>
        </w:tc>
        <w:tc>
          <w:tcPr>
            <w:tcW w:w="4923" w:type="dxa"/>
            <w:tcBorders>
              <w:top w:val="nil"/>
              <w:left w:val="nil"/>
              <w:bottom w:val="single" w:sz="8" w:space="0" w:color="A6A6A6"/>
              <w:right w:val="single" w:sz="8" w:space="0" w:color="A6A6A6"/>
            </w:tcBorders>
            <w:shd w:val="clear" w:color="000000" w:fill="DFF2D0"/>
            <w:vAlign w:val="center"/>
            <w:hideMark/>
          </w:tcPr>
          <w:p w14:paraId="6CC2DC9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MANDROGNE - S. GIULIANO V. - RIVALTA S.</w:t>
            </w:r>
          </w:p>
        </w:tc>
        <w:tc>
          <w:tcPr>
            <w:tcW w:w="753" w:type="dxa"/>
            <w:tcBorders>
              <w:top w:val="nil"/>
              <w:left w:val="nil"/>
              <w:bottom w:val="single" w:sz="8" w:space="0" w:color="A6A6A6"/>
              <w:right w:val="single" w:sz="8" w:space="0" w:color="A6A6A6"/>
            </w:tcBorders>
            <w:shd w:val="clear" w:color="000000" w:fill="DFF2D0"/>
            <w:noWrap/>
            <w:vAlign w:val="center"/>
            <w:hideMark/>
          </w:tcPr>
          <w:p w14:paraId="0A95881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51</w:t>
            </w:r>
          </w:p>
        </w:tc>
        <w:tc>
          <w:tcPr>
            <w:tcW w:w="1214" w:type="dxa"/>
            <w:tcBorders>
              <w:top w:val="nil"/>
              <w:left w:val="nil"/>
              <w:bottom w:val="single" w:sz="8" w:space="0" w:color="A6A6A6"/>
              <w:right w:val="single" w:sz="8" w:space="0" w:color="A6A6A6"/>
            </w:tcBorders>
            <w:shd w:val="clear" w:color="000000" w:fill="DFF2D0"/>
            <w:noWrap/>
            <w:vAlign w:val="center"/>
            <w:hideMark/>
          </w:tcPr>
          <w:p w14:paraId="259392B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162.728 </w:t>
            </w:r>
          </w:p>
        </w:tc>
        <w:tc>
          <w:tcPr>
            <w:tcW w:w="1202" w:type="dxa"/>
            <w:tcBorders>
              <w:top w:val="nil"/>
              <w:left w:val="nil"/>
              <w:bottom w:val="single" w:sz="8" w:space="0" w:color="A6A6A6"/>
              <w:right w:val="double" w:sz="6" w:space="0" w:color="A6A6A6"/>
            </w:tcBorders>
            <w:shd w:val="clear" w:color="000000" w:fill="DFF2D0"/>
            <w:noWrap/>
            <w:vAlign w:val="center"/>
            <w:hideMark/>
          </w:tcPr>
          <w:p w14:paraId="2970F3B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162.728 </w:t>
            </w:r>
          </w:p>
        </w:tc>
      </w:tr>
      <w:tr w:rsidR="00335312" w:rsidRPr="00EE3E83" w14:paraId="3DBE05A0"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F624AC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a014</w:t>
            </w:r>
          </w:p>
        </w:tc>
        <w:tc>
          <w:tcPr>
            <w:tcW w:w="4923" w:type="dxa"/>
            <w:tcBorders>
              <w:top w:val="nil"/>
              <w:left w:val="nil"/>
              <w:bottom w:val="single" w:sz="8" w:space="0" w:color="A6A6A6"/>
              <w:right w:val="single" w:sz="8" w:space="0" w:color="A6A6A6"/>
            </w:tcBorders>
            <w:vAlign w:val="center"/>
            <w:hideMark/>
          </w:tcPr>
          <w:p w14:paraId="08DC279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ALESSANDRIA - CASTELCERIOLO - LOBBI - SAN GIULIANO NUOVO</w:t>
            </w:r>
          </w:p>
        </w:tc>
        <w:tc>
          <w:tcPr>
            <w:tcW w:w="753" w:type="dxa"/>
            <w:tcBorders>
              <w:top w:val="nil"/>
              <w:left w:val="nil"/>
              <w:bottom w:val="single" w:sz="8" w:space="0" w:color="A6A6A6"/>
              <w:right w:val="single" w:sz="8" w:space="0" w:color="A6A6A6"/>
            </w:tcBorders>
            <w:noWrap/>
            <w:vAlign w:val="center"/>
            <w:hideMark/>
          </w:tcPr>
          <w:p w14:paraId="00E7772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39</w:t>
            </w:r>
          </w:p>
        </w:tc>
        <w:tc>
          <w:tcPr>
            <w:tcW w:w="1214" w:type="dxa"/>
            <w:tcBorders>
              <w:top w:val="nil"/>
              <w:left w:val="nil"/>
              <w:bottom w:val="single" w:sz="8" w:space="0" w:color="A6A6A6"/>
              <w:right w:val="single" w:sz="8" w:space="0" w:color="A6A6A6"/>
            </w:tcBorders>
            <w:noWrap/>
            <w:vAlign w:val="center"/>
            <w:hideMark/>
          </w:tcPr>
          <w:p w14:paraId="4AD35FA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117.359 </w:t>
            </w:r>
          </w:p>
        </w:tc>
        <w:tc>
          <w:tcPr>
            <w:tcW w:w="1202" w:type="dxa"/>
            <w:tcBorders>
              <w:top w:val="nil"/>
              <w:left w:val="nil"/>
              <w:bottom w:val="single" w:sz="8" w:space="0" w:color="A6A6A6"/>
              <w:right w:val="double" w:sz="6" w:space="0" w:color="A6A6A6"/>
            </w:tcBorders>
            <w:noWrap/>
            <w:vAlign w:val="center"/>
            <w:hideMark/>
          </w:tcPr>
          <w:p w14:paraId="2A09318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117.359 </w:t>
            </w:r>
          </w:p>
        </w:tc>
      </w:tr>
      <w:tr w:rsidR="00335312" w:rsidRPr="00EE3E83" w14:paraId="42F9C0FE"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3DEA8F1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a016</w:t>
            </w:r>
          </w:p>
        </w:tc>
        <w:tc>
          <w:tcPr>
            <w:tcW w:w="4923" w:type="dxa"/>
            <w:tcBorders>
              <w:top w:val="nil"/>
              <w:left w:val="nil"/>
              <w:bottom w:val="single" w:sz="8" w:space="0" w:color="A6A6A6"/>
              <w:right w:val="single" w:sz="8" w:space="0" w:color="A6A6A6"/>
            </w:tcBorders>
            <w:shd w:val="clear" w:color="000000" w:fill="DFF2D0"/>
            <w:vAlign w:val="center"/>
            <w:hideMark/>
          </w:tcPr>
          <w:p w14:paraId="6A800F2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VALENZA URBANO CORTO</w:t>
            </w:r>
          </w:p>
        </w:tc>
        <w:tc>
          <w:tcPr>
            <w:tcW w:w="753" w:type="dxa"/>
            <w:tcBorders>
              <w:top w:val="nil"/>
              <w:left w:val="nil"/>
              <w:bottom w:val="single" w:sz="8" w:space="0" w:color="A6A6A6"/>
              <w:right w:val="single" w:sz="8" w:space="0" w:color="A6A6A6"/>
            </w:tcBorders>
            <w:shd w:val="clear" w:color="000000" w:fill="DFF2D0"/>
            <w:noWrap/>
            <w:vAlign w:val="center"/>
            <w:hideMark/>
          </w:tcPr>
          <w:p w14:paraId="4DD2A5B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w:t>
            </w:r>
          </w:p>
        </w:tc>
        <w:tc>
          <w:tcPr>
            <w:tcW w:w="1214" w:type="dxa"/>
            <w:tcBorders>
              <w:top w:val="nil"/>
              <w:left w:val="nil"/>
              <w:bottom w:val="single" w:sz="8" w:space="0" w:color="A6A6A6"/>
              <w:right w:val="single" w:sz="8" w:space="0" w:color="A6A6A6"/>
            </w:tcBorders>
            <w:shd w:val="clear" w:color="000000" w:fill="DFF2D0"/>
            <w:noWrap/>
            <w:vAlign w:val="center"/>
            <w:hideMark/>
          </w:tcPr>
          <w:p w14:paraId="252CF13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53.345 </w:t>
            </w:r>
          </w:p>
        </w:tc>
        <w:tc>
          <w:tcPr>
            <w:tcW w:w="1202" w:type="dxa"/>
            <w:tcBorders>
              <w:top w:val="nil"/>
              <w:left w:val="nil"/>
              <w:bottom w:val="single" w:sz="8" w:space="0" w:color="A6A6A6"/>
              <w:right w:val="double" w:sz="6" w:space="0" w:color="A6A6A6"/>
            </w:tcBorders>
            <w:shd w:val="clear" w:color="000000" w:fill="DFF2D0"/>
            <w:noWrap/>
            <w:vAlign w:val="center"/>
            <w:hideMark/>
          </w:tcPr>
          <w:p w14:paraId="482EB59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53.345 </w:t>
            </w:r>
          </w:p>
        </w:tc>
      </w:tr>
      <w:tr w:rsidR="00335312" w:rsidRPr="00EE3E83" w14:paraId="21C8CBD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26DA74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aAC</w:t>
            </w:r>
          </w:p>
        </w:tc>
        <w:tc>
          <w:tcPr>
            <w:tcW w:w="4923" w:type="dxa"/>
            <w:tcBorders>
              <w:top w:val="nil"/>
              <w:left w:val="nil"/>
              <w:bottom w:val="single" w:sz="8" w:space="0" w:color="A6A6A6"/>
              <w:right w:val="single" w:sz="8" w:space="0" w:color="A6A6A6"/>
            </w:tcBorders>
            <w:vAlign w:val="center"/>
            <w:hideMark/>
          </w:tcPr>
          <w:p w14:paraId="43B6B11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MICHEL - STAZIONE FS - DE GASPERI</w:t>
            </w:r>
          </w:p>
        </w:tc>
        <w:tc>
          <w:tcPr>
            <w:tcW w:w="753" w:type="dxa"/>
            <w:tcBorders>
              <w:top w:val="nil"/>
              <w:left w:val="nil"/>
              <w:bottom w:val="single" w:sz="8" w:space="0" w:color="A6A6A6"/>
              <w:right w:val="single" w:sz="8" w:space="0" w:color="A6A6A6"/>
            </w:tcBorders>
            <w:noWrap/>
            <w:vAlign w:val="center"/>
            <w:hideMark/>
          </w:tcPr>
          <w:p w14:paraId="52B5CEC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66</w:t>
            </w:r>
          </w:p>
        </w:tc>
        <w:tc>
          <w:tcPr>
            <w:tcW w:w="1214" w:type="dxa"/>
            <w:tcBorders>
              <w:top w:val="nil"/>
              <w:left w:val="nil"/>
              <w:bottom w:val="single" w:sz="8" w:space="0" w:color="A6A6A6"/>
              <w:right w:val="single" w:sz="8" w:space="0" w:color="A6A6A6"/>
            </w:tcBorders>
            <w:noWrap/>
            <w:vAlign w:val="center"/>
            <w:hideMark/>
          </w:tcPr>
          <w:p w14:paraId="23CB657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59.719 </w:t>
            </w:r>
          </w:p>
        </w:tc>
        <w:tc>
          <w:tcPr>
            <w:tcW w:w="1202" w:type="dxa"/>
            <w:tcBorders>
              <w:top w:val="nil"/>
              <w:left w:val="nil"/>
              <w:bottom w:val="single" w:sz="8" w:space="0" w:color="A6A6A6"/>
              <w:right w:val="double" w:sz="6" w:space="0" w:color="A6A6A6"/>
            </w:tcBorders>
            <w:noWrap/>
            <w:vAlign w:val="center"/>
            <w:hideMark/>
          </w:tcPr>
          <w:p w14:paraId="4D005BA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59.719 </w:t>
            </w:r>
          </w:p>
        </w:tc>
      </w:tr>
      <w:tr w:rsidR="00335312" w:rsidRPr="00EE3E83" w14:paraId="6700C26B"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2F40DD7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aB</w:t>
            </w:r>
          </w:p>
        </w:tc>
        <w:tc>
          <w:tcPr>
            <w:tcW w:w="4923" w:type="dxa"/>
            <w:tcBorders>
              <w:top w:val="nil"/>
              <w:left w:val="nil"/>
              <w:bottom w:val="single" w:sz="8" w:space="0" w:color="A6A6A6"/>
              <w:right w:val="single" w:sz="8" w:space="0" w:color="A6A6A6"/>
            </w:tcBorders>
            <w:shd w:val="clear" w:color="000000" w:fill="DFF2D0"/>
            <w:vAlign w:val="center"/>
            <w:hideMark/>
          </w:tcPr>
          <w:p w14:paraId="667CAFF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CERIANA - MAZZINI (LIBERTÀ) - STAZIONE FS</w:t>
            </w:r>
          </w:p>
        </w:tc>
        <w:tc>
          <w:tcPr>
            <w:tcW w:w="753" w:type="dxa"/>
            <w:tcBorders>
              <w:top w:val="nil"/>
              <w:left w:val="nil"/>
              <w:bottom w:val="single" w:sz="8" w:space="0" w:color="A6A6A6"/>
              <w:right w:val="single" w:sz="8" w:space="0" w:color="A6A6A6"/>
            </w:tcBorders>
            <w:shd w:val="clear" w:color="000000" w:fill="DFF2D0"/>
            <w:noWrap/>
            <w:vAlign w:val="center"/>
            <w:hideMark/>
          </w:tcPr>
          <w:p w14:paraId="5878589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127</w:t>
            </w:r>
          </w:p>
        </w:tc>
        <w:tc>
          <w:tcPr>
            <w:tcW w:w="1214" w:type="dxa"/>
            <w:tcBorders>
              <w:top w:val="nil"/>
              <w:left w:val="nil"/>
              <w:bottom w:val="single" w:sz="8" w:space="0" w:color="A6A6A6"/>
              <w:right w:val="single" w:sz="8" w:space="0" w:color="A6A6A6"/>
            </w:tcBorders>
            <w:shd w:val="clear" w:color="000000" w:fill="DFF2D0"/>
            <w:noWrap/>
            <w:vAlign w:val="center"/>
            <w:hideMark/>
          </w:tcPr>
          <w:p w14:paraId="1BECB23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117.968 </w:t>
            </w:r>
          </w:p>
        </w:tc>
        <w:tc>
          <w:tcPr>
            <w:tcW w:w="1202" w:type="dxa"/>
            <w:tcBorders>
              <w:top w:val="nil"/>
              <w:left w:val="nil"/>
              <w:bottom w:val="single" w:sz="8" w:space="0" w:color="A6A6A6"/>
              <w:right w:val="double" w:sz="6" w:space="0" w:color="A6A6A6"/>
            </w:tcBorders>
            <w:shd w:val="clear" w:color="000000" w:fill="DFF2D0"/>
            <w:noWrap/>
            <w:vAlign w:val="center"/>
            <w:hideMark/>
          </w:tcPr>
          <w:p w14:paraId="627CC0E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117.968 </w:t>
            </w:r>
          </w:p>
        </w:tc>
      </w:tr>
      <w:tr w:rsidR="00335312" w:rsidRPr="00EE3E83" w14:paraId="3BA67C18"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32F69A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aF</w:t>
            </w:r>
          </w:p>
        </w:tc>
        <w:tc>
          <w:tcPr>
            <w:tcW w:w="4923" w:type="dxa"/>
            <w:tcBorders>
              <w:top w:val="nil"/>
              <w:left w:val="nil"/>
              <w:bottom w:val="single" w:sz="8" w:space="0" w:color="A6A6A6"/>
              <w:right w:val="single" w:sz="8" w:space="0" w:color="A6A6A6"/>
            </w:tcBorders>
            <w:vAlign w:val="center"/>
            <w:hideMark/>
          </w:tcPr>
          <w:p w14:paraId="6CF5CD6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CIMITERO - VOLTA - PISTA - CASARMETTE</w:t>
            </w:r>
          </w:p>
        </w:tc>
        <w:tc>
          <w:tcPr>
            <w:tcW w:w="753" w:type="dxa"/>
            <w:tcBorders>
              <w:top w:val="nil"/>
              <w:left w:val="nil"/>
              <w:bottom w:val="single" w:sz="8" w:space="0" w:color="A6A6A6"/>
              <w:right w:val="single" w:sz="8" w:space="0" w:color="A6A6A6"/>
            </w:tcBorders>
            <w:noWrap/>
            <w:vAlign w:val="center"/>
            <w:hideMark/>
          </w:tcPr>
          <w:p w14:paraId="2CD644D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35</w:t>
            </w:r>
          </w:p>
        </w:tc>
        <w:tc>
          <w:tcPr>
            <w:tcW w:w="1214" w:type="dxa"/>
            <w:tcBorders>
              <w:top w:val="nil"/>
              <w:left w:val="nil"/>
              <w:bottom w:val="single" w:sz="8" w:space="0" w:color="A6A6A6"/>
              <w:right w:val="single" w:sz="8" w:space="0" w:color="A6A6A6"/>
            </w:tcBorders>
            <w:noWrap/>
            <w:vAlign w:val="center"/>
            <w:hideMark/>
          </w:tcPr>
          <w:p w14:paraId="331C6E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26.363 </w:t>
            </w:r>
          </w:p>
        </w:tc>
        <w:tc>
          <w:tcPr>
            <w:tcW w:w="1202" w:type="dxa"/>
            <w:tcBorders>
              <w:top w:val="nil"/>
              <w:left w:val="nil"/>
              <w:bottom w:val="single" w:sz="8" w:space="0" w:color="A6A6A6"/>
              <w:right w:val="double" w:sz="6" w:space="0" w:color="A6A6A6"/>
            </w:tcBorders>
            <w:noWrap/>
            <w:vAlign w:val="center"/>
            <w:hideMark/>
          </w:tcPr>
          <w:p w14:paraId="64C383D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26.363 </w:t>
            </w:r>
          </w:p>
        </w:tc>
      </w:tr>
      <w:tr w:rsidR="00335312" w:rsidRPr="00EE3E83" w14:paraId="13B6AB58" w14:textId="77777777" w:rsidTr="002A21C0">
        <w:trPr>
          <w:trHeight w:val="300"/>
        </w:trPr>
        <w:tc>
          <w:tcPr>
            <w:tcW w:w="1008" w:type="dxa"/>
            <w:tcBorders>
              <w:top w:val="nil"/>
              <w:left w:val="double" w:sz="6" w:space="0" w:color="A6A6A6"/>
              <w:bottom w:val="double" w:sz="6" w:space="0" w:color="A6A6A6"/>
              <w:right w:val="single" w:sz="8" w:space="0" w:color="A6A6A6"/>
            </w:tcBorders>
            <w:shd w:val="clear" w:color="000000" w:fill="B5E6A2"/>
            <w:noWrap/>
            <w:vAlign w:val="center"/>
            <w:hideMark/>
          </w:tcPr>
          <w:p w14:paraId="7CF37124"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nil"/>
              <w:bottom w:val="double" w:sz="6" w:space="0" w:color="A6A6A6"/>
              <w:right w:val="single" w:sz="8" w:space="0" w:color="A6A6A6"/>
            </w:tcBorders>
            <w:shd w:val="clear" w:color="000000" w:fill="B5E6A2"/>
            <w:vAlign w:val="center"/>
            <w:hideMark/>
          </w:tcPr>
          <w:p w14:paraId="22487CC6"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ALESSANDRIA</w:t>
            </w:r>
          </w:p>
        </w:tc>
        <w:tc>
          <w:tcPr>
            <w:tcW w:w="753" w:type="dxa"/>
            <w:tcBorders>
              <w:top w:val="nil"/>
              <w:left w:val="nil"/>
              <w:bottom w:val="double" w:sz="6" w:space="0" w:color="A6A6A6"/>
              <w:right w:val="single" w:sz="8" w:space="0" w:color="A6A6A6"/>
            </w:tcBorders>
            <w:shd w:val="clear" w:color="000000" w:fill="B5E6A2"/>
            <w:noWrap/>
            <w:vAlign w:val="center"/>
            <w:hideMark/>
          </w:tcPr>
          <w:p w14:paraId="51E773CC"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1.061</w:t>
            </w:r>
          </w:p>
        </w:tc>
        <w:tc>
          <w:tcPr>
            <w:tcW w:w="1214" w:type="dxa"/>
            <w:tcBorders>
              <w:top w:val="nil"/>
              <w:left w:val="nil"/>
              <w:bottom w:val="double" w:sz="6" w:space="0" w:color="A6A6A6"/>
              <w:right w:val="single" w:sz="8" w:space="0" w:color="A6A6A6"/>
            </w:tcBorders>
            <w:shd w:val="clear" w:color="000000" w:fill="B5E6A2"/>
            <w:noWrap/>
            <w:vAlign w:val="center"/>
            <w:hideMark/>
          </w:tcPr>
          <w:p w14:paraId="375237F8"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1.495.025 </w:t>
            </w:r>
          </w:p>
        </w:tc>
        <w:tc>
          <w:tcPr>
            <w:tcW w:w="1202" w:type="dxa"/>
            <w:tcBorders>
              <w:top w:val="nil"/>
              <w:left w:val="nil"/>
              <w:bottom w:val="double" w:sz="6" w:space="0" w:color="A6A6A6"/>
              <w:right w:val="double" w:sz="6" w:space="0" w:color="A6A6A6"/>
            </w:tcBorders>
            <w:shd w:val="clear" w:color="000000" w:fill="B5E6A2"/>
            <w:noWrap/>
            <w:vAlign w:val="center"/>
            <w:hideMark/>
          </w:tcPr>
          <w:p w14:paraId="6839FD48"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1.495.025 </w:t>
            </w:r>
          </w:p>
        </w:tc>
      </w:tr>
      <w:tr w:rsidR="00335312" w:rsidRPr="00EE3E83" w14:paraId="1784FBB5" w14:textId="77777777" w:rsidTr="002A21C0">
        <w:trPr>
          <w:trHeight w:val="504"/>
        </w:trPr>
        <w:tc>
          <w:tcPr>
            <w:tcW w:w="1008" w:type="dxa"/>
            <w:tcBorders>
              <w:top w:val="nil"/>
              <w:left w:val="double" w:sz="6" w:space="0" w:color="A6A6A6"/>
              <w:bottom w:val="single" w:sz="8" w:space="0" w:color="A6A6A6"/>
              <w:right w:val="single" w:sz="8" w:space="0" w:color="A6A6A6"/>
            </w:tcBorders>
            <w:noWrap/>
            <w:vAlign w:val="center"/>
            <w:hideMark/>
          </w:tcPr>
          <w:p w14:paraId="61D80FE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w:t>
            </w:r>
          </w:p>
        </w:tc>
        <w:tc>
          <w:tcPr>
            <w:tcW w:w="4923" w:type="dxa"/>
            <w:tcBorders>
              <w:top w:val="nil"/>
              <w:left w:val="nil"/>
              <w:bottom w:val="single" w:sz="8" w:space="0" w:color="A6A6A6"/>
              <w:right w:val="single" w:sz="8" w:space="0" w:color="A6A6A6"/>
            </w:tcBorders>
            <w:vAlign w:val="center"/>
            <w:hideMark/>
          </w:tcPr>
          <w:p w14:paraId="38E809C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 BELLA TRINCERE CON ESTENSIONE AL TORRAZZO - SAN MARZANOTTO</w:t>
            </w:r>
          </w:p>
        </w:tc>
        <w:tc>
          <w:tcPr>
            <w:tcW w:w="753" w:type="dxa"/>
            <w:tcBorders>
              <w:top w:val="nil"/>
              <w:left w:val="nil"/>
              <w:bottom w:val="single" w:sz="8" w:space="0" w:color="A6A6A6"/>
              <w:right w:val="single" w:sz="8" w:space="0" w:color="A6A6A6"/>
            </w:tcBorders>
            <w:noWrap/>
            <w:vAlign w:val="center"/>
            <w:hideMark/>
          </w:tcPr>
          <w:p w14:paraId="38CD16B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40</w:t>
            </w:r>
          </w:p>
        </w:tc>
        <w:tc>
          <w:tcPr>
            <w:tcW w:w="1214" w:type="dxa"/>
            <w:tcBorders>
              <w:top w:val="nil"/>
              <w:left w:val="nil"/>
              <w:bottom w:val="single" w:sz="8" w:space="0" w:color="A6A6A6"/>
              <w:right w:val="single" w:sz="8" w:space="0" w:color="A6A6A6"/>
            </w:tcBorders>
            <w:noWrap/>
            <w:vAlign w:val="center"/>
            <w:hideMark/>
          </w:tcPr>
          <w:p w14:paraId="2EECBC5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84.442 </w:t>
            </w:r>
          </w:p>
        </w:tc>
        <w:tc>
          <w:tcPr>
            <w:tcW w:w="1202" w:type="dxa"/>
            <w:tcBorders>
              <w:top w:val="nil"/>
              <w:left w:val="nil"/>
              <w:bottom w:val="single" w:sz="8" w:space="0" w:color="A6A6A6"/>
              <w:right w:val="double" w:sz="6" w:space="0" w:color="A6A6A6"/>
            </w:tcBorders>
            <w:noWrap/>
            <w:vAlign w:val="center"/>
            <w:hideMark/>
          </w:tcPr>
          <w:p w14:paraId="4B019A3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84.442 </w:t>
            </w:r>
          </w:p>
        </w:tc>
      </w:tr>
      <w:tr w:rsidR="00335312" w:rsidRPr="00EE3E83" w14:paraId="16C8C7F1"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FF2D0"/>
            <w:noWrap/>
            <w:vAlign w:val="center"/>
            <w:hideMark/>
          </w:tcPr>
          <w:p w14:paraId="63B9012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lastRenderedPageBreak/>
              <w:t>1/</w:t>
            </w:r>
          </w:p>
        </w:tc>
        <w:tc>
          <w:tcPr>
            <w:tcW w:w="4923" w:type="dxa"/>
            <w:tcBorders>
              <w:top w:val="nil"/>
              <w:left w:val="nil"/>
              <w:bottom w:val="single" w:sz="8" w:space="0" w:color="A6A6A6"/>
              <w:right w:val="single" w:sz="8" w:space="0" w:color="A6A6A6"/>
            </w:tcBorders>
            <w:shd w:val="clear" w:color="000000" w:fill="DFF2D0"/>
            <w:vAlign w:val="center"/>
            <w:hideMark/>
          </w:tcPr>
          <w:p w14:paraId="4B6F24E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VAL BELLA</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PIAZZA MARCONI</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SAN MARZANOTTO</w:t>
            </w:r>
          </w:p>
        </w:tc>
        <w:tc>
          <w:tcPr>
            <w:tcW w:w="753" w:type="dxa"/>
            <w:tcBorders>
              <w:top w:val="nil"/>
              <w:left w:val="nil"/>
              <w:bottom w:val="single" w:sz="8" w:space="0" w:color="A6A6A6"/>
              <w:right w:val="single" w:sz="8" w:space="0" w:color="A6A6A6"/>
            </w:tcBorders>
            <w:shd w:val="clear" w:color="000000" w:fill="DFF2D0"/>
            <w:noWrap/>
            <w:vAlign w:val="center"/>
            <w:hideMark/>
          </w:tcPr>
          <w:p w14:paraId="01E811B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39</w:t>
            </w:r>
          </w:p>
        </w:tc>
        <w:tc>
          <w:tcPr>
            <w:tcW w:w="1214" w:type="dxa"/>
            <w:tcBorders>
              <w:top w:val="nil"/>
              <w:left w:val="nil"/>
              <w:bottom w:val="single" w:sz="8" w:space="0" w:color="A6A6A6"/>
              <w:right w:val="single" w:sz="8" w:space="0" w:color="A6A6A6"/>
            </w:tcBorders>
            <w:shd w:val="clear" w:color="000000" w:fill="DFF2D0"/>
            <w:noWrap/>
            <w:vAlign w:val="center"/>
            <w:hideMark/>
          </w:tcPr>
          <w:p w14:paraId="3EFCFBE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78.040 </w:t>
            </w:r>
          </w:p>
        </w:tc>
        <w:tc>
          <w:tcPr>
            <w:tcW w:w="1202" w:type="dxa"/>
            <w:tcBorders>
              <w:top w:val="nil"/>
              <w:left w:val="nil"/>
              <w:bottom w:val="single" w:sz="8" w:space="0" w:color="A6A6A6"/>
              <w:right w:val="double" w:sz="6" w:space="0" w:color="A6A6A6"/>
            </w:tcBorders>
            <w:shd w:val="clear" w:color="000000" w:fill="DFF2D0"/>
            <w:noWrap/>
            <w:vAlign w:val="center"/>
            <w:hideMark/>
          </w:tcPr>
          <w:p w14:paraId="0A5916B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78.040 </w:t>
            </w:r>
          </w:p>
        </w:tc>
      </w:tr>
      <w:tr w:rsidR="00335312" w:rsidRPr="00EE3E83" w14:paraId="290953D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FAB262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4923" w:type="dxa"/>
            <w:tcBorders>
              <w:top w:val="nil"/>
              <w:left w:val="nil"/>
              <w:bottom w:val="single" w:sz="8" w:space="0" w:color="A6A6A6"/>
              <w:right w:val="single" w:sz="8" w:space="0" w:color="A6A6A6"/>
            </w:tcBorders>
            <w:vAlign w:val="center"/>
            <w:hideMark/>
          </w:tcPr>
          <w:p w14:paraId="53E318C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VIA SPANDRE CASA DI CURA SANT'ANNA</w:t>
            </w:r>
          </w:p>
        </w:tc>
        <w:tc>
          <w:tcPr>
            <w:tcW w:w="753" w:type="dxa"/>
            <w:tcBorders>
              <w:top w:val="nil"/>
              <w:left w:val="nil"/>
              <w:bottom w:val="single" w:sz="8" w:space="0" w:color="A6A6A6"/>
              <w:right w:val="single" w:sz="8" w:space="0" w:color="A6A6A6"/>
            </w:tcBorders>
            <w:noWrap/>
            <w:vAlign w:val="center"/>
            <w:hideMark/>
          </w:tcPr>
          <w:p w14:paraId="4A39909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52</w:t>
            </w:r>
          </w:p>
        </w:tc>
        <w:tc>
          <w:tcPr>
            <w:tcW w:w="1214" w:type="dxa"/>
            <w:tcBorders>
              <w:top w:val="nil"/>
              <w:left w:val="nil"/>
              <w:bottom w:val="single" w:sz="8" w:space="0" w:color="A6A6A6"/>
              <w:right w:val="single" w:sz="8" w:space="0" w:color="A6A6A6"/>
            </w:tcBorders>
            <w:noWrap/>
            <w:vAlign w:val="center"/>
            <w:hideMark/>
          </w:tcPr>
          <w:p w14:paraId="1D6D8B1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69.965 </w:t>
            </w:r>
          </w:p>
        </w:tc>
        <w:tc>
          <w:tcPr>
            <w:tcW w:w="1202" w:type="dxa"/>
            <w:tcBorders>
              <w:top w:val="nil"/>
              <w:left w:val="nil"/>
              <w:bottom w:val="single" w:sz="8" w:space="0" w:color="A6A6A6"/>
              <w:right w:val="double" w:sz="6" w:space="0" w:color="A6A6A6"/>
            </w:tcBorders>
            <w:noWrap/>
            <w:vAlign w:val="center"/>
            <w:hideMark/>
          </w:tcPr>
          <w:p w14:paraId="0E7E943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69.965 </w:t>
            </w:r>
          </w:p>
        </w:tc>
      </w:tr>
      <w:tr w:rsidR="00335312" w:rsidRPr="00EE3E83" w14:paraId="243F973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65E2C9C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4923" w:type="dxa"/>
            <w:tcBorders>
              <w:top w:val="nil"/>
              <w:left w:val="nil"/>
              <w:bottom w:val="single" w:sz="8" w:space="0" w:color="A6A6A6"/>
              <w:right w:val="single" w:sz="8" w:space="0" w:color="A6A6A6"/>
            </w:tcBorders>
            <w:shd w:val="clear" w:color="000000" w:fill="DAF2D0"/>
            <w:vAlign w:val="center"/>
            <w:hideMark/>
          </w:tcPr>
          <w:p w14:paraId="4863D39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VARIGLIE VIA SPANDRE</w:t>
            </w:r>
          </w:p>
        </w:tc>
        <w:tc>
          <w:tcPr>
            <w:tcW w:w="753" w:type="dxa"/>
            <w:tcBorders>
              <w:top w:val="nil"/>
              <w:left w:val="nil"/>
              <w:bottom w:val="single" w:sz="8" w:space="0" w:color="A6A6A6"/>
              <w:right w:val="single" w:sz="8" w:space="0" w:color="A6A6A6"/>
            </w:tcBorders>
            <w:shd w:val="clear" w:color="000000" w:fill="DAF2D0"/>
            <w:noWrap/>
            <w:vAlign w:val="center"/>
            <w:hideMark/>
          </w:tcPr>
          <w:p w14:paraId="38B97B8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52</w:t>
            </w:r>
          </w:p>
        </w:tc>
        <w:tc>
          <w:tcPr>
            <w:tcW w:w="1214" w:type="dxa"/>
            <w:tcBorders>
              <w:top w:val="nil"/>
              <w:left w:val="nil"/>
              <w:bottom w:val="single" w:sz="8" w:space="0" w:color="A6A6A6"/>
              <w:right w:val="single" w:sz="8" w:space="0" w:color="A6A6A6"/>
            </w:tcBorders>
            <w:shd w:val="clear" w:color="000000" w:fill="DAF2D0"/>
            <w:noWrap/>
            <w:vAlign w:val="center"/>
            <w:hideMark/>
          </w:tcPr>
          <w:p w14:paraId="3EC5004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84.680 </w:t>
            </w:r>
          </w:p>
        </w:tc>
        <w:tc>
          <w:tcPr>
            <w:tcW w:w="1202" w:type="dxa"/>
            <w:tcBorders>
              <w:top w:val="nil"/>
              <w:left w:val="nil"/>
              <w:bottom w:val="single" w:sz="8" w:space="0" w:color="A6A6A6"/>
              <w:right w:val="double" w:sz="6" w:space="0" w:color="A6A6A6"/>
            </w:tcBorders>
            <w:shd w:val="clear" w:color="000000" w:fill="DAF2D0"/>
            <w:noWrap/>
            <w:vAlign w:val="center"/>
            <w:hideMark/>
          </w:tcPr>
          <w:p w14:paraId="26A85E8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84.680 </w:t>
            </w:r>
          </w:p>
        </w:tc>
      </w:tr>
      <w:tr w:rsidR="00335312" w:rsidRPr="00EE3E83" w14:paraId="1921067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698227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w:t>
            </w:r>
          </w:p>
        </w:tc>
        <w:tc>
          <w:tcPr>
            <w:tcW w:w="4923" w:type="dxa"/>
            <w:tcBorders>
              <w:top w:val="nil"/>
              <w:left w:val="nil"/>
              <w:bottom w:val="single" w:sz="8" w:space="0" w:color="A6A6A6"/>
              <w:right w:val="single" w:sz="8" w:space="0" w:color="A6A6A6"/>
            </w:tcBorders>
            <w:vAlign w:val="center"/>
            <w:hideMark/>
          </w:tcPr>
          <w:p w14:paraId="056E3B9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CORSO TORINO CANOCA CORSO ALESSANDRIA DISTIBUTORE ENI</w:t>
            </w:r>
          </w:p>
        </w:tc>
        <w:tc>
          <w:tcPr>
            <w:tcW w:w="753" w:type="dxa"/>
            <w:tcBorders>
              <w:top w:val="nil"/>
              <w:left w:val="nil"/>
              <w:bottom w:val="single" w:sz="8" w:space="0" w:color="A6A6A6"/>
              <w:right w:val="single" w:sz="8" w:space="0" w:color="A6A6A6"/>
            </w:tcBorders>
            <w:noWrap/>
            <w:vAlign w:val="center"/>
            <w:hideMark/>
          </w:tcPr>
          <w:p w14:paraId="70F1EBD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97</w:t>
            </w:r>
          </w:p>
        </w:tc>
        <w:tc>
          <w:tcPr>
            <w:tcW w:w="1214" w:type="dxa"/>
            <w:tcBorders>
              <w:top w:val="nil"/>
              <w:left w:val="nil"/>
              <w:bottom w:val="single" w:sz="8" w:space="0" w:color="A6A6A6"/>
              <w:right w:val="single" w:sz="8" w:space="0" w:color="A6A6A6"/>
            </w:tcBorders>
            <w:noWrap/>
            <w:vAlign w:val="center"/>
            <w:hideMark/>
          </w:tcPr>
          <w:p w14:paraId="0BF0C5D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216.730 </w:t>
            </w:r>
          </w:p>
        </w:tc>
        <w:tc>
          <w:tcPr>
            <w:tcW w:w="1202" w:type="dxa"/>
            <w:tcBorders>
              <w:top w:val="nil"/>
              <w:left w:val="nil"/>
              <w:bottom w:val="single" w:sz="8" w:space="0" w:color="A6A6A6"/>
              <w:right w:val="double" w:sz="6" w:space="0" w:color="A6A6A6"/>
            </w:tcBorders>
            <w:noWrap/>
            <w:vAlign w:val="center"/>
            <w:hideMark/>
          </w:tcPr>
          <w:p w14:paraId="2EE16D0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216.730 </w:t>
            </w:r>
          </w:p>
        </w:tc>
      </w:tr>
      <w:tr w:rsidR="00335312" w:rsidRPr="00EE3E83" w14:paraId="288E6F4E"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23025B1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4923" w:type="dxa"/>
            <w:tcBorders>
              <w:top w:val="nil"/>
              <w:left w:val="nil"/>
              <w:bottom w:val="single" w:sz="8" w:space="0" w:color="A6A6A6"/>
              <w:right w:val="single" w:sz="8" w:space="0" w:color="A6A6A6"/>
            </w:tcBorders>
            <w:shd w:val="clear" w:color="000000" w:fill="DAF2D0"/>
            <w:vAlign w:val="center"/>
            <w:hideMark/>
          </w:tcPr>
          <w:p w14:paraId="2C6DB3B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TORRETTA N.S. LOURDES VIA TORCHIO</w:t>
            </w:r>
          </w:p>
        </w:tc>
        <w:tc>
          <w:tcPr>
            <w:tcW w:w="753" w:type="dxa"/>
            <w:tcBorders>
              <w:top w:val="nil"/>
              <w:left w:val="nil"/>
              <w:bottom w:val="single" w:sz="8" w:space="0" w:color="A6A6A6"/>
              <w:right w:val="single" w:sz="8" w:space="0" w:color="A6A6A6"/>
            </w:tcBorders>
            <w:shd w:val="clear" w:color="000000" w:fill="DAF2D0"/>
            <w:noWrap/>
            <w:vAlign w:val="center"/>
            <w:hideMark/>
          </w:tcPr>
          <w:p w14:paraId="0793261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94</w:t>
            </w:r>
          </w:p>
        </w:tc>
        <w:tc>
          <w:tcPr>
            <w:tcW w:w="1214" w:type="dxa"/>
            <w:tcBorders>
              <w:top w:val="nil"/>
              <w:left w:val="nil"/>
              <w:bottom w:val="single" w:sz="8" w:space="0" w:color="A6A6A6"/>
              <w:right w:val="single" w:sz="8" w:space="0" w:color="A6A6A6"/>
            </w:tcBorders>
            <w:shd w:val="clear" w:color="000000" w:fill="DAF2D0"/>
            <w:noWrap/>
            <w:vAlign w:val="center"/>
            <w:hideMark/>
          </w:tcPr>
          <w:p w14:paraId="3329920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131.911 </w:t>
            </w:r>
          </w:p>
        </w:tc>
        <w:tc>
          <w:tcPr>
            <w:tcW w:w="1202" w:type="dxa"/>
            <w:tcBorders>
              <w:top w:val="nil"/>
              <w:left w:val="nil"/>
              <w:bottom w:val="single" w:sz="8" w:space="0" w:color="A6A6A6"/>
              <w:right w:val="double" w:sz="6" w:space="0" w:color="A6A6A6"/>
            </w:tcBorders>
            <w:shd w:val="clear" w:color="000000" w:fill="DAF2D0"/>
            <w:noWrap/>
            <w:vAlign w:val="center"/>
            <w:hideMark/>
          </w:tcPr>
          <w:p w14:paraId="5CD3130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131.911 </w:t>
            </w:r>
          </w:p>
        </w:tc>
      </w:tr>
      <w:tr w:rsidR="00335312" w:rsidRPr="00EE3E83" w14:paraId="25386501"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B50C2C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4923" w:type="dxa"/>
            <w:tcBorders>
              <w:top w:val="nil"/>
              <w:left w:val="nil"/>
              <w:bottom w:val="single" w:sz="8" w:space="0" w:color="A6A6A6"/>
              <w:right w:val="single" w:sz="8" w:space="0" w:color="A6A6A6"/>
            </w:tcBorders>
            <w:vAlign w:val="center"/>
            <w:hideMark/>
          </w:tcPr>
          <w:p w14:paraId="644E068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CIRCOLARE PIAZZA MARCONI SAN FEDELE</w:t>
            </w:r>
          </w:p>
        </w:tc>
        <w:tc>
          <w:tcPr>
            <w:tcW w:w="753" w:type="dxa"/>
            <w:tcBorders>
              <w:top w:val="nil"/>
              <w:left w:val="nil"/>
              <w:bottom w:val="single" w:sz="8" w:space="0" w:color="A6A6A6"/>
              <w:right w:val="single" w:sz="8" w:space="0" w:color="A6A6A6"/>
            </w:tcBorders>
            <w:noWrap/>
            <w:vAlign w:val="center"/>
            <w:hideMark/>
          </w:tcPr>
          <w:p w14:paraId="205DD4D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24</w:t>
            </w:r>
          </w:p>
        </w:tc>
        <w:tc>
          <w:tcPr>
            <w:tcW w:w="1214" w:type="dxa"/>
            <w:tcBorders>
              <w:top w:val="nil"/>
              <w:left w:val="nil"/>
              <w:bottom w:val="single" w:sz="8" w:space="0" w:color="A6A6A6"/>
              <w:right w:val="single" w:sz="8" w:space="0" w:color="A6A6A6"/>
            </w:tcBorders>
            <w:noWrap/>
            <w:vAlign w:val="center"/>
            <w:hideMark/>
          </w:tcPr>
          <w:p w14:paraId="4ABB2DD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32.682 </w:t>
            </w:r>
          </w:p>
        </w:tc>
        <w:tc>
          <w:tcPr>
            <w:tcW w:w="1202" w:type="dxa"/>
            <w:tcBorders>
              <w:top w:val="nil"/>
              <w:left w:val="nil"/>
              <w:bottom w:val="single" w:sz="8" w:space="0" w:color="A6A6A6"/>
              <w:right w:val="double" w:sz="6" w:space="0" w:color="A6A6A6"/>
            </w:tcBorders>
            <w:noWrap/>
            <w:vAlign w:val="center"/>
            <w:hideMark/>
          </w:tcPr>
          <w:p w14:paraId="09DAAD5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32.682 </w:t>
            </w:r>
          </w:p>
        </w:tc>
      </w:tr>
      <w:tr w:rsidR="00335312" w:rsidRPr="00EE3E83" w14:paraId="19B4BB8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7F87AA0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4923" w:type="dxa"/>
            <w:tcBorders>
              <w:top w:val="nil"/>
              <w:left w:val="nil"/>
              <w:bottom w:val="single" w:sz="8" w:space="0" w:color="A6A6A6"/>
              <w:right w:val="single" w:sz="8" w:space="0" w:color="A6A6A6"/>
            </w:tcBorders>
            <w:shd w:val="clear" w:color="000000" w:fill="DAF2D0"/>
            <w:vAlign w:val="center"/>
            <w:hideMark/>
          </w:tcPr>
          <w:p w14:paraId="1291F5F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VIA UGO FOSCOLO CORSO ALBA</w:t>
            </w:r>
          </w:p>
        </w:tc>
        <w:tc>
          <w:tcPr>
            <w:tcW w:w="753" w:type="dxa"/>
            <w:tcBorders>
              <w:top w:val="nil"/>
              <w:left w:val="nil"/>
              <w:bottom w:val="single" w:sz="8" w:space="0" w:color="A6A6A6"/>
              <w:right w:val="single" w:sz="8" w:space="0" w:color="A6A6A6"/>
            </w:tcBorders>
            <w:shd w:val="clear" w:color="000000" w:fill="DAF2D0"/>
            <w:noWrap/>
            <w:vAlign w:val="center"/>
            <w:hideMark/>
          </w:tcPr>
          <w:p w14:paraId="04965D5A"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142</w:t>
            </w:r>
          </w:p>
        </w:tc>
        <w:tc>
          <w:tcPr>
            <w:tcW w:w="1214" w:type="dxa"/>
            <w:tcBorders>
              <w:top w:val="nil"/>
              <w:left w:val="nil"/>
              <w:bottom w:val="single" w:sz="8" w:space="0" w:color="A6A6A6"/>
              <w:right w:val="single" w:sz="8" w:space="0" w:color="A6A6A6"/>
            </w:tcBorders>
            <w:shd w:val="clear" w:color="000000" w:fill="DAF2D0"/>
            <w:noWrap/>
            <w:vAlign w:val="center"/>
            <w:hideMark/>
          </w:tcPr>
          <w:p w14:paraId="1787FDE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196.677 </w:t>
            </w:r>
          </w:p>
        </w:tc>
        <w:tc>
          <w:tcPr>
            <w:tcW w:w="1202" w:type="dxa"/>
            <w:tcBorders>
              <w:top w:val="nil"/>
              <w:left w:val="nil"/>
              <w:bottom w:val="single" w:sz="8" w:space="0" w:color="A6A6A6"/>
              <w:right w:val="double" w:sz="6" w:space="0" w:color="A6A6A6"/>
            </w:tcBorders>
            <w:shd w:val="clear" w:color="000000" w:fill="DAF2D0"/>
            <w:noWrap/>
            <w:vAlign w:val="center"/>
            <w:hideMark/>
          </w:tcPr>
          <w:p w14:paraId="5723F68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196.677 </w:t>
            </w:r>
          </w:p>
        </w:tc>
      </w:tr>
      <w:tr w:rsidR="00335312" w:rsidRPr="00EE3E83" w14:paraId="67F4265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58B363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A - B</w:t>
            </w:r>
          </w:p>
        </w:tc>
        <w:tc>
          <w:tcPr>
            <w:tcW w:w="4923" w:type="dxa"/>
            <w:tcBorders>
              <w:top w:val="nil"/>
              <w:left w:val="nil"/>
              <w:bottom w:val="single" w:sz="8" w:space="0" w:color="A6A6A6"/>
              <w:right w:val="single" w:sz="8" w:space="0" w:color="A6A6A6"/>
            </w:tcBorders>
            <w:vAlign w:val="center"/>
            <w:hideMark/>
          </w:tcPr>
          <w:p w14:paraId="08AC6FD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LINEA CIRCOLARE FESTIVA</w:t>
            </w:r>
          </w:p>
        </w:tc>
        <w:tc>
          <w:tcPr>
            <w:tcW w:w="753" w:type="dxa"/>
            <w:tcBorders>
              <w:top w:val="nil"/>
              <w:left w:val="nil"/>
              <w:bottom w:val="single" w:sz="8" w:space="0" w:color="A6A6A6"/>
              <w:right w:val="single" w:sz="8" w:space="0" w:color="A6A6A6"/>
            </w:tcBorders>
            <w:noWrap/>
            <w:vAlign w:val="center"/>
            <w:hideMark/>
          </w:tcPr>
          <w:p w14:paraId="5A4C69D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16</w:t>
            </w:r>
          </w:p>
        </w:tc>
        <w:tc>
          <w:tcPr>
            <w:tcW w:w="1214" w:type="dxa"/>
            <w:tcBorders>
              <w:top w:val="nil"/>
              <w:left w:val="nil"/>
              <w:bottom w:val="single" w:sz="8" w:space="0" w:color="A6A6A6"/>
              <w:right w:val="single" w:sz="8" w:space="0" w:color="A6A6A6"/>
            </w:tcBorders>
            <w:noWrap/>
            <w:vAlign w:val="center"/>
            <w:hideMark/>
          </w:tcPr>
          <w:p w14:paraId="4085674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25.946 </w:t>
            </w:r>
          </w:p>
        </w:tc>
        <w:tc>
          <w:tcPr>
            <w:tcW w:w="1202" w:type="dxa"/>
            <w:tcBorders>
              <w:top w:val="nil"/>
              <w:left w:val="nil"/>
              <w:bottom w:val="single" w:sz="8" w:space="0" w:color="A6A6A6"/>
              <w:right w:val="double" w:sz="6" w:space="0" w:color="A6A6A6"/>
            </w:tcBorders>
            <w:noWrap/>
            <w:vAlign w:val="center"/>
            <w:hideMark/>
          </w:tcPr>
          <w:p w14:paraId="58D7C02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25.946 </w:t>
            </w:r>
          </w:p>
        </w:tc>
      </w:tr>
      <w:tr w:rsidR="00335312" w:rsidRPr="00EE3E83" w14:paraId="325F7E3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1C70711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FR</w:t>
            </w:r>
          </w:p>
        </w:tc>
        <w:tc>
          <w:tcPr>
            <w:tcW w:w="4923" w:type="dxa"/>
            <w:tcBorders>
              <w:top w:val="nil"/>
              <w:left w:val="nil"/>
              <w:bottom w:val="single" w:sz="8" w:space="0" w:color="A6A6A6"/>
              <w:right w:val="single" w:sz="8" w:space="0" w:color="A6A6A6"/>
            </w:tcBorders>
            <w:shd w:val="clear" w:color="000000" w:fill="DAF2D0"/>
            <w:vAlign w:val="center"/>
            <w:hideMark/>
          </w:tcPr>
          <w:p w14:paraId="20B0294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LINEE FRAZIONALI E MERCATALI</w:t>
            </w:r>
          </w:p>
        </w:tc>
        <w:tc>
          <w:tcPr>
            <w:tcW w:w="753" w:type="dxa"/>
            <w:tcBorders>
              <w:top w:val="nil"/>
              <w:left w:val="nil"/>
              <w:bottom w:val="single" w:sz="8" w:space="0" w:color="A6A6A6"/>
              <w:right w:val="single" w:sz="8" w:space="0" w:color="A6A6A6"/>
            </w:tcBorders>
            <w:shd w:val="clear" w:color="000000" w:fill="DAF2D0"/>
            <w:noWrap/>
            <w:vAlign w:val="center"/>
            <w:hideMark/>
          </w:tcPr>
          <w:p w14:paraId="212C1DB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25</w:t>
            </w:r>
          </w:p>
        </w:tc>
        <w:tc>
          <w:tcPr>
            <w:tcW w:w="1214" w:type="dxa"/>
            <w:tcBorders>
              <w:top w:val="nil"/>
              <w:left w:val="nil"/>
              <w:bottom w:val="single" w:sz="8" w:space="0" w:color="A6A6A6"/>
              <w:right w:val="single" w:sz="8" w:space="0" w:color="A6A6A6"/>
            </w:tcBorders>
            <w:shd w:val="clear" w:color="000000" w:fill="DAF2D0"/>
            <w:noWrap/>
            <w:vAlign w:val="center"/>
            <w:hideMark/>
          </w:tcPr>
          <w:p w14:paraId="347C298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56.753 </w:t>
            </w:r>
          </w:p>
        </w:tc>
        <w:tc>
          <w:tcPr>
            <w:tcW w:w="1202" w:type="dxa"/>
            <w:tcBorders>
              <w:top w:val="nil"/>
              <w:left w:val="nil"/>
              <w:bottom w:val="single" w:sz="8" w:space="0" w:color="A6A6A6"/>
              <w:right w:val="double" w:sz="6" w:space="0" w:color="A6A6A6"/>
            </w:tcBorders>
            <w:shd w:val="clear" w:color="000000" w:fill="DAF2D0"/>
            <w:noWrap/>
            <w:vAlign w:val="center"/>
            <w:hideMark/>
          </w:tcPr>
          <w:p w14:paraId="1A510CA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56.753 </w:t>
            </w:r>
          </w:p>
        </w:tc>
      </w:tr>
      <w:tr w:rsidR="00335312" w:rsidRPr="00EE3E83" w14:paraId="25E9D867"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147A077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 1</w:t>
            </w:r>
          </w:p>
        </w:tc>
        <w:tc>
          <w:tcPr>
            <w:tcW w:w="4923" w:type="dxa"/>
            <w:tcBorders>
              <w:top w:val="nil"/>
              <w:left w:val="nil"/>
              <w:bottom w:val="single" w:sz="8" w:space="0" w:color="A6A6A6"/>
              <w:right w:val="single" w:sz="8" w:space="0" w:color="A6A6A6"/>
            </w:tcBorders>
            <w:vAlign w:val="center"/>
            <w:hideMark/>
          </w:tcPr>
          <w:p w14:paraId="287DCB0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PIAZZA MARCONI ISTITUTI VERCELLI E PENNA</w:t>
            </w:r>
          </w:p>
        </w:tc>
        <w:tc>
          <w:tcPr>
            <w:tcW w:w="753" w:type="dxa"/>
            <w:tcBorders>
              <w:top w:val="nil"/>
              <w:left w:val="nil"/>
              <w:bottom w:val="single" w:sz="8" w:space="0" w:color="A6A6A6"/>
              <w:right w:val="single" w:sz="8" w:space="0" w:color="A6A6A6"/>
            </w:tcBorders>
            <w:noWrap/>
            <w:vAlign w:val="center"/>
            <w:hideMark/>
          </w:tcPr>
          <w:p w14:paraId="7CE3BBF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w:t>
            </w:r>
          </w:p>
        </w:tc>
        <w:tc>
          <w:tcPr>
            <w:tcW w:w="1214" w:type="dxa"/>
            <w:tcBorders>
              <w:top w:val="nil"/>
              <w:left w:val="nil"/>
              <w:bottom w:val="single" w:sz="8" w:space="0" w:color="A6A6A6"/>
              <w:right w:val="single" w:sz="8" w:space="0" w:color="A6A6A6"/>
            </w:tcBorders>
            <w:noWrap/>
            <w:vAlign w:val="center"/>
            <w:hideMark/>
          </w:tcPr>
          <w:p w14:paraId="47AED1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1.298 </w:t>
            </w:r>
          </w:p>
        </w:tc>
        <w:tc>
          <w:tcPr>
            <w:tcW w:w="1202" w:type="dxa"/>
            <w:tcBorders>
              <w:top w:val="nil"/>
              <w:left w:val="nil"/>
              <w:bottom w:val="single" w:sz="8" w:space="0" w:color="A6A6A6"/>
              <w:right w:val="double" w:sz="6" w:space="0" w:color="A6A6A6"/>
            </w:tcBorders>
            <w:noWrap/>
            <w:vAlign w:val="center"/>
            <w:hideMark/>
          </w:tcPr>
          <w:p w14:paraId="18A5A64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1.298 </w:t>
            </w:r>
          </w:p>
        </w:tc>
      </w:tr>
      <w:tr w:rsidR="00335312" w:rsidRPr="00EE3E83" w14:paraId="7BECF51A"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171FA7A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 2</w:t>
            </w:r>
          </w:p>
        </w:tc>
        <w:tc>
          <w:tcPr>
            <w:tcW w:w="4923" w:type="dxa"/>
            <w:tcBorders>
              <w:top w:val="nil"/>
              <w:left w:val="nil"/>
              <w:bottom w:val="single" w:sz="8" w:space="0" w:color="A6A6A6"/>
              <w:right w:val="single" w:sz="8" w:space="0" w:color="A6A6A6"/>
            </w:tcBorders>
            <w:shd w:val="clear" w:color="000000" w:fill="DAF2D0"/>
            <w:vAlign w:val="center"/>
            <w:hideMark/>
          </w:tcPr>
          <w:p w14:paraId="346EBEE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RINFORZO DA QUARTIERE PRAIA</w:t>
            </w:r>
          </w:p>
        </w:tc>
        <w:tc>
          <w:tcPr>
            <w:tcW w:w="753" w:type="dxa"/>
            <w:tcBorders>
              <w:top w:val="nil"/>
              <w:left w:val="nil"/>
              <w:bottom w:val="single" w:sz="8" w:space="0" w:color="A6A6A6"/>
              <w:right w:val="single" w:sz="8" w:space="0" w:color="A6A6A6"/>
            </w:tcBorders>
            <w:shd w:val="clear" w:color="000000" w:fill="DAF2D0"/>
            <w:noWrap/>
            <w:vAlign w:val="center"/>
            <w:hideMark/>
          </w:tcPr>
          <w:p w14:paraId="179D8D1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w:t>
            </w:r>
          </w:p>
        </w:tc>
        <w:tc>
          <w:tcPr>
            <w:tcW w:w="1214" w:type="dxa"/>
            <w:tcBorders>
              <w:top w:val="nil"/>
              <w:left w:val="nil"/>
              <w:bottom w:val="single" w:sz="8" w:space="0" w:color="A6A6A6"/>
              <w:right w:val="single" w:sz="8" w:space="0" w:color="A6A6A6"/>
            </w:tcBorders>
            <w:shd w:val="clear" w:color="000000" w:fill="DAF2D0"/>
            <w:noWrap/>
            <w:vAlign w:val="center"/>
            <w:hideMark/>
          </w:tcPr>
          <w:p w14:paraId="123A6C8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1.289 </w:t>
            </w:r>
          </w:p>
        </w:tc>
        <w:tc>
          <w:tcPr>
            <w:tcW w:w="1202" w:type="dxa"/>
            <w:tcBorders>
              <w:top w:val="nil"/>
              <w:left w:val="nil"/>
              <w:bottom w:val="single" w:sz="8" w:space="0" w:color="A6A6A6"/>
              <w:right w:val="double" w:sz="6" w:space="0" w:color="A6A6A6"/>
            </w:tcBorders>
            <w:shd w:val="clear" w:color="000000" w:fill="DAF2D0"/>
            <w:noWrap/>
            <w:vAlign w:val="center"/>
            <w:hideMark/>
          </w:tcPr>
          <w:p w14:paraId="6662EB6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1.289 </w:t>
            </w:r>
          </w:p>
        </w:tc>
      </w:tr>
      <w:tr w:rsidR="00335312" w:rsidRPr="00EE3E83" w14:paraId="35671089"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4C83D2D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 4</w:t>
            </w:r>
          </w:p>
        </w:tc>
        <w:tc>
          <w:tcPr>
            <w:tcW w:w="4923" w:type="dxa"/>
            <w:tcBorders>
              <w:top w:val="nil"/>
              <w:left w:val="nil"/>
              <w:bottom w:val="single" w:sz="8" w:space="0" w:color="A6A6A6"/>
              <w:right w:val="single" w:sz="8" w:space="0" w:color="A6A6A6"/>
            </w:tcBorders>
            <w:vAlign w:val="center"/>
            <w:hideMark/>
          </w:tcPr>
          <w:p w14:paraId="783D623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QUARTIERE TORRETTA - LICEO SCIENTIFICO - VIA MONTI</w:t>
            </w:r>
          </w:p>
        </w:tc>
        <w:tc>
          <w:tcPr>
            <w:tcW w:w="753" w:type="dxa"/>
            <w:tcBorders>
              <w:top w:val="nil"/>
              <w:left w:val="nil"/>
              <w:bottom w:val="single" w:sz="8" w:space="0" w:color="A6A6A6"/>
              <w:right w:val="single" w:sz="8" w:space="0" w:color="A6A6A6"/>
            </w:tcBorders>
            <w:noWrap/>
            <w:vAlign w:val="center"/>
            <w:hideMark/>
          </w:tcPr>
          <w:p w14:paraId="65ECDFF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4B58215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3.399 </w:t>
            </w:r>
          </w:p>
        </w:tc>
        <w:tc>
          <w:tcPr>
            <w:tcW w:w="1202" w:type="dxa"/>
            <w:tcBorders>
              <w:top w:val="nil"/>
              <w:left w:val="nil"/>
              <w:bottom w:val="single" w:sz="8" w:space="0" w:color="A6A6A6"/>
              <w:right w:val="double" w:sz="6" w:space="0" w:color="A6A6A6"/>
            </w:tcBorders>
            <w:noWrap/>
            <w:vAlign w:val="center"/>
            <w:hideMark/>
          </w:tcPr>
          <w:p w14:paraId="0F045CC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3.399 </w:t>
            </w:r>
          </w:p>
        </w:tc>
      </w:tr>
      <w:tr w:rsidR="00335312" w:rsidRPr="00EE3E83" w14:paraId="311A6430"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4DF228F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 7</w:t>
            </w:r>
          </w:p>
        </w:tc>
        <w:tc>
          <w:tcPr>
            <w:tcW w:w="4923" w:type="dxa"/>
            <w:tcBorders>
              <w:top w:val="nil"/>
              <w:left w:val="nil"/>
              <w:bottom w:val="single" w:sz="8" w:space="0" w:color="A6A6A6"/>
              <w:right w:val="single" w:sz="8" w:space="0" w:color="A6A6A6"/>
            </w:tcBorders>
            <w:shd w:val="clear" w:color="000000" w:fill="DAF2D0"/>
            <w:vAlign w:val="center"/>
            <w:hideMark/>
          </w:tcPr>
          <w:p w14:paraId="5E1B6E3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PIAZZA MARCONI - CORSO DANTE</w:t>
            </w:r>
          </w:p>
        </w:tc>
        <w:tc>
          <w:tcPr>
            <w:tcW w:w="753" w:type="dxa"/>
            <w:tcBorders>
              <w:top w:val="nil"/>
              <w:left w:val="nil"/>
              <w:bottom w:val="single" w:sz="8" w:space="0" w:color="A6A6A6"/>
              <w:right w:val="single" w:sz="8" w:space="0" w:color="A6A6A6"/>
            </w:tcBorders>
            <w:shd w:val="clear" w:color="000000" w:fill="DAF2D0"/>
            <w:noWrap/>
            <w:vAlign w:val="center"/>
            <w:hideMark/>
          </w:tcPr>
          <w:p w14:paraId="5D601AE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AF2D0"/>
            <w:noWrap/>
            <w:vAlign w:val="center"/>
            <w:hideMark/>
          </w:tcPr>
          <w:p w14:paraId="4AF60C5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2.595 </w:t>
            </w:r>
          </w:p>
        </w:tc>
        <w:tc>
          <w:tcPr>
            <w:tcW w:w="1202" w:type="dxa"/>
            <w:tcBorders>
              <w:top w:val="nil"/>
              <w:left w:val="nil"/>
              <w:bottom w:val="single" w:sz="8" w:space="0" w:color="A6A6A6"/>
              <w:right w:val="double" w:sz="6" w:space="0" w:color="A6A6A6"/>
            </w:tcBorders>
            <w:shd w:val="clear" w:color="000000" w:fill="DAF2D0"/>
            <w:noWrap/>
            <w:vAlign w:val="center"/>
            <w:hideMark/>
          </w:tcPr>
          <w:p w14:paraId="5C43D39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2.595 </w:t>
            </w:r>
          </w:p>
        </w:tc>
      </w:tr>
      <w:tr w:rsidR="00335312" w:rsidRPr="00EE3E83" w14:paraId="09036B4A"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C824EB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1</w:t>
            </w:r>
          </w:p>
        </w:tc>
        <w:tc>
          <w:tcPr>
            <w:tcW w:w="4923" w:type="dxa"/>
            <w:tcBorders>
              <w:top w:val="nil"/>
              <w:left w:val="nil"/>
              <w:bottom w:val="single" w:sz="8" w:space="0" w:color="A6A6A6"/>
              <w:right w:val="single" w:sz="8" w:space="0" w:color="A6A6A6"/>
            </w:tcBorders>
            <w:vAlign w:val="center"/>
            <w:hideMark/>
          </w:tcPr>
          <w:p w14:paraId="0E12B50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JONA</w:t>
            </w:r>
          </w:p>
        </w:tc>
        <w:tc>
          <w:tcPr>
            <w:tcW w:w="753" w:type="dxa"/>
            <w:tcBorders>
              <w:top w:val="nil"/>
              <w:left w:val="nil"/>
              <w:bottom w:val="single" w:sz="8" w:space="0" w:color="A6A6A6"/>
              <w:right w:val="single" w:sz="8" w:space="0" w:color="A6A6A6"/>
            </w:tcBorders>
            <w:noWrap/>
            <w:vAlign w:val="center"/>
            <w:hideMark/>
          </w:tcPr>
          <w:p w14:paraId="7EB85CC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01CC532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7.993 </w:t>
            </w:r>
          </w:p>
        </w:tc>
        <w:tc>
          <w:tcPr>
            <w:tcW w:w="1202" w:type="dxa"/>
            <w:tcBorders>
              <w:top w:val="nil"/>
              <w:left w:val="nil"/>
              <w:bottom w:val="single" w:sz="8" w:space="0" w:color="A6A6A6"/>
              <w:right w:val="double" w:sz="6" w:space="0" w:color="A6A6A6"/>
            </w:tcBorders>
            <w:noWrap/>
            <w:vAlign w:val="center"/>
            <w:hideMark/>
          </w:tcPr>
          <w:p w14:paraId="169FBC3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7.993 </w:t>
            </w:r>
          </w:p>
        </w:tc>
      </w:tr>
      <w:tr w:rsidR="00335312" w:rsidRPr="00EE3E83" w14:paraId="6139E3B2"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6337A4F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2</w:t>
            </w:r>
          </w:p>
        </w:tc>
        <w:tc>
          <w:tcPr>
            <w:tcW w:w="4923" w:type="dxa"/>
            <w:tcBorders>
              <w:top w:val="nil"/>
              <w:left w:val="nil"/>
              <w:bottom w:val="single" w:sz="8" w:space="0" w:color="A6A6A6"/>
              <w:right w:val="single" w:sz="8" w:space="0" w:color="A6A6A6"/>
            </w:tcBorders>
            <w:shd w:val="clear" w:color="000000" w:fill="DAF2D0"/>
            <w:vAlign w:val="center"/>
            <w:hideMark/>
          </w:tcPr>
          <w:p w14:paraId="68BF67B9"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SESSANT</w:t>
            </w:r>
          </w:p>
        </w:tc>
        <w:tc>
          <w:tcPr>
            <w:tcW w:w="753" w:type="dxa"/>
            <w:tcBorders>
              <w:top w:val="nil"/>
              <w:left w:val="nil"/>
              <w:bottom w:val="single" w:sz="8" w:space="0" w:color="A6A6A6"/>
              <w:right w:val="single" w:sz="8" w:space="0" w:color="A6A6A6"/>
            </w:tcBorders>
            <w:shd w:val="clear" w:color="000000" w:fill="DAF2D0"/>
            <w:noWrap/>
            <w:vAlign w:val="center"/>
            <w:hideMark/>
          </w:tcPr>
          <w:p w14:paraId="11FB0A9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2</w:t>
            </w:r>
          </w:p>
        </w:tc>
        <w:tc>
          <w:tcPr>
            <w:tcW w:w="1214" w:type="dxa"/>
            <w:tcBorders>
              <w:top w:val="nil"/>
              <w:left w:val="nil"/>
              <w:bottom w:val="single" w:sz="8" w:space="0" w:color="A6A6A6"/>
              <w:right w:val="single" w:sz="8" w:space="0" w:color="A6A6A6"/>
            </w:tcBorders>
            <w:shd w:val="clear" w:color="000000" w:fill="DAF2D0"/>
            <w:noWrap/>
            <w:vAlign w:val="center"/>
            <w:hideMark/>
          </w:tcPr>
          <w:p w14:paraId="66D0EE6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9.984 </w:t>
            </w:r>
          </w:p>
        </w:tc>
        <w:tc>
          <w:tcPr>
            <w:tcW w:w="1202" w:type="dxa"/>
            <w:tcBorders>
              <w:top w:val="nil"/>
              <w:left w:val="nil"/>
              <w:bottom w:val="single" w:sz="8" w:space="0" w:color="A6A6A6"/>
              <w:right w:val="double" w:sz="6" w:space="0" w:color="A6A6A6"/>
            </w:tcBorders>
            <w:shd w:val="clear" w:color="000000" w:fill="DAF2D0"/>
            <w:noWrap/>
            <w:vAlign w:val="center"/>
            <w:hideMark/>
          </w:tcPr>
          <w:p w14:paraId="7857F40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9.984 </w:t>
            </w:r>
          </w:p>
        </w:tc>
      </w:tr>
      <w:tr w:rsidR="00335312" w:rsidRPr="00EE3E83" w14:paraId="48D026D6"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4E1093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3</w:t>
            </w:r>
          </w:p>
        </w:tc>
        <w:tc>
          <w:tcPr>
            <w:tcW w:w="4923" w:type="dxa"/>
            <w:tcBorders>
              <w:top w:val="nil"/>
              <w:left w:val="nil"/>
              <w:bottom w:val="single" w:sz="8" w:space="0" w:color="A6A6A6"/>
              <w:right w:val="single" w:sz="8" w:space="0" w:color="A6A6A6"/>
            </w:tcBorders>
            <w:vAlign w:val="center"/>
            <w:hideMark/>
          </w:tcPr>
          <w:p w14:paraId="482A7B5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MONTEMARZO</w:t>
            </w:r>
          </w:p>
        </w:tc>
        <w:tc>
          <w:tcPr>
            <w:tcW w:w="753" w:type="dxa"/>
            <w:tcBorders>
              <w:top w:val="nil"/>
              <w:left w:val="nil"/>
              <w:bottom w:val="single" w:sz="8" w:space="0" w:color="A6A6A6"/>
              <w:right w:val="single" w:sz="8" w:space="0" w:color="A6A6A6"/>
            </w:tcBorders>
            <w:noWrap/>
            <w:vAlign w:val="center"/>
            <w:hideMark/>
          </w:tcPr>
          <w:p w14:paraId="20CB5B1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3472D6C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8.944 </w:t>
            </w:r>
          </w:p>
        </w:tc>
        <w:tc>
          <w:tcPr>
            <w:tcW w:w="1202" w:type="dxa"/>
            <w:tcBorders>
              <w:top w:val="nil"/>
              <w:left w:val="nil"/>
              <w:bottom w:val="single" w:sz="8" w:space="0" w:color="A6A6A6"/>
              <w:right w:val="double" w:sz="6" w:space="0" w:color="A6A6A6"/>
            </w:tcBorders>
            <w:noWrap/>
            <w:vAlign w:val="center"/>
            <w:hideMark/>
          </w:tcPr>
          <w:p w14:paraId="34A5699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8.944 </w:t>
            </w:r>
          </w:p>
        </w:tc>
      </w:tr>
      <w:tr w:rsidR="00335312" w:rsidRPr="00EE3E83" w14:paraId="17B4473C"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746EB1F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4</w:t>
            </w:r>
          </w:p>
        </w:tc>
        <w:tc>
          <w:tcPr>
            <w:tcW w:w="4923" w:type="dxa"/>
            <w:tcBorders>
              <w:top w:val="nil"/>
              <w:left w:val="nil"/>
              <w:bottom w:val="single" w:sz="8" w:space="0" w:color="A6A6A6"/>
              <w:right w:val="single" w:sz="8" w:space="0" w:color="A6A6A6"/>
            </w:tcBorders>
            <w:shd w:val="clear" w:color="000000" w:fill="DAF2D0"/>
            <w:vAlign w:val="center"/>
            <w:hideMark/>
          </w:tcPr>
          <w:p w14:paraId="55AD27F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VALENZANI</w:t>
            </w:r>
          </w:p>
        </w:tc>
        <w:tc>
          <w:tcPr>
            <w:tcW w:w="753" w:type="dxa"/>
            <w:tcBorders>
              <w:top w:val="nil"/>
              <w:left w:val="nil"/>
              <w:bottom w:val="single" w:sz="8" w:space="0" w:color="A6A6A6"/>
              <w:right w:val="single" w:sz="8" w:space="0" w:color="A6A6A6"/>
            </w:tcBorders>
            <w:shd w:val="clear" w:color="000000" w:fill="DAF2D0"/>
            <w:noWrap/>
            <w:vAlign w:val="center"/>
            <w:hideMark/>
          </w:tcPr>
          <w:p w14:paraId="6EE4130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2</w:t>
            </w:r>
          </w:p>
        </w:tc>
        <w:tc>
          <w:tcPr>
            <w:tcW w:w="1214" w:type="dxa"/>
            <w:tcBorders>
              <w:top w:val="nil"/>
              <w:left w:val="nil"/>
              <w:bottom w:val="single" w:sz="8" w:space="0" w:color="A6A6A6"/>
              <w:right w:val="single" w:sz="8" w:space="0" w:color="A6A6A6"/>
            </w:tcBorders>
            <w:shd w:val="clear" w:color="000000" w:fill="DAF2D0"/>
            <w:noWrap/>
            <w:vAlign w:val="center"/>
            <w:hideMark/>
          </w:tcPr>
          <w:p w14:paraId="3EBA4ED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10.858 </w:t>
            </w:r>
          </w:p>
        </w:tc>
        <w:tc>
          <w:tcPr>
            <w:tcW w:w="1202" w:type="dxa"/>
            <w:tcBorders>
              <w:top w:val="nil"/>
              <w:left w:val="nil"/>
              <w:bottom w:val="single" w:sz="8" w:space="0" w:color="A6A6A6"/>
              <w:right w:val="double" w:sz="6" w:space="0" w:color="A6A6A6"/>
            </w:tcBorders>
            <w:shd w:val="clear" w:color="000000" w:fill="DAF2D0"/>
            <w:noWrap/>
            <w:vAlign w:val="center"/>
            <w:hideMark/>
          </w:tcPr>
          <w:p w14:paraId="0C6EF4DC"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10.858 </w:t>
            </w:r>
          </w:p>
        </w:tc>
      </w:tr>
      <w:tr w:rsidR="00335312" w:rsidRPr="00EE3E83" w14:paraId="1D1F981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A1D7BD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5</w:t>
            </w:r>
          </w:p>
        </w:tc>
        <w:tc>
          <w:tcPr>
            <w:tcW w:w="4923" w:type="dxa"/>
            <w:tcBorders>
              <w:top w:val="nil"/>
              <w:left w:val="nil"/>
              <w:bottom w:val="single" w:sz="8" w:space="0" w:color="A6A6A6"/>
              <w:right w:val="single" w:sz="8" w:space="0" w:color="A6A6A6"/>
            </w:tcBorders>
            <w:vAlign w:val="center"/>
            <w:hideMark/>
          </w:tcPr>
          <w:p w14:paraId="58241BE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VAGLIERANO BASSO</w:t>
            </w:r>
          </w:p>
        </w:tc>
        <w:tc>
          <w:tcPr>
            <w:tcW w:w="753" w:type="dxa"/>
            <w:tcBorders>
              <w:top w:val="nil"/>
              <w:left w:val="nil"/>
              <w:bottom w:val="single" w:sz="8" w:space="0" w:color="A6A6A6"/>
              <w:right w:val="single" w:sz="8" w:space="0" w:color="A6A6A6"/>
            </w:tcBorders>
            <w:noWrap/>
            <w:vAlign w:val="center"/>
            <w:hideMark/>
          </w:tcPr>
          <w:p w14:paraId="7C4E527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2</w:t>
            </w:r>
          </w:p>
        </w:tc>
        <w:tc>
          <w:tcPr>
            <w:tcW w:w="1214" w:type="dxa"/>
            <w:tcBorders>
              <w:top w:val="nil"/>
              <w:left w:val="nil"/>
              <w:bottom w:val="single" w:sz="8" w:space="0" w:color="A6A6A6"/>
              <w:right w:val="single" w:sz="8" w:space="0" w:color="A6A6A6"/>
            </w:tcBorders>
            <w:noWrap/>
            <w:vAlign w:val="center"/>
            <w:hideMark/>
          </w:tcPr>
          <w:p w14:paraId="63BF77C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8.611 </w:t>
            </w:r>
          </w:p>
        </w:tc>
        <w:tc>
          <w:tcPr>
            <w:tcW w:w="1202" w:type="dxa"/>
            <w:tcBorders>
              <w:top w:val="nil"/>
              <w:left w:val="nil"/>
              <w:bottom w:val="single" w:sz="8" w:space="0" w:color="A6A6A6"/>
              <w:right w:val="double" w:sz="6" w:space="0" w:color="A6A6A6"/>
            </w:tcBorders>
            <w:noWrap/>
            <w:vAlign w:val="center"/>
            <w:hideMark/>
          </w:tcPr>
          <w:p w14:paraId="4361E1C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8.611 </w:t>
            </w:r>
          </w:p>
        </w:tc>
      </w:tr>
      <w:tr w:rsidR="00335312" w:rsidRPr="00EE3E83" w14:paraId="33CC8D6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601B5DE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SC 6</w:t>
            </w:r>
          </w:p>
        </w:tc>
        <w:tc>
          <w:tcPr>
            <w:tcW w:w="4923" w:type="dxa"/>
            <w:tcBorders>
              <w:top w:val="nil"/>
              <w:left w:val="nil"/>
              <w:bottom w:val="single" w:sz="8" w:space="0" w:color="A6A6A6"/>
              <w:right w:val="single" w:sz="8" w:space="0" w:color="A6A6A6"/>
            </w:tcBorders>
            <w:shd w:val="clear" w:color="000000" w:fill="DAF2D0"/>
            <w:vAlign w:val="center"/>
            <w:hideMark/>
          </w:tcPr>
          <w:p w14:paraId="14EF8C05"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Calibri"/>
                <w:color w:val="000000"/>
                <w:sz w:val="18"/>
                <w:szCs w:val="18"/>
              </w:rPr>
              <w:t>SCUOLA PARINI</w:t>
            </w:r>
          </w:p>
        </w:tc>
        <w:tc>
          <w:tcPr>
            <w:tcW w:w="753" w:type="dxa"/>
            <w:tcBorders>
              <w:top w:val="nil"/>
              <w:left w:val="nil"/>
              <w:bottom w:val="single" w:sz="8" w:space="0" w:color="A6A6A6"/>
              <w:right w:val="single" w:sz="8" w:space="0" w:color="A6A6A6"/>
            </w:tcBorders>
            <w:shd w:val="clear" w:color="000000" w:fill="DAF2D0"/>
            <w:noWrap/>
            <w:vAlign w:val="center"/>
            <w:hideMark/>
          </w:tcPr>
          <w:p w14:paraId="44DB4866"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Calibri"/>
                <w:color w:val="000000"/>
                <w:sz w:val="18"/>
                <w:szCs w:val="18"/>
              </w:rPr>
              <w:t>3</w:t>
            </w:r>
          </w:p>
        </w:tc>
        <w:tc>
          <w:tcPr>
            <w:tcW w:w="1214" w:type="dxa"/>
            <w:tcBorders>
              <w:top w:val="nil"/>
              <w:left w:val="nil"/>
              <w:bottom w:val="single" w:sz="8" w:space="0" w:color="A6A6A6"/>
              <w:right w:val="single" w:sz="8" w:space="0" w:color="A6A6A6"/>
            </w:tcBorders>
            <w:shd w:val="clear" w:color="000000" w:fill="DAF2D0"/>
            <w:noWrap/>
            <w:vAlign w:val="center"/>
            <w:hideMark/>
          </w:tcPr>
          <w:p w14:paraId="2B754DD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4.671 </w:t>
            </w:r>
          </w:p>
        </w:tc>
        <w:tc>
          <w:tcPr>
            <w:tcW w:w="1202" w:type="dxa"/>
            <w:tcBorders>
              <w:top w:val="nil"/>
              <w:left w:val="nil"/>
              <w:bottom w:val="single" w:sz="8" w:space="0" w:color="A6A6A6"/>
              <w:right w:val="double" w:sz="6" w:space="0" w:color="A6A6A6"/>
            </w:tcBorders>
            <w:shd w:val="clear" w:color="000000" w:fill="DAF2D0"/>
            <w:noWrap/>
            <w:vAlign w:val="center"/>
            <w:hideMark/>
          </w:tcPr>
          <w:p w14:paraId="4E371FD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Pr="00EE3E83">
              <w:rPr>
                <w:rFonts w:ascii="Calibri" w:eastAsia="Times New Roman" w:hAnsi="Calibri" w:cs="Calibri"/>
                <w:color w:val="000000"/>
                <w:sz w:val="18"/>
                <w:szCs w:val="18"/>
              </w:rPr>
              <w:t xml:space="preserve">4.671 </w:t>
            </w:r>
          </w:p>
        </w:tc>
      </w:tr>
      <w:tr w:rsidR="00335312" w:rsidRPr="00EE3E83" w14:paraId="34C4188F"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4959D1FB"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15D9660C"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ASTI</w:t>
            </w:r>
          </w:p>
        </w:tc>
        <w:tc>
          <w:tcPr>
            <w:tcW w:w="753" w:type="dxa"/>
            <w:tcBorders>
              <w:top w:val="nil"/>
              <w:left w:val="nil"/>
              <w:bottom w:val="double" w:sz="6" w:space="0" w:color="A6A6A6"/>
              <w:right w:val="single" w:sz="8" w:space="0" w:color="A6A6A6"/>
            </w:tcBorders>
            <w:shd w:val="clear" w:color="000000" w:fill="B5E6A2"/>
            <w:noWrap/>
            <w:vAlign w:val="center"/>
            <w:hideMark/>
          </w:tcPr>
          <w:p w14:paraId="502CA85C"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600</w:t>
            </w:r>
          </w:p>
        </w:tc>
        <w:tc>
          <w:tcPr>
            <w:tcW w:w="1214" w:type="dxa"/>
            <w:tcBorders>
              <w:top w:val="nil"/>
              <w:left w:val="nil"/>
              <w:bottom w:val="double" w:sz="6" w:space="0" w:color="A6A6A6"/>
              <w:right w:val="single" w:sz="8" w:space="0" w:color="A6A6A6"/>
            </w:tcBorders>
            <w:shd w:val="clear" w:color="000000" w:fill="B5E6A2"/>
            <w:noWrap/>
            <w:vAlign w:val="center"/>
            <w:hideMark/>
          </w:tcPr>
          <w:p w14:paraId="5C43AEA2"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1.037.468 </w:t>
            </w:r>
          </w:p>
        </w:tc>
        <w:tc>
          <w:tcPr>
            <w:tcW w:w="1202" w:type="dxa"/>
            <w:tcBorders>
              <w:top w:val="nil"/>
              <w:left w:val="nil"/>
              <w:bottom w:val="double" w:sz="6" w:space="0" w:color="A6A6A6"/>
              <w:right w:val="double" w:sz="6" w:space="0" w:color="A6A6A6"/>
            </w:tcBorders>
            <w:shd w:val="clear" w:color="000000" w:fill="B5E6A2"/>
            <w:noWrap/>
            <w:vAlign w:val="center"/>
            <w:hideMark/>
          </w:tcPr>
          <w:p w14:paraId="2B8F5532"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1.037.468 </w:t>
            </w:r>
          </w:p>
        </w:tc>
      </w:tr>
      <w:tr w:rsidR="00335312" w:rsidRPr="00EE3E83" w14:paraId="7CB96676"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61EF050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w:t>
            </w:r>
          </w:p>
        </w:tc>
        <w:tc>
          <w:tcPr>
            <w:tcW w:w="4923" w:type="dxa"/>
            <w:tcBorders>
              <w:top w:val="nil"/>
              <w:left w:val="nil"/>
              <w:bottom w:val="single" w:sz="8" w:space="0" w:color="A6A6A6"/>
              <w:right w:val="single" w:sz="8" w:space="0" w:color="A6A6A6"/>
            </w:tcBorders>
            <w:vAlign w:val="center"/>
            <w:hideMark/>
          </w:tcPr>
          <w:p w14:paraId="29A0F101"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ROSSA FERIALE</w:t>
            </w:r>
          </w:p>
        </w:tc>
        <w:tc>
          <w:tcPr>
            <w:tcW w:w="753" w:type="dxa"/>
            <w:tcBorders>
              <w:top w:val="nil"/>
              <w:left w:val="nil"/>
              <w:bottom w:val="single" w:sz="8" w:space="0" w:color="A6A6A6"/>
              <w:right w:val="single" w:sz="8" w:space="0" w:color="A6A6A6"/>
            </w:tcBorders>
            <w:noWrap/>
            <w:vAlign w:val="center"/>
            <w:hideMark/>
          </w:tcPr>
          <w:p w14:paraId="1E4A78D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48</w:t>
            </w:r>
          </w:p>
        </w:tc>
        <w:tc>
          <w:tcPr>
            <w:tcW w:w="1214" w:type="dxa"/>
            <w:tcBorders>
              <w:top w:val="nil"/>
              <w:left w:val="nil"/>
              <w:bottom w:val="single" w:sz="8" w:space="0" w:color="A6A6A6"/>
              <w:right w:val="single" w:sz="8" w:space="0" w:color="A6A6A6"/>
            </w:tcBorders>
            <w:noWrap/>
            <w:vAlign w:val="center"/>
            <w:hideMark/>
          </w:tcPr>
          <w:p w14:paraId="2A09F8B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70.226 </w:t>
            </w:r>
          </w:p>
        </w:tc>
        <w:tc>
          <w:tcPr>
            <w:tcW w:w="1202" w:type="dxa"/>
            <w:tcBorders>
              <w:top w:val="nil"/>
              <w:left w:val="nil"/>
              <w:bottom w:val="single" w:sz="8" w:space="0" w:color="A6A6A6"/>
              <w:right w:val="double" w:sz="6" w:space="0" w:color="A6A6A6"/>
            </w:tcBorders>
            <w:noWrap/>
            <w:vAlign w:val="center"/>
            <w:hideMark/>
          </w:tcPr>
          <w:p w14:paraId="5B984C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70.226 </w:t>
            </w:r>
          </w:p>
        </w:tc>
      </w:tr>
      <w:tr w:rsidR="00335312" w:rsidRPr="00EE3E83" w14:paraId="38FC0D67"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6F9CADC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4923" w:type="dxa"/>
            <w:tcBorders>
              <w:top w:val="nil"/>
              <w:left w:val="nil"/>
              <w:bottom w:val="single" w:sz="8" w:space="0" w:color="A6A6A6"/>
              <w:right w:val="single" w:sz="8" w:space="0" w:color="A6A6A6"/>
            </w:tcBorders>
            <w:shd w:val="clear" w:color="000000" w:fill="DAF2D0"/>
            <w:vAlign w:val="center"/>
            <w:hideMark/>
          </w:tcPr>
          <w:p w14:paraId="68C3C7A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ROSSA FESTIVA</w:t>
            </w:r>
          </w:p>
        </w:tc>
        <w:tc>
          <w:tcPr>
            <w:tcW w:w="753" w:type="dxa"/>
            <w:tcBorders>
              <w:top w:val="nil"/>
              <w:left w:val="nil"/>
              <w:bottom w:val="single" w:sz="8" w:space="0" w:color="A6A6A6"/>
              <w:right w:val="single" w:sz="8" w:space="0" w:color="A6A6A6"/>
            </w:tcBorders>
            <w:shd w:val="clear" w:color="000000" w:fill="DAF2D0"/>
            <w:noWrap/>
            <w:vAlign w:val="center"/>
            <w:hideMark/>
          </w:tcPr>
          <w:p w14:paraId="39CFC84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1214" w:type="dxa"/>
            <w:tcBorders>
              <w:top w:val="nil"/>
              <w:left w:val="nil"/>
              <w:bottom w:val="single" w:sz="8" w:space="0" w:color="A6A6A6"/>
              <w:right w:val="single" w:sz="8" w:space="0" w:color="A6A6A6"/>
            </w:tcBorders>
            <w:shd w:val="clear" w:color="000000" w:fill="DAF2D0"/>
            <w:noWrap/>
            <w:vAlign w:val="center"/>
            <w:hideMark/>
          </w:tcPr>
          <w:p w14:paraId="73425D5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7.656 </w:t>
            </w:r>
          </w:p>
        </w:tc>
        <w:tc>
          <w:tcPr>
            <w:tcW w:w="1202" w:type="dxa"/>
            <w:tcBorders>
              <w:top w:val="nil"/>
              <w:left w:val="nil"/>
              <w:bottom w:val="single" w:sz="8" w:space="0" w:color="A6A6A6"/>
              <w:right w:val="double" w:sz="6" w:space="0" w:color="A6A6A6"/>
            </w:tcBorders>
            <w:shd w:val="clear" w:color="000000" w:fill="DAF2D0"/>
            <w:noWrap/>
            <w:vAlign w:val="center"/>
            <w:hideMark/>
          </w:tcPr>
          <w:p w14:paraId="5404033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7.656 </w:t>
            </w:r>
          </w:p>
        </w:tc>
      </w:tr>
      <w:tr w:rsidR="00335312" w:rsidRPr="00EE3E83" w14:paraId="5F7175D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89AF9A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w:t>
            </w:r>
          </w:p>
        </w:tc>
        <w:tc>
          <w:tcPr>
            <w:tcW w:w="4923" w:type="dxa"/>
            <w:tcBorders>
              <w:top w:val="nil"/>
              <w:left w:val="nil"/>
              <w:bottom w:val="single" w:sz="8" w:space="0" w:color="A6A6A6"/>
              <w:right w:val="single" w:sz="8" w:space="0" w:color="A6A6A6"/>
            </w:tcBorders>
            <w:vAlign w:val="center"/>
            <w:hideMark/>
          </w:tcPr>
          <w:p w14:paraId="2C67DE86"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BLU E SPECIALE FERIALE</w:t>
            </w:r>
          </w:p>
        </w:tc>
        <w:tc>
          <w:tcPr>
            <w:tcW w:w="753" w:type="dxa"/>
            <w:tcBorders>
              <w:top w:val="nil"/>
              <w:left w:val="nil"/>
              <w:bottom w:val="single" w:sz="8" w:space="0" w:color="A6A6A6"/>
              <w:right w:val="single" w:sz="8" w:space="0" w:color="A6A6A6"/>
            </w:tcBorders>
            <w:noWrap/>
            <w:vAlign w:val="center"/>
            <w:hideMark/>
          </w:tcPr>
          <w:p w14:paraId="27D07B4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57</w:t>
            </w:r>
          </w:p>
        </w:tc>
        <w:tc>
          <w:tcPr>
            <w:tcW w:w="1214" w:type="dxa"/>
            <w:tcBorders>
              <w:top w:val="nil"/>
              <w:left w:val="nil"/>
              <w:bottom w:val="single" w:sz="8" w:space="0" w:color="A6A6A6"/>
              <w:right w:val="single" w:sz="8" w:space="0" w:color="A6A6A6"/>
            </w:tcBorders>
            <w:noWrap/>
            <w:vAlign w:val="center"/>
            <w:hideMark/>
          </w:tcPr>
          <w:p w14:paraId="0415CF9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92.321 </w:t>
            </w:r>
          </w:p>
        </w:tc>
        <w:tc>
          <w:tcPr>
            <w:tcW w:w="1202" w:type="dxa"/>
            <w:tcBorders>
              <w:top w:val="nil"/>
              <w:left w:val="nil"/>
              <w:bottom w:val="single" w:sz="8" w:space="0" w:color="A6A6A6"/>
              <w:right w:val="double" w:sz="6" w:space="0" w:color="A6A6A6"/>
            </w:tcBorders>
            <w:noWrap/>
            <w:vAlign w:val="center"/>
            <w:hideMark/>
          </w:tcPr>
          <w:p w14:paraId="53C8F52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92.321 </w:t>
            </w:r>
          </w:p>
        </w:tc>
      </w:tr>
      <w:tr w:rsidR="00335312" w:rsidRPr="00EE3E83" w14:paraId="2544A56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1EC38EE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4923" w:type="dxa"/>
            <w:tcBorders>
              <w:top w:val="nil"/>
              <w:left w:val="nil"/>
              <w:bottom w:val="single" w:sz="8" w:space="0" w:color="A6A6A6"/>
              <w:right w:val="single" w:sz="8" w:space="0" w:color="A6A6A6"/>
            </w:tcBorders>
            <w:shd w:val="clear" w:color="000000" w:fill="DAF2D0"/>
            <w:vAlign w:val="center"/>
            <w:hideMark/>
          </w:tcPr>
          <w:p w14:paraId="4F4F0CA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VERDE FERIALE</w:t>
            </w:r>
          </w:p>
        </w:tc>
        <w:tc>
          <w:tcPr>
            <w:tcW w:w="753" w:type="dxa"/>
            <w:tcBorders>
              <w:top w:val="nil"/>
              <w:left w:val="nil"/>
              <w:bottom w:val="single" w:sz="8" w:space="0" w:color="A6A6A6"/>
              <w:right w:val="single" w:sz="8" w:space="0" w:color="A6A6A6"/>
            </w:tcBorders>
            <w:shd w:val="clear" w:color="000000" w:fill="DAF2D0"/>
            <w:noWrap/>
            <w:vAlign w:val="center"/>
            <w:hideMark/>
          </w:tcPr>
          <w:p w14:paraId="26A5A52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shd w:val="clear" w:color="000000" w:fill="DAF2D0"/>
            <w:noWrap/>
            <w:vAlign w:val="center"/>
            <w:hideMark/>
          </w:tcPr>
          <w:p w14:paraId="3BBEC43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26.339 </w:t>
            </w:r>
          </w:p>
        </w:tc>
        <w:tc>
          <w:tcPr>
            <w:tcW w:w="1202" w:type="dxa"/>
            <w:tcBorders>
              <w:top w:val="nil"/>
              <w:left w:val="nil"/>
              <w:bottom w:val="single" w:sz="8" w:space="0" w:color="A6A6A6"/>
              <w:right w:val="double" w:sz="6" w:space="0" w:color="A6A6A6"/>
            </w:tcBorders>
            <w:shd w:val="clear" w:color="000000" w:fill="DAF2D0"/>
            <w:noWrap/>
            <w:vAlign w:val="center"/>
            <w:hideMark/>
          </w:tcPr>
          <w:p w14:paraId="207AE23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26.339 </w:t>
            </w:r>
          </w:p>
        </w:tc>
      </w:tr>
      <w:tr w:rsidR="00335312" w:rsidRPr="00EE3E83" w14:paraId="4442E44D"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558A495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4923" w:type="dxa"/>
            <w:tcBorders>
              <w:top w:val="nil"/>
              <w:left w:val="nil"/>
              <w:bottom w:val="single" w:sz="8" w:space="0" w:color="A6A6A6"/>
              <w:right w:val="single" w:sz="8" w:space="0" w:color="A6A6A6"/>
            </w:tcBorders>
            <w:vAlign w:val="center"/>
            <w:hideMark/>
          </w:tcPr>
          <w:p w14:paraId="352B8DA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TERRANOVA FERIALE</w:t>
            </w:r>
          </w:p>
        </w:tc>
        <w:tc>
          <w:tcPr>
            <w:tcW w:w="753" w:type="dxa"/>
            <w:tcBorders>
              <w:top w:val="nil"/>
              <w:left w:val="nil"/>
              <w:bottom w:val="single" w:sz="8" w:space="0" w:color="A6A6A6"/>
              <w:right w:val="single" w:sz="8" w:space="0" w:color="A6A6A6"/>
            </w:tcBorders>
            <w:noWrap/>
            <w:vAlign w:val="center"/>
            <w:hideMark/>
          </w:tcPr>
          <w:p w14:paraId="62E628B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noWrap/>
            <w:vAlign w:val="center"/>
            <w:hideMark/>
          </w:tcPr>
          <w:p w14:paraId="32B4E7A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10.488 </w:t>
            </w:r>
          </w:p>
        </w:tc>
        <w:tc>
          <w:tcPr>
            <w:tcW w:w="1202" w:type="dxa"/>
            <w:tcBorders>
              <w:top w:val="nil"/>
              <w:left w:val="nil"/>
              <w:bottom w:val="single" w:sz="8" w:space="0" w:color="A6A6A6"/>
              <w:right w:val="double" w:sz="6" w:space="0" w:color="A6A6A6"/>
            </w:tcBorders>
            <w:noWrap/>
            <w:vAlign w:val="center"/>
            <w:hideMark/>
          </w:tcPr>
          <w:p w14:paraId="612785B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10.488 </w:t>
            </w:r>
          </w:p>
        </w:tc>
      </w:tr>
      <w:tr w:rsidR="00335312" w:rsidRPr="00EE3E83" w14:paraId="32FF1DA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553D37B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4923" w:type="dxa"/>
            <w:tcBorders>
              <w:top w:val="nil"/>
              <w:left w:val="nil"/>
              <w:bottom w:val="single" w:sz="8" w:space="0" w:color="A6A6A6"/>
              <w:right w:val="single" w:sz="8" w:space="0" w:color="A6A6A6"/>
            </w:tcBorders>
            <w:shd w:val="clear" w:color="000000" w:fill="DAF2D0"/>
            <w:vAlign w:val="center"/>
            <w:hideMark/>
          </w:tcPr>
          <w:p w14:paraId="2890185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RONCAGLIA FERIALE</w:t>
            </w:r>
          </w:p>
        </w:tc>
        <w:tc>
          <w:tcPr>
            <w:tcW w:w="753" w:type="dxa"/>
            <w:tcBorders>
              <w:top w:val="nil"/>
              <w:left w:val="nil"/>
              <w:bottom w:val="single" w:sz="8" w:space="0" w:color="A6A6A6"/>
              <w:right w:val="single" w:sz="8" w:space="0" w:color="A6A6A6"/>
            </w:tcBorders>
            <w:shd w:val="clear" w:color="000000" w:fill="DAF2D0"/>
            <w:noWrap/>
            <w:vAlign w:val="center"/>
            <w:hideMark/>
          </w:tcPr>
          <w:p w14:paraId="3B03854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AF2D0"/>
            <w:noWrap/>
            <w:vAlign w:val="center"/>
            <w:hideMark/>
          </w:tcPr>
          <w:p w14:paraId="111D827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1.612 </w:t>
            </w:r>
          </w:p>
        </w:tc>
        <w:tc>
          <w:tcPr>
            <w:tcW w:w="1202" w:type="dxa"/>
            <w:tcBorders>
              <w:top w:val="nil"/>
              <w:left w:val="nil"/>
              <w:bottom w:val="single" w:sz="8" w:space="0" w:color="A6A6A6"/>
              <w:right w:val="double" w:sz="6" w:space="0" w:color="A6A6A6"/>
            </w:tcBorders>
            <w:shd w:val="clear" w:color="000000" w:fill="DAF2D0"/>
            <w:noWrap/>
            <w:vAlign w:val="center"/>
            <w:hideMark/>
          </w:tcPr>
          <w:p w14:paraId="3422B82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1.612 </w:t>
            </w:r>
          </w:p>
        </w:tc>
      </w:tr>
      <w:tr w:rsidR="00335312" w:rsidRPr="00EE3E83" w14:paraId="0F8D2E1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021BB6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7</w:t>
            </w:r>
          </w:p>
        </w:tc>
        <w:tc>
          <w:tcPr>
            <w:tcW w:w="4923" w:type="dxa"/>
            <w:tcBorders>
              <w:top w:val="nil"/>
              <w:left w:val="nil"/>
              <w:bottom w:val="single" w:sz="8" w:space="0" w:color="A6A6A6"/>
              <w:right w:val="single" w:sz="8" w:space="0" w:color="A6A6A6"/>
            </w:tcBorders>
            <w:vAlign w:val="center"/>
            <w:hideMark/>
          </w:tcPr>
          <w:p w14:paraId="291F448C"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CASCINE ROSSI FERIALE</w:t>
            </w:r>
          </w:p>
        </w:tc>
        <w:tc>
          <w:tcPr>
            <w:tcW w:w="753" w:type="dxa"/>
            <w:tcBorders>
              <w:top w:val="nil"/>
              <w:left w:val="nil"/>
              <w:bottom w:val="single" w:sz="8" w:space="0" w:color="A6A6A6"/>
              <w:right w:val="single" w:sz="8" w:space="0" w:color="A6A6A6"/>
            </w:tcBorders>
            <w:noWrap/>
            <w:vAlign w:val="center"/>
            <w:hideMark/>
          </w:tcPr>
          <w:p w14:paraId="2F95787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6</w:t>
            </w:r>
          </w:p>
        </w:tc>
        <w:tc>
          <w:tcPr>
            <w:tcW w:w="1214" w:type="dxa"/>
            <w:tcBorders>
              <w:top w:val="nil"/>
              <w:left w:val="nil"/>
              <w:bottom w:val="single" w:sz="8" w:space="0" w:color="A6A6A6"/>
              <w:right w:val="single" w:sz="8" w:space="0" w:color="A6A6A6"/>
            </w:tcBorders>
            <w:noWrap/>
            <w:vAlign w:val="center"/>
            <w:hideMark/>
          </w:tcPr>
          <w:p w14:paraId="143A572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12.768 </w:t>
            </w:r>
          </w:p>
        </w:tc>
        <w:tc>
          <w:tcPr>
            <w:tcW w:w="1202" w:type="dxa"/>
            <w:tcBorders>
              <w:top w:val="nil"/>
              <w:left w:val="nil"/>
              <w:bottom w:val="single" w:sz="8" w:space="0" w:color="A6A6A6"/>
              <w:right w:val="double" w:sz="6" w:space="0" w:color="A6A6A6"/>
            </w:tcBorders>
            <w:noWrap/>
            <w:vAlign w:val="center"/>
            <w:hideMark/>
          </w:tcPr>
          <w:p w14:paraId="1D2E2D5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12.768 </w:t>
            </w:r>
          </w:p>
        </w:tc>
      </w:tr>
      <w:tr w:rsidR="00335312" w:rsidRPr="00EE3E83" w14:paraId="549C41F8"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362E85B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w:t>
            </w:r>
          </w:p>
        </w:tc>
        <w:tc>
          <w:tcPr>
            <w:tcW w:w="4923" w:type="dxa"/>
            <w:tcBorders>
              <w:top w:val="nil"/>
              <w:left w:val="nil"/>
              <w:bottom w:val="single" w:sz="8" w:space="0" w:color="A6A6A6"/>
              <w:right w:val="single" w:sz="8" w:space="0" w:color="A6A6A6"/>
            </w:tcBorders>
            <w:shd w:val="clear" w:color="000000" w:fill="DAF2D0"/>
            <w:vAlign w:val="center"/>
            <w:hideMark/>
          </w:tcPr>
          <w:p w14:paraId="31CBC6DF"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CONIOLO</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VIALARDA</w:t>
            </w: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ROLASCO</w:t>
            </w:r>
          </w:p>
        </w:tc>
        <w:tc>
          <w:tcPr>
            <w:tcW w:w="753" w:type="dxa"/>
            <w:tcBorders>
              <w:top w:val="nil"/>
              <w:left w:val="nil"/>
              <w:bottom w:val="single" w:sz="8" w:space="0" w:color="A6A6A6"/>
              <w:right w:val="single" w:sz="8" w:space="0" w:color="A6A6A6"/>
            </w:tcBorders>
            <w:shd w:val="clear" w:color="000000" w:fill="DAF2D0"/>
            <w:noWrap/>
            <w:vAlign w:val="center"/>
            <w:hideMark/>
          </w:tcPr>
          <w:p w14:paraId="71991E3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w:t>
            </w:r>
          </w:p>
        </w:tc>
        <w:tc>
          <w:tcPr>
            <w:tcW w:w="1214" w:type="dxa"/>
            <w:tcBorders>
              <w:top w:val="nil"/>
              <w:left w:val="nil"/>
              <w:bottom w:val="single" w:sz="8" w:space="0" w:color="A6A6A6"/>
              <w:right w:val="single" w:sz="8" w:space="0" w:color="A6A6A6"/>
            </w:tcBorders>
            <w:shd w:val="clear" w:color="000000" w:fill="DAF2D0"/>
            <w:noWrap/>
            <w:vAlign w:val="center"/>
            <w:hideMark/>
          </w:tcPr>
          <w:p w14:paraId="1A2A2A6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7.530 </w:t>
            </w:r>
          </w:p>
        </w:tc>
        <w:tc>
          <w:tcPr>
            <w:tcW w:w="1202" w:type="dxa"/>
            <w:tcBorders>
              <w:top w:val="nil"/>
              <w:left w:val="nil"/>
              <w:bottom w:val="single" w:sz="8" w:space="0" w:color="A6A6A6"/>
              <w:right w:val="double" w:sz="6" w:space="0" w:color="A6A6A6"/>
            </w:tcBorders>
            <w:shd w:val="clear" w:color="000000" w:fill="DAF2D0"/>
            <w:noWrap/>
            <w:vAlign w:val="center"/>
            <w:hideMark/>
          </w:tcPr>
          <w:p w14:paraId="5EAAAC2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7.530 </w:t>
            </w:r>
          </w:p>
        </w:tc>
      </w:tr>
      <w:tr w:rsidR="00335312" w:rsidRPr="00EE3E83" w14:paraId="3EEE9F62"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99B981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4923" w:type="dxa"/>
            <w:tcBorders>
              <w:top w:val="nil"/>
              <w:left w:val="nil"/>
              <w:bottom w:val="single" w:sz="8" w:space="0" w:color="A6A6A6"/>
              <w:right w:val="single" w:sz="8" w:space="0" w:color="A6A6A6"/>
            </w:tcBorders>
            <w:vAlign w:val="center"/>
            <w:hideMark/>
          </w:tcPr>
          <w:p w14:paraId="312691C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BIS FERIALE</w:t>
            </w:r>
          </w:p>
        </w:tc>
        <w:tc>
          <w:tcPr>
            <w:tcW w:w="753" w:type="dxa"/>
            <w:tcBorders>
              <w:top w:val="nil"/>
              <w:left w:val="nil"/>
              <w:bottom w:val="single" w:sz="8" w:space="0" w:color="A6A6A6"/>
              <w:right w:val="single" w:sz="8" w:space="0" w:color="A6A6A6"/>
            </w:tcBorders>
            <w:noWrap/>
            <w:vAlign w:val="center"/>
            <w:hideMark/>
          </w:tcPr>
          <w:p w14:paraId="2FB28C6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w:t>
            </w:r>
          </w:p>
        </w:tc>
        <w:tc>
          <w:tcPr>
            <w:tcW w:w="1214" w:type="dxa"/>
            <w:tcBorders>
              <w:top w:val="nil"/>
              <w:left w:val="nil"/>
              <w:bottom w:val="single" w:sz="8" w:space="0" w:color="A6A6A6"/>
              <w:right w:val="single" w:sz="8" w:space="0" w:color="A6A6A6"/>
            </w:tcBorders>
            <w:noWrap/>
            <w:vAlign w:val="center"/>
            <w:hideMark/>
          </w:tcPr>
          <w:p w14:paraId="6FC2205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2.764 </w:t>
            </w:r>
          </w:p>
        </w:tc>
        <w:tc>
          <w:tcPr>
            <w:tcW w:w="1202" w:type="dxa"/>
            <w:tcBorders>
              <w:top w:val="nil"/>
              <w:left w:val="nil"/>
              <w:bottom w:val="single" w:sz="8" w:space="0" w:color="A6A6A6"/>
              <w:right w:val="double" w:sz="6" w:space="0" w:color="A6A6A6"/>
            </w:tcBorders>
            <w:noWrap/>
            <w:vAlign w:val="center"/>
            <w:hideMark/>
          </w:tcPr>
          <w:p w14:paraId="055F954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2.764 </w:t>
            </w:r>
          </w:p>
        </w:tc>
      </w:tr>
      <w:tr w:rsidR="00335312" w:rsidRPr="00EE3E83" w14:paraId="0300877C"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63653D3A"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3DEAD6FA"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CASALE MONFERRATO</w:t>
            </w:r>
          </w:p>
        </w:tc>
        <w:tc>
          <w:tcPr>
            <w:tcW w:w="753" w:type="dxa"/>
            <w:tcBorders>
              <w:top w:val="nil"/>
              <w:left w:val="nil"/>
              <w:bottom w:val="double" w:sz="6" w:space="0" w:color="A6A6A6"/>
              <w:right w:val="single" w:sz="8" w:space="0" w:color="A6A6A6"/>
            </w:tcBorders>
            <w:shd w:val="clear" w:color="000000" w:fill="B5E6A2"/>
            <w:noWrap/>
            <w:vAlign w:val="center"/>
            <w:hideMark/>
          </w:tcPr>
          <w:p w14:paraId="754606CA"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143</w:t>
            </w:r>
          </w:p>
        </w:tc>
        <w:tc>
          <w:tcPr>
            <w:tcW w:w="1214" w:type="dxa"/>
            <w:tcBorders>
              <w:top w:val="nil"/>
              <w:left w:val="nil"/>
              <w:bottom w:val="double" w:sz="6" w:space="0" w:color="A6A6A6"/>
              <w:right w:val="single" w:sz="8" w:space="0" w:color="A6A6A6"/>
            </w:tcBorders>
            <w:shd w:val="clear" w:color="000000" w:fill="B5E6A2"/>
            <w:noWrap/>
            <w:vAlign w:val="center"/>
            <w:hideMark/>
          </w:tcPr>
          <w:p w14:paraId="1A7F68A6"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231.704 </w:t>
            </w:r>
          </w:p>
        </w:tc>
        <w:tc>
          <w:tcPr>
            <w:tcW w:w="1202" w:type="dxa"/>
            <w:tcBorders>
              <w:top w:val="nil"/>
              <w:left w:val="nil"/>
              <w:bottom w:val="double" w:sz="6" w:space="0" w:color="A6A6A6"/>
              <w:right w:val="double" w:sz="6" w:space="0" w:color="A6A6A6"/>
            </w:tcBorders>
            <w:shd w:val="clear" w:color="000000" w:fill="B5E6A2"/>
            <w:noWrap/>
            <w:vAlign w:val="center"/>
            <w:hideMark/>
          </w:tcPr>
          <w:p w14:paraId="24DE661F"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231.704 </w:t>
            </w:r>
          </w:p>
        </w:tc>
      </w:tr>
      <w:tr w:rsidR="00335312" w:rsidRPr="00EE3E83" w14:paraId="5577D299"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465A59D1" w14:textId="77777777" w:rsidR="00335312" w:rsidRPr="00EE3E83" w:rsidRDefault="00335312" w:rsidP="002A21C0">
            <w:pPr>
              <w:spacing w:after="0" w:line="240" w:lineRule="auto"/>
              <w:jc w:val="center"/>
              <w:rPr>
                <w:rFonts w:ascii="Calibri" w:eastAsia="Times New Roman" w:hAnsi="Calibri" w:cs="Calibri"/>
                <w:color w:val="000000"/>
                <w:sz w:val="18"/>
                <w:szCs w:val="18"/>
              </w:rPr>
            </w:pPr>
            <w:bookmarkStart w:id="203" w:name="_Hlk203473941" w:colFirst="1" w:colLast="4"/>
            <w:r w:rsidRPr="00EE3E83">
              <w:rPr>
                <w:rFonts w:ascii="Calibri" w:eastAsia="Times New Roman" w:hAnsi="Calibri" w:cstheme="minorHAnsi"/>
                <w:color w:val="000000"/>
                <w:sz w:val="18"/>
                <w:szCs w:val="18"/>
              </w:rPr>
              <w:t>S012</w:t>
            </w:r>
          </w:p>
        </w:tc>
        <w:tc>
          <w:tcPr>
            <w:tcW w:w="4923" w:type="dxa"/>
            <w:tcBorders>
              <w:top w:val="nil"/>
              <w:left w:val="nil"/>
              <w:bottom w:val="single" w:sz="8" w:space="0" w:color="A6A6A6"/>
              <w:right w:val="single" w:sz="8" w:space="0" w:color="A6A6A6"/>
            </w:tcBorders>
            <w:vAlign w:val="center"/>
            <w:hideMark/>
          </w:tcPr>
          <w:p w14:paraId="1334827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URBANO ACQUI TERME ROSSO</w:t>
            </w:r>
          </w:p>
        </w:tc>
        <w:tc>
          <w:tcPr>
            <w:tcW w:w="753" w:type="dxa"/>
            <w:tcBorders>
              <w:top w:val="nil"/>
              <w:left w:val="nil"/>
              <w:bottom w:val="single" w:sz="8" w:space="0" w:color="A6A6A6"/>
              <w:right w:val="single" w:sz="8" w:space="0" w:color="A6A6A6"/>
            </w:tcBorders>
            <w:noWrap/>
            <w:vAlign w:val="center"/>
            <w:hideMark/>
          </w:tcPr>
          <w:p w14:paraId="607EE4E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26</w:t>
            </w:r>
          </w:p>
        </w:tc>
        <w:tc>
          <w:tcPr>
            <w:tcW w:w="1214" w:type="dxa"/>
            <w:tcBorders>
              <w:top w:val="nil"/>
              <w:left w:val="nil"/>
              <w:bottom w:val="single" w:sz="8" w:space="0" w:color="A6A6A6"/>
              <w:right w:val="single" w:sz="8" w:space="0" w:color="A6A6A6"/>
            </w:tcBorders>
            <w:noWrap/>
            <w:vAlign w:val="center"/>
            <w:hideMark/>
          </w:tcPr>
          <w:p w14:paraId="7F20568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32.919 </w:t>
            </w:r>
          </w:p>
        </w:tc>
        <w:tc>
          <w:tcPr>
            <w:tcW w:w="1202" w:type="dxa"/>
            <w:tcBorders>
              <w:top w:val="nil"/>
              <w:left w:val="nil"/>
              <w:bottom w:val="single" w:sz="8" w:space="0" w:color="A6A6A6"/>
              <w:right w:val="double" w:sz="6" w:space="0" w:color="A6A6A6"/>
            </w:tcBorders>
            <w:noWrap/>
            <w:vAlign w:val="center"/>
            <w:hideMark/>
          </w:tcPr>
          <w:p w14:paraId="16A5108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32.919 </w:t>
            </w:r>
          </w:p>
        </w:tc>
      </w:tr>
      <w:tr w:rsidR="00335312" w:rsidRPr="00EE3E83" w14:paraId="236F2CD5"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70D7235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S013</w:t>
            </w:r>
          </w:p>
        </w:tc>
        <w:tc>
          <w:tcPr>
            <w:tcW w:w="4923" w:type="dxa"/>
            <w:tcBorders>
              <w:top w:val="nil"/>
              <w:left w:val="nil"/>
              <w:bottom w:val="single" w:sz="8" w:space="0" w:color="A6A6A6"/>
              <w:right w:val="single" w:sz="8" w:space="0" w:color="A6A6A6"/>
            </w:tcBorders>
            <w:shd w:val="clear" w:color="000000" w:fill="DAF2D0"/>
            <w:vAlign w:val="center"/>
            <w:hideMark/>
          </w:tcPr>
          <w:p w14:paraId="08732F00"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URBANO ACQUI TERME BLU</w:t>
            </w:r>
          </w:p>
        </w:tc>
        <w:tc>
          <w:tcPr>
            <w:tcW w:w="753" w:type="dxa"/>
            <w:tcBorders>
              <w:top w:val="nil"/>
              <w:left w:val="nil"/>
              <w:bottom w:val="single" w:sz="8" w:space="0" w:color="A6A6A6"/>
              <w:right w:val="single" w:sz="8" w:space="0" w:color="A6A6A6"/>
            </w:tcBorders>
            <w:shd w:val="clear" w:color="000000" w:fill="DAF2D0"/>
            <w:noWrap/>
            <w:vAlign w:val="center"/>
            <w:hideMark/>
          </w:tcPr>
          <w:p w14:paraId="45DED29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29</w:t>
            </w:r>
          </w:p>
        </w:tc>
        <w:tc>
          <w:tcPr>
            <w:tcW w:w="1214" w:type="dxa"/>
            <w:tcBorders>
              <w:top w:val="nil"/>
              <w:left w:val="nil"/>
              <w:bottom w:val="single" w:sz="8" w:space="0" w:color="A6A6A6"/>
              <w:right w:val="single" w:sz="8" w:space="0" w:color="A6A6A6"/>
            </w:tcBorders>
            <w:shd w:val="clear" w:color="000000" w:fill="DAF2D0"/>
            <w:noWrap/>
            <w:vAlign w:val="center"/>
            <w:hideMark/>
          </w:tcPr>
          <w:p w14:paraId="1042B30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19.198 </w:t>
            </w:r>
          </w:p>
        </w:tc>
        <w:tc>
          <w:tcPr>
            <w:tcW w:w="1202" w:type="dxa"/>
            <w:tcBorders>
              <w:top w:val="nil"/>
              <w:left w:val="nil"/>
              <w:bottom w:val="single" w:sz="8" w:space="0" w:color="A6A6A6"/>
              <w:right w:val="double" w:sz="6" w:space="0" w:color="A6A6A6"/>
            </w:tcBorders>
            <w:shd w:val="clear" w:color="000000" w:fill="DAF2D0"/>
            <w:noWrap/>
            <w:vAlign w:val="center"/>
            <w:hideMark/>
          </w:tcPr>
          <w:p w14:paraId="69DB76F3"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19.198 </w:t>
            </w:r>
          </w:p>
        </w:tc>
      </w:tr>
      <w:tr w:rsidR="00335312" w:rsidRPr="00EE3E83" w14:paraId="4F931343"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7B17B81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S024</w:t>
            </w:r>
          </w:p>
        </w:tc>
        <w:tc>
          <w:tcPr>
            <w:tcW w:w="4923" w:type="dxa"/>
            <w:tcBorders>
              <w:top w:val="nil"/>
              <w:left w:val="nil"/>
              <w:bottom w:val="single" w:sz="8" w:space="0" w:color="A6A6A6"/>
              <w:right w:val="single" w:sz="8" w:space="0" w:color="A6A6A6"/>
            </w:tcBorders>
            <w:vAlign w:val="center"/>
            <w:hideMark/>
          </w:tcPr>
          <w:p w14:paraId="57FDA2C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MORETTI - ACQUI TERME</w:t>
            </w:r>
          </w:p>
        </w:tc>
        <w:tc>
          <w:tcPr>
            <w:tcW w:w="753" w:type="dxa"/>
            <w:tcBorders>
              <w:top w:val="nil"/>
              <w:left w:val="nil"/>
              <w:bottom w:val="single" w:sz="8" w:space="0" w:color="A6A6A6"/>
              <w:right w:val="single" w:sz="8" w:space="0" w:color="A6A6A6"/>
            </w:tcBorders>
            <w:noWrap/>
            <w:vAlign w:val="center"/>
            <w:hideMark/>
          </w:tcPr>
          <w:p w14:paraId="385B232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12</w:t>
            </w:r>
          </w:p>
        </w:tc>
        <w:tc>
          <w:tcPr>
            <w:tcW w:w="1214" w:type="dxa"/>
            <w:tcBorders>
              <w:top w:val="nil"/>
              <w:left w:val="nil"/>
              <w:bottom w:val="single" w:sz="8" w:space="0" w:color="A6A6A6"/>
              <w:right w:val="single" w:sz="8" w:space="0" w:color="A6A6A6"/>
            </w:tcBorders>
            <w:noWrap/>
            <w:vAlign w:val="center"/>
            <w:hideMark/>
          </w:tcPr>
          <w:p w14:paraId="1B6188F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43.560 </w:t>
            </w:r>
          </w:p>
        </w:tc>
        <w:tc>
          <w:tcPr>
            <w:tcW w:w="1202" w:type="dxa"/>
            <w:tcBorders>
              <w:top w:val="nil"/>
              <w:left w:val="nil"/>
              <w:bottom w:val="single" w:sz="8" w:space="0" w:color="A6A6A6"/>
              <w:right w:val="double" w:sz="6" w:space="0" w:color="A6A6A6"/>
            </w:tcBorders>
            <w:noWrap/>
            <w:vAlign w:val="center"/>
            <w:hideMark/>
          </w:tcPr>
          <w:p w14:paraId="07CFF26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43.560 </w:t>
            </w:r>
          </w:p>
        </w:tc>
      </w:tr>
      <w:tr w:rsidR="00335312" w:rsidRPr="00EE3E83" w14:paraId="788627CF"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5856D3D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S026</w:t>
            </w:r>
          </w:p>
        </w:tc>
        <w:tc>
          <w:tcPr>
            <w:tcW w:w="4923" w:type="dxa"/>
            <w:tcBorders>
              <w:top w:val="nil"/>
              <w:left w:val="nil"/>
              <w:bottom w:val="single" w:sz="8" w:space="0" w:color="A6A6A6"/>
              <w:right w:val="single" w:sz="8" w:space="0" w:color="A6A6A6"/>
            </w:tcBorders>
            <w:shd w:val="clear" w:color="000000" w:fill="DAF2D0"/>
            <w:vAlign w:val="center"/>
            <w:hideMark/>
          </w:tcPr>
          <w:p w14:paraId="160AE66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SASSELLO - ACQUI TERME</w:t>
            </w:r>
          </w:p>
        </w:tc>
        <w:tc>
          <w:tcPr>
            <w:tcW w:w="753" w:type="dxa"/>
            <w:tcBorders>
              <w:top w:val="nil"/>
              <w:left w:val="nil"/>
              <w:bottom w:val="single" w:sz="8" w:space="0" w:color="A6A6A6"/>
              <w:right w:val="single" w:sz="8" w:space="0" w:color="A6A6A6"/>
            </w:tcBorders>
            <w:shd w:val="clear" w:color="000000" w:fill="DAF2D0"/>
            <w:noWrap/>
            <w:vAlign w:val="center"/>
            <w:hideMark/>
          </w:tcPr>
          <w:p w14:paraId="3B35054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18</w:t>
            </w:r>
          </w:p>
        </w:tc>
        <w:tc>
          <w:tcPr>
            <w:tcW w:w="1214" w:type="dxa"/>
            <w:tcBorders>
              <w:top w:val="nil"/>
              <w:left w:val="nil"/>
              <w:bottom w:val="single" w:sz="8" w:space="0" w:color="A6A6A6"/>
              <w:right w:val="single" w:sz="8" w:space="0" w:color="A6A6A6"/>
            </w:tcBorders>
            <w:shd w:val="clear" w:color="000000" w:fill="DAF2D0"/>
            <w:noWrap/>
            <w:vAlign w:val="center"/>
            <w:hideMark/>
          </w:tcPr>
          <w:p w14:paraId="7C197B0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57.526 </w:t>
            </w:r>
          </w:p>
        </w:tc>
        <w:tc>
          <w:tcPr>
            <w:tcW w:w="1202" w:type="dxa"/>
            <w:tcBorders>
              <w:top w:val="nil"/>
              <w:left w:val="nil"/>
              <w:bottom w:val="single" w:sz="8" w:space="0" w:color="A6A6A6"/>
              <w:right w:val="double" w:sz="6" w:space="0" w:color="A6A6A6"/>
            </w:tcBorders>
            <w:shd w:val="clear" w:color="000000" w:fill="DAF2D0"/>
            <w:noWrap/>
            <w:vAlign w:val="center"/>
            <w:hideMark/>
          </w:tcPr>
          <w:p w14:paraId="7891480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57.526 </w:t>
            </w:r>
          </w:p>
        </w:tc>
      </w:tr>
      <w:bookmarkEnd w:id="203"/>
      <w:tr w:rsidR="00335312" w:rsidRPr="00EE3E83" w14:paraId="40E56E3B" w14:textId="77777777" w:rsidTr="002A21C0">
        <w:trPr>
          <w:trHeight w:val="312"/>
        </w:trPr>
        <w:tc>
          <w:tcPr>
            <w:tcW w:w="1008" w:type="dxa"/>
            <w:tcBorders>
              <w:top w:val="nil"/>
              <w:left w:val="double" w:sz="6" w:space="0" w:color="A6A6A6"/>
              <w:bottom w:val="double" w:sz="6" w:space="0" w:color="A6A6A6"/>
              <w:right w:val="nil"/>
            </w:tcBorders>
            <w:shd w:val="clear" w:color="000000" w:fill="B5E6A2"/>
            <w:noWrap/>
            <w:vAlign w:val="center"/>
            <w:hideMark/>
          </w:tcPr>
          <w:p w14:paraId="4DB2319A"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4825AF18"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ACQUI TERME</w:t>
            </w:r>
          </w:p>
        </w:tc>
        <w:tc>
          <w:tcPr>
            <w:tcW w:w="753" w:type="dxa"/>
            <w:tcBorders>
              <w:top w:val="nil"/>
              <w:left w:val="nil"/>
              <w:bottom w:val="double" w:sz="6" w:space="0" w:color="A6A6A6"/>
              <w:right w:val="single" w:sz="8" w:space="0" w:color="A6A6A6"/>
            </w:tcBorders>
            <w:shd w:val="clear" w:color="000000" w:fill="B5E6A2"/>
            <w:noWrap/>
            <w:vAlign w:val="center"/>
            <w:hideMark/>
          </w:tcPr>
          <w:p w14:paraId="68BB16DD"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85</w:t>
            </w:r>
          </w:p>
        </w:tc>
        <w:tc>
          <w:tcPr>
            <w:tcW w:w="1214" w:type="dxa"/>
            <w:tcBorders>
              <w:top w:val="nil"/>
              <w:left w:val="nil"/>
              <w:bottom w:val="double" w:sz="6" w:space="0" w:color="A6A6A6"/>
              <w:right w:val="single" w:sz="8" w:space="0" w:color="A6A6A6"/>
            </w:tcBorders>
            <w:shd w:val="clear" w:color="000000" w:fill="B5E6A2"/>
            <w:noWrap/>
            <w:vAlign w:val="center"/>
            <w:hideMark/>
          </w:tcPr>
          <w:p w14:paraId="6C6912BF"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153.203 </w:t>
            </w:r>
          </w:p>
        </w:tc>
        <w:tc>
          <w:tcPr>
            <w:tcW w:w="1202" w:type="dxa"/>
            <w:tcBorders>
              <w:top w:val="nil"/>
              <w:left w:val="nil"/>
              <w:bottom w:val="double" w:sz="6" w:space="0" w:color="A6A6A6"/>
              <w:right w:val="double" w:sz="6" w:space="0" w:color="A6A6A6"/>
            </w:tcBorders>
            <w:shd w:val="clear" w:color="000000" w:fill="B5E6A2"/>
            <w:noWrap/>
            <w:vAlign w:val="center"/>
            <w:hideMark/>
          </w:tcPr>
          <w:p w14:paraId="160109E6"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153.203 </w:t>
            </w:r>
          </w:p>
        </w:tc>
      </w:tr>
      <w:tr w:rsidR="00335312" w:rsidRPr="00EE3E83" w14:paraId="77777551"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3CC2B7A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376</w:t>
            </w:r>
          </w:p>
        </w:tc>
        <w:tc>
          <w:tcPr>
            <w:tcW w:w="4923" w:type="dxa"/>
            <w:tcBorders>
              <w:top w:val="nil"/>
              <w:left w:val="nil"/>
              <w:bottom w:val="single" w:sz="8" w:space="0" w:color="A6A6A6"/>
              <w:right w:val="single" w:sz="8" w:space="0" w:color="A6A6A6"/>
            </w:tcBorders>
            <w:vAlign w:val="center"/>
            <w:hideMark/>
          </w:tcPr>
          <w:p w14:paraId="150D7DC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P.ZA XXSETTEMBRE-LERCARO-OVADA P.ZA XXSETTEMBRE</w:t>
            </w:r>
          </w:p>
        </w:tc>
        <w:tc>
          <w:tcPr>
            <w:tcW w:w="753" w:type="dxa"/>
            <w:tcBorders>
              <w:top w:val="nil"/>
              <w:left w:val="nil"/>
              <w:bottom w:val="single" w:sz="8" w:space="0" w:color="A6A6A6"/>
              <w:right w:val="single" w:sz="8" w:space="0" w:color="A6A6A6"/>
            </w:tcBorders>
            <w:noWrap/>
            <w:vAlign w:val="center"/>
            <w:hideMark/>
          </w:tcPr>
          <w:p w14:paraId="419F26E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8</w:t>
            </w:r>
          </w:p>
        </w:tc>
        <w:tc>
          <w:tcPr>
            <w:tcW w:w="1214" w:type="dxa"/>
            <w:tcBorders>
              <w:top w:val="nil"/>
              <w:left w:val="nil"/>
              <w:bottom w:val="single" w:sz="8" w:space="0" w:color="A6A6A6"/>
              <w:right w:val="single" w:sz="8" w:space="0" w:color="A6A6A6"/>
            </w:tcBorders>
            <w:noWrap/>
            <w:vAlign w:val="center"/>
            <w:hideMark/>
          </w:tcPr>
          <w:p w14:paraId="11A3CC6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6.692 </w:t>
            </w:r>
          </w:p>
        </w:tc>
        <w:tc>
          <w:tcPr>
            <w:tcW w:w="1202" w:type="dxa"/>
            <w:tcBorders>
              <w:top w:val="nil"/>
              <w:left w:val="nil"/>
              <w:bottom w:val="single" w:sz="8" w:space="0" w:color="A6A6A6"/>
              <w:right w:val="double" w:sz="6" w:space="0" w:color="A6A6A6"/>
            </w:tcBorders>
            <w:noWrap/>
            <w:vAlign w:val="center"/>
            <w:hideMark/>
          </w:tcPr>
          <w:p w14:paraId="53E446A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6.692 </w:t>
            </w:r>
          </w:p>
        </w:tc>
      </w:tr>
      <w:tr w:rsidR="00335312" w:rsidRPr="00EE3E83" w14:paraId="1056F6BC" w14:textId="77777777" w:rsidTr="002A21C0">
        <w:trPr>
          <w:trHeight w:val="492"/>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3CDC9FE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377</w:t>
            </w:r>
          </w:p>
        </w:tc>
        <w:tc>
          <w:tcPr>
            <w:tcW w:w="4923" w:type="dxa"/>
            <w:tcBorders>
              <w:top w:val="nil"/>
              <w:left w:val="nil"/>
              <w:bottom w:val="single" w:sz="8" w:space="0" w:color="A6A6A6"/>
              <w:right w:val="single" w:sz="8" w:space="0" w:color="A6A6A6"/>
            </w:tcBorders>
            <w:shd w:val="clear" w:color="000000" w:fill="DAF2D0"/>
            <w:vAlign w:val="center"/>
            <w:hideMark/>
          </w:tcPr>
          <w:p w14:paraId="76EF6E4E"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P.ZA XX SETTEMBRE-VIA TORINO-STAZ. F.S.-FRAZ. COSTA-P.ZA XX SETTEMBRE</w:t>
            </w:r>
          </w:p>
        </w:tc>
        <w:tc>
          <w:tcPr>
            <w:tcW w:w="753" w:type="dxa"/>
            <w:tcBorders>
              <w:top w:val="nil"/>
              <w:left w:val="nil"/>
              <w:bottom w:val="single" w:sz="8" w:space="0" w:color="A6A6A6"/>
              <w:right w:val="single" w:sz="8" w:space="0" w:color="A6A6A6"/>
            </w:tcBorders>
            <w:shd w:val="clear" w:color="000000" w:fill="DAF2D0"/>
            <w:noWrap/>
            <w:vAlign w:val="center"/>
            <w:hideMark/>
          </w:tcPr>
          <w:p w14:paraId="5A679D2C"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w:t>
            </w:r>
          </w:p>
        </w:tc>
        <w:tc>
          <w:tcPr>
            <w:tcW w:w="1214" w:type="dxa"/>
            <w:tcBorders>
              <w:top w:val="nil"/>
              <w:left w:val="nil"/>
              <w:bottom w:val="single" w:sz="8" w:space="0" w:color="A6A6A6"/>
              <w:right w:val="single" w:sz="8" w:space="0" w:color="A6A6A6"/>
            </w:tcBorders>
            <w:shd w:val="clear" w:color="000000" w:fill="DAF2D0"/>
            <w:noWrap/>
            <w:vAlign w:val="center"/>
            <w:hideMark/>
          </w:tcPr>
          <w:p w14:paraId="54057E1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4.726 </w:t>
            </w:r>
          </w:p>
        </w:tc>
        <w:tc>
          <w:tcPr>
            <w:tcW w:w="1202" w:type="dxa"/>
            <w:tcBorders>
              <w:top w:val="nil"/>
              <w:left w:val="nil"/>
              <w:bottom w:val="single" w:sz="8" w:space="0" w:color="A6A6A6"/>
              <w:right w:val="double" w:sz="6" w:space="0" w:color="A6A6A6"/>
            </w:tcBorders>
            <w:shd w:val="clear" w:color="000000" w:fill="DAF2D0"/>
            <w:noWrap/>
            <w:vAlign w:val="center"/>
            <w:hideMark/>
          </w:tcPr>
          <w:p w14:paraId="71C43CA2"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4.726 </w:t>
            </w:r>
          </w:p>
        </w:tc>
      </w:tr>
      <w:tr w:rsidR="00335312" w:rsidRPr="00EE3E83" w14:paraId="1DD7CD36" w14:textId="77777777" w:rsidTr="002A21C0">
        <w:trPr>
          <w:trHeight w:val="492"/>
        </w:trPr>
        <w:tc>
          <w:tcPr>
            <w:tcW w:w="1008" w:type="dxa"/>
            <w:tcBorders>
              <w:top w:val="nil"/>
              <w:left w:val="double" w:sz="6" w:space="0" w:color="A6A6A6"/>
              <w:bottom w:val="single" w:sz="8" w:space="0" w:color="A6A6A6"/>
              <w:right w:val="single" w:sz="8" w:space="0" w:color="A6A6A6"/>
            </w:tcBorders>
            <w:noWrap/>
            <w:vAlign w:val="center"/>
            <w:hideMark/>
          </w:tcPr>
          <w:p w14:paraId="734442B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378</w:t>
            </w:r>
          </w:p>
        </w:tc>
        <w:tc>
          <w:tcPr>
            <w:tcW w:w="4923" w:type="dxa"/>
            <w:tcBorders>
              <w:top w:val="nil"/>
              <w:left w:val="nil"/>
              <w:bottom w:val="single" w:sz="8" w:space="0" w:color="A6A6A6"/>
              <w:right w:val="single" w:sz="8" w:space="0" w:color="A6A6A6"/>
            </w:tcBorders>
            <w:vAlign w:val="center"/>
            <w:hideMark/>
          </w:tcPr>
          <w:p w14:paraId="1CC05E12"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P.ZA XX SETTEMBRE-VIA TORINO OVADA F.S-P.ZA XX SETTEMBRE</w:t>
            </w:r>
          </w:p>
        </w:tc>
        <w:tc>
          <w:tcPr>
            <w:tcW w:w="753" w:type="dxa"/>
            <w:tcBorders>
              <w:top w:val="nil"/>
              <w:left w:val="nil"/>
              <w:bottom w:val="single" w:sz="8" w:space="0" w:color="A6A6A6"/>
              <w:right w:val="single" w:sz="8" w:space="0" w:color="A6A6A6"/>
            </w:tcBorders>
            <w:noWrap/>
            <w:vAlign w:val="center"/>
            <w:hideMark/>
          </w:tcPr>
          <w:p w14:paraId="1AE5881F"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35</w:t>
            </w:r>
          </w:p>
        </w:tc>
        <w:tc>
          <w:tcPr>
            <w:tcW w:w="1214" w:type="dxa"/>
            <w:tcBorders>
              <w:top w:val="nil"/>
              <w:left w:val="nil"/>
              <w:bottom w:val="single" w:sz="8" w:space="0" w:color="A6A6A6"/>
              <w:right w:val="single" w:sz="8" w:space="0" w:color="A6A6A6"/>
            </w:tcBorders>
            <w:noWrap/>
            <w:vAlign w:val="center"/>
            <w:hideMark/>
          </w:tcPr>
          <w:p w14:paraId="72A3CDD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13.389 </w:t>
            </w:r>
          </w:p>
        </w:tc>
        <w:tc>
          <w:tcPr>
            <w:tcW w:w="1202" w:type="dxa"/>
            <w:tcBorders>
              <w:top w:val="nil"/>
              <w:left w:val="nil"/>
              <w:bottom w:val="single" w:sz="8" w:space="0" w:color="A6A6A6"/>
              <w:right w:val="double" w:sz="6" w:space="0" w:color="A6A6A6"/>
            </w:tcBorders>
            <w:noWrap/>
            <w:vAlign w:val="center"/>
            <w:hideMark/>
          </w:tcPr>
          <w:p w14:paraId="111CEDB4"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13.389 </w:t>
            </w:r>
          </w:p>
        </w:tc>
      </w:tr>
      <w:tr w:rsidR="00335312" w:rsidRPr="00EE3E83" w14:paraId="3C3D9A44"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7AE85AA5"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379</w:t>
            </w:r>
          </w:p>
        </w:tc>
        <w:tc>
          <w:tcPr>
            <w:tcW w:w="4923" w:type="dxa"/>
            <w:tcBorders>
              <w:top w:val="nil"/>
              <w:left w:val="nil"/>
              <w:bottom w:val="single" w:sz="8" w:space="0" w:color="A6A6A6"/>
              <w:right w:val="single" w:sz="8" w:space="0" w:color="A6A6A6"/>
            </w:tcBorders>
            <w:shd w:val="clear" w:color="000000" w:fill="DAF2D0"/>
            <w:vAlign w:val="center"/>
            <w:hideMark/>
          </w:tcPr>
          <w:p w14:paraId="3EEA577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P.ZA XXSETTEMBRE- SCUOLE-OVADA P.ZA XXSETTEMBRE</w:t>
            </w:r>
          </w:p>
        </w:tc>
        <w:tc>
          <w:tcPr>
            <w:tcW w:w="753" w:type="dxa"/>
            <w:tcBorders>
              <w:top w:val="nil"/>
              <w:left w:val="nil"/>
              <w:bottom w:val="single" w:sz="8" w:space="0" w:color="A6A6A6"/>
              <w:right w:val="single" w:sz="8" w:space="0" w:color="A6A6A6"/>
            </w:tcBorders>
            <w:shd w:val="clear" w:color="000000" w:fill="DAF2D0"/>
            <w:noWrap/>
            <w:vAlign w:val="center"/>
            <w:hideMark/>
          </w:tcPr>
          <w:p w14:paraId="3F2A3CE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1214" w:type="dxa"/>
            <w:tcBorders>
              <w:top w:val="nil"/>
              <w:left w:val="nil"/>
              <w:bottom w:val="single" w:sz="8" w:space="0" w:color="A6A6A6"/>
              <w:right w:val="single" w:sz="8" w:space="0" w:color="A6A6A6"/>
            </w:tcBorders>
            <w:shd w:val="clear" w:color="000000" w:fill="DAF2D0"/>
            <w:noWrap/>
            <w:vAlign w:val="center"/>
            <w:hideMark/>
          </w:tcPr>
          <w:p w14:paraId="526E7CF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6.934 </w:t>
            </w:r>
          </w:p>
        </w:tc>
        <w:tc>
          <w:tcPr>
            <w:tcW w:w="1202" w:type="dxa"/>
            <w:tcBorders>
              <w:top w:val="nil"/>
              <w:left w:val="nil"/>
              <w:bottom w:val="single" w:sz="8" w:space="0" w:color="A6A6A6"/>
              <w:right w:val="double" w:sz="6" w:space="0" w:color="A6A6A6"/>
            </w:tcBorders>
            <w:shd w:val="clear" w:color="000000" w:fill="DAF2D0"/>
            <w:noWrap/>
            <w:vAlign w:val="center"/>
            <w:hideMark/>
          </w:tcPr>
          <w:p w14:paraId="73BD323F"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6.934 </w:t>
            </w:r>
          </w:p>
        </w:tc>
      </w:tr>
      <w:tr w:rsidR="00335312" w:rsidRPr="00EE3E83" w14:paraId="38E89BCB" w14:textId="77777777" w:rsidTr="002A21C0">
        <w:trPr>
          <w:trHeight w:val="492"/>
        </w:trPr>
        <w:tc>
          <w:tcPr>
            <w:tcW w:w="1008" w:type="dxa"/>
            <w:tcBorders>
              <w:top w:val="nil"/>
              <w:left w:val="double" w:sz="6" w:space="0" w:color="A6A6A6"/>
              <w:bottom w:val="single" w:sz="8" w:space="0" w:color="A6A6A6"/>
              <w:right w:val="single" w:sz="8" w:space="0" w:color="A6A6A6"/>
            </w:tcBorders>
            <w:noWrap/>
            <w:vAlign w:val="center"/>
            <w:hideMark/>
          </w:tcPr>
          <w:p w14:paraId="2253F474"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lastRenderedPageBreak/>
              <w:t>380</w:t>
            </w:r>
          </w:p>
        </w:tc>
        <w:tc>
          <w:tcPr>
            <w:tcW w:w="4923" w:type="dxa"/>
            <w:tcBorders>
              <w:top w:val="nil"/>
              <w:left w:val="nil"/>
              <w:bottom w:val="single" w:sz="8" w:space="0" w:color="A6A6A6"/>
              <w:right w:val="single" w:sz="8" w:space="0" w:color="A6A6A6"/>
            </w:tcBorders>
            <w:vAlign w:val="center"/>
            <w:hideMark/>
          </w:tcPr>
          <w:p w14:paraId="09D5C02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OVADA P.ZA XX SETTEMBRE-GRILLANO-S.LORENZO-GUARDIA-P.ZA XX SETTEMBRE</w:t>
            </w:r>
          </w:p>
        </w:tc>
        <w:tc>
          <w:tcPr>
            <w:tcW w:w="753" w:type="dxa"/>
            <w:tcBorders>
              <w:top w:val="nil"/>
              <w:left w:val="nil"/>
              <w:bottom w:val="single" w:sz="8" w:space="0" w:color="A6A6A6"/>
              <w:right w:val="single" w:sz="8" w:space="0" w:color="A6A6A6"/>
            </w:tcBorders>
            <w:noWrap/>
            <w:vAlign w:val="center"/>
            <w:hideMark/>
          </w:tcPr>
          <w:p w14:paraId="6838C8D1"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w:t>
            </w:r>
          </w:p>
        </w:tc>
        <w:tc>
          <w:tcPr>
            <w:tcW w:w="1214" w:type="dxa"/>
            <w:tcBorders>
              <w:top w:val="nil"/>
              <w:left w:val="nil"/>
              <w:bottom w:val="single" w:sz="8" w:space="0" w:color="A6A6A6"/>
              <w:right w:val="single" w:sz="8" w:space="0" w:color="A6A6A6"/>
            </w:tcBorders>
            <w:noWrap/>
            <w:vAlign w:val="center"/>
            <w:hideMark/>
          </w:tcPr>
          <w:p w14:paraId="657CEC6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3.663 </w:t>
            </w:r>
          </w:p>
        </w:tc>
        <w:tc>
          <w:tcPr>
            <w:tcW w:w="1202" w:type="dxa"/>
            <w:tcBorders>
              <w:top w:val="nil"/>
              <w:left w:val="nil"/>
              <w:bottom w:val="single" w:sz="8" w:space="0" w:color="A6A6A6"/>
              <w:right w:val="double" w:sz="6" w:space="0" w:color="A6A6A6"/>
            </w:tcBorders>
            <w:noWrap/>
            <w:vAlign w:val="center"/>
            <w:hideMark/>
          </w:tcPr>
          <w:p w14:paraId="04868D55"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3.663 </w:t>
            </w:r>
          </w:p>
        </w:tc>
      </w:tr>
      <w:tr w:rsidR="00335312" w:rsidRPr="00EE3E83" w14:paraId="2D071011"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4EAD9123"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73A5D61C"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OVADA</w:t>
            </w:r>
          </w:p>
        </w:tc>
        <w:tc>
          <w:tcPr>
            <w:tcW w:w="753" w:type="dxa"/>
            <w:tcBorders>
              <w:top w:val="nil"/>
              <w:left w:val="nil"/>
              <w:bottom w:val="double" w:sz="6" w:space="0" w:color="A6A6A6"/>
              <w:right w:val="single" w:sz="8" w:space="0" w:color="A6A6A6"/>
            </w:tcBorders>
            <w:shd w:val="clear" w:color="000000" w:fill="B5E6A2"/>
            <w:noWrap/>
            <w:vAlign w:val="center"/>
            <w:hideMark/>
          </w:tcPr>
          <w:p w14:paraId="3C13EDAD"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66</w:t>
            </w:r>
          </w:p>
        </w:tc>
        <w:tc>
          <w:tcPr>
            <w:tcW w:w="1214" w:type="dxa"/>
            <w:tcBorders>
              <w:top w:val="nil"/>
              <w:left w:val="nil"/>
              <w:bottom w:val="double" w:sz="6" w:space="0" w:color="A6A6A6"/>
              <w:right w:val="single" w:sz="8" w:space="0" w:color="A6A6A6"/>
            </w:tcBorders>
            <w:shd w:val="clear" w:color="000000" w:fill="B5E6A2"/>
            <w:noWrap/>
            <w:vAlign w:val="center"/>
            <w:hideMark/>
          </w:tcPr>
          <w:p w14:paraId="6391E947"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35.404 </w:t>
            </w:r>
          </w:p>
        </w:tc>
        <w:tc>
          <w:tcPr>
            <w:tcW w:w="1202" w:type="dxa"/>
            <w:tcBorders>
              <w:top w:val="nil"/>
              <w:left w:val="nil"/>
              <w:bottom w:val="double" w:sz="6" w:space="0" w:color="A6A6A6"/>
              <w:right w:val="double" w:sz="6" w:space="0" w:color="A6A6A6"/>
            </w:tcBorders>
            <w:shd w:val="clear" w:color="000000" w:fill="B5E6A2"/>
            <w:noWrap/>
            <w:vAlign w:val="center"/>
            <w:hideMark/>
          </w:tcPr>
          <w:p w14:paraId="6FAF240E"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35.404 </w:t>
            </w:r>
          </w:p>
        </w:tc>
      </w:tr>
      <w:tr w:rsidR="00335312" w:rsidRPr="00EE3E83" w14:paraId="6AFF1792"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0300341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S001</w:t>
            </w:r>
          </w:p>
        </w:tc>
        <w:tc>
          <w:tcPr>
            <w:tcW w:w="4923" w:type="dxa"/>
            <w:tcBorders>
              <w:top w:val="nil"/>
              <w:left w:val="nil"/>
              <w:bottom w:val="single" w:sz="8" w:space="0" w:color="A6A6A6"/>
              <w:right w:val="single" w:sz="8" w:space="0" w:color="A6A6A6"/>
            </w:tcBorders>
            <w:vAlign w:val="center"/>
            <w:hideMark/>
          </w:tcPr>
          <w:p w14:paraId="39DA4C7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URBANO TORTONA</w:t>
            </w:r>
          </w:p>
        </w:tc>
        <w:tc>
          <w:tcPr>
            <w:tcW w:w="753" w:type="dxa"/>
            <w:tcBorders>
              <w:top w:val="nil"/>
              <w:left w:val="nil"/>
              <w:bottom w:val="single" w:sz="8" w:space="0" w:color="A6A6A6"/>
              <w:right w:val="single" w:sz="8" w:space="0" w:color="A6A6A6"/>
            </w:tcBorders>
            <w:noWrap/>
            <w:vAlign w:val="center"/>
            <w:hideMark/>
          </w:tcPr>
          <w:p w14:paraId="06B528D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45</w:t>
            </w:r>
          </w:p>
        </w:tc>
        <w:tc>
          <w:tcPr>
            <w:tcW w:w="1214" w:type="dxa"/>
            <w:tcBorders>
              <w:top w:val="nil"/>
              <w:left w:val="nil"/>
              <w:bottom w:val="single" w:sz="8" w:space="0" w:color="A6A6A6"/>
              <w:right w:val="single" w:sz="8" w:space="0" w:color="A6A6A6"/>
            </w:tcBorders>
            <w:noWrap/>
            <w:vAlign w:val="center"/>
            <w:hideMark/>
          </w:tcPr>
          <w:p w14:paraId="6EED5B6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30.417 </w:t>
            </w:r>
          </w:p>
        </w:tc>
        <w:tc>
          <w:tcPr>
            <w:tcW w:w="1202" w:type="dxa"/>
            <w:tcBorders>
              <w:top w:val="nil"/>
              <w:left w:val="nil"/>
              <w:bottom w:val="single" w:sz="8" w:space="0" w:color="A6A6A6"/>
              <w:right w:val="double" w:sz="6" w:space="0" w:color="A6A6A6"/>
            </w:tcBorders>
            <w:noWrap/>
            <w:vAlign w:val="center"/>
            <w:hideMark/>
          </w:tcPr>
          <w:p w14:paraId="22D89CA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30.417 </w:t>
            </w:r>
          </w:p>
        </w:tc>
      </w:tr>
      <w:tr w:rsidR="00335312" w:rsidRPr="00EE3E83" w14:paraId="6C152E59"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573838DE"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S005</w:t>
            </w:r>
          </w:p>
        </w:tc>
        <w:tc>
          <w:tcPr>
            <w:tcW w:w="4923" w:type="dxa"/>
            <w:tcBorders>
              <w:top w:val="nil"/>
              <w:left w:val="nil"/>
              <w:bottom w:val="single" w:sz="8" w:space="0" w:color="A6A6A6"/>
              <w:right w:val="single" w:sz="8" w:space="0" w:color="A6A6A6"/>
            </w:tcBorders>
            <w:shd w:val="clear" w:color="000000" w:fill="DAF2D0"/>
            <w:vAlign w:val="center"/>
            <w:hideMark/>
          </w:tcPr>
          <w:p w14:paraId="22EA8E2B"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TORTONA URBANO INTERPORTO</w:t>
            </w:r>
          </w:p>
        </w:tc>
        <w:tc>
          <w:tcPr>
            <w:tcW w:w="753" w:type="dxa"/>
            <w:tcBorders>
              <w:top w:val="nil"/>
              <w:left w:val="nil"/>
              <w:bottom w:val="single" w:sz="8" w:space="0" w:color="A6A6A6"/>
              <w:right w:val="single" w:sz="8" w:space="0" w:color="A6A6A6"/>
            </w:tcBorders>
            <w:shd w:val="clear" w:color="000000" w:fill="DAF2D0"/>
            <w:noWrap/>
            <w:vAlign w:val="center"/>
            <w:hideMark/>
          </w:tcPr>
          <w:p w14:paraId="1B5CC23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26</w:t>
            </w:r>
          </w:p>
        </w:tc>
        <w:tc>
          <w:tcPr>
            <w:tcW w:w="1214" w:type="dxa"/>
            <w:tcBorders>
              <w:top w:val="nil"/>
              <w:left w:val="nil"/>
              <w:bottom w:val="single" w:sz="8" w:space="0" w:color="A6A6A6"/>
              <w:right w:val="single" w:sz="8" w:space="0" w:color="A6A6A6"/>
            </w:tcBorders>
            <w:shd w:val="clear" w:color="000000" w:fill="DAF2D0"/>
            <w:noWrap/>
            <w:vAlign w:val="center"/>
            <w:hideMark/>
          </w:tcPr>
          <w:p w14:paraId="5093937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10.832 </w:t>
            </w:r>
          </w:p>
        </w:tc>
        <w:tc>
          <w:tcPr>
            <w:tcW w:w="1202" w:type="dxa"/>
            <w:tcBorders>
              <w:top w:val="nil"/>
              <w:left w:val="nil"/>
              <w:bottom w:val="single" w:sz="8" w:space="0" w:color="A6A6A6"/>
              <w:right w:val="double" w:sz="6" w:space="0" w:color="A6A6A6"/>
            </w:tcBorders>
            <w:shd w:val="clear" w:color="000000" w:fill="DAF2D0"/>
            <w:noWrap/>
            <w:vAlign w:val="center"/>
            <w:hideMark/>
          </w:tcPr>
          <w:p w14:paraId="488D341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10.832 </w:t>
            </w:r>
          </w:p>
        </w:tc>
      </w:tr>
      <w:tr w:rsidR="00335312" w:rsidRPr="00EE3E83" w14:paraId="6324F7B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03A0092B"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S006</w:t>
            </w:r>
          </w:p>
        </w:tc>
        <w:tc>
          <w:tcPr>
            <w:tcW w:w="4923" w:type="dxa"/>
            <w:tcBorders>
              <w:top w:val="nil"/>
              <w:left w:val="nil"/>
              <w:bottom w:val="single" w:sz="8" w:space="0" w:color="A6A6A6"/>
              <w:right w:val="single" w:sz="8" w:space="0" w:color="A6A6A6"/>
            </w:tcBorders>
            <w:vAlign w:val="center"/>
            <w:hideMark/>
          </w:tcPr>
          <w:p w14:paraId="2D8C5B6A"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TORTONA URBANO CIRCOLARE</w:t>
            </w:r>
          </w:p>
        </w:tc>
        <w:tc>
          <w:tcPr>
            <w:tcW w:w="753" w:type="dxa"/>
            <w:tcBorders>
              <w:top w:val="nil"/>
              <w:left w:val="nil"/>
              <w:bottom w:val="single" w:sz="8" w:space="0" w:color="A6A6A6"/>
              <w:right w:val="single" w:sz="8" w:space="0" w:color="A6A6A6"/>
            </w:tcBorders>
            <w:noWrap/>
            <w:vAlign w:val="center"/>
            <w:hideMark/>
          </w:tcPr>
          <w:p w14:paraId="7C9BAC19"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5</w:t>
            </w:r>
          </w:p>
        </w:tc>
        <w:tc>
          <w:tcPr>
            <w:tcW w:w="1214" w:type="dxa"/>
            <w:tcBorders>
              <w:top w:val="nil"/>
              <w:left w:val="nil"/>
              <w:bottom w:val="single" w:sz="8" w:space="0" w:color="A6A6A6"/>
              <w:right w:val="single" w:sz="8" w:space="0" w:color="A6A6A6"/>
            </w:tcBorders>
            <w:noWrap/>
            <w:vAlign w:val="center"/>
            <w:hideMark/>
          </w:tcPr>
          <w:p w14:paraId="7B263CEE"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1.114 </w:t>
            </w:r>
          </w:p>
        </w:tc>
        <w:tc>
          <w:tcPr>
            <w:tcW w:w="1202" w:type="dxa"/>
            <w:tcBorders>
              <w:top w:val="nil"/>
              <w:left w:val="nil"/>
              <w:bottom w:val="single" w:sz="8" w:space="0" w:color="A6A6A6"/>
              <w:right w:val="double" w:sz="6" w:space="0" w:color="A6A6A6"/>
            </w:tcBorders>
            <w:noWrap/>
            <w:vAlign w:val="center"/>
            <w:hideMark/>
          </w:tcPr>
          <w:p w14:paraId="04FC6E6D"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1.114 </w:t>
            </w:r>
          </w:p>
        </w:tc>
      </w:tr>
      <w:tr w:rsidR="00335312" w:rsidRPr="00EE3E83" w14:paraId="5129A5BF"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1C409A40"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756A5081"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TORTONA</w:t>
            </w:r>
          </w:p>
        </w:tc>
        <w:tc>
          <w:tcPr>
            <w:tcW w:w="753" w:type="dxa"/>
            <w:tcBorders>
              <w:top w:val="nil"/>
              <w:left w:val="nil"/>
              <w:bottom w:val="double" w:sz="6" w:space="0" w:color="A6A6A6"/>
              <w:right w:val="single" w:sz="8" w:space="0" w:color="A6A6A6"/>
            </w:tcBorders>
            <w:shd w:val="clear" w:color="000000" w:fill="B5E6A2"/>
            <w:noWrap/>
            <w:vAlign w:val="center"/>
            <w:hideMark/>
          </w:tcPr>
          <w:p w14:paraId="0A9F5B1B"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76</w:t>
            </w:r>
          </w:p>
        </w:tc>
        <w:tc>
          <w:tcPr>
            <w:tcW w:w="1214" w:type="dxa"/>
            <w:tcBorders>
              <w:top w:val="nil"/>
              <w:left w:val="nil"/>
              <w:bottom w:val="double" w:sz="6" w:space="0" w:color="A6A6A6"/>
              <w:right w:val="single" w:sz="8" w:space="0" w:color="A6A6A6"/>
            </w:tcBorders>
            <w:shd w:val="clear" w:color="000000" w:fill="B5E6A2"/>
            <w:noWrap/>
            <w:vAlign w:val="center"/>
            <w:hideMark/>
          </w:tcPr>
          <w:p w14:paraId="1E76C033"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42.363 </w:t>
            </w:r>
          </w:p>
        </w:tc>
        <w:tc>
          <w:tcPr>
            <w:tcW w:w="1202" w:type="dxa"/>
            <w:tcBorders>
              <w:top w:val="nil"/>
              <w:left w:val="nil"/>
              <w:bottom w:val="double" w:sz="6" w:space="0" w:color="A6A6A6"/>
              <w:right w:val="double" w:sz="6" w:space="0" w:color="A6A6A6"/>
            </w:tcBorders>
            <w:shd w:val="clear" w:color="000000" w:fill="B5E6A2"/>
            <w:noWrap/>
            <w:vAlign w:val="center"/>
            <w:hideMark/>
          </w:tcPr>
          <w:p w14:paraId="4CB83081"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42.363 </w:t>
            </w:r>
          </w:p>
        </w:tc>
      </w:tr>
      <w:tr w:rsidR="00335312" w:rsidRPr="00EE3E83" w14:paraId="7EF85657" w14:textId="77777777" w:rsidTr="002A21C0">
        <w:trPr>
          <w:trHeight w:val="312"/>
        </w:trPr>
        <w:tc>
          <w:tcPr>
            <w:tcW w:w="1008" w:type="dxa"/>
            <w:tcBorders>
              <w:top w:val="nil"/>
              <w:left w:val="double" w:sz="6" w:space="0" w:color="A6A6A6"/>
              <w:bottom w:val="single" w:sz="8" w:space="0" w:color="A6A6A6"/>
              <w:right w:val="single" w:sz="8" w:space="0" w:color="A6A6A6"/>
            </w:tcBorders>
            <w:noWrap/>
            <w:vAlign w:val="center"/>
            <w:hideMark/>
          </w:tcPr>
          <w:p w14:paraId="45C864E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S071</w:t>
            </w:r>
          </w:p>
        </w:tc>
        <w:tc>
          <w:tcPr>
            <w:tcW w:w="4923" w:type="dxa"/>
            <w:tcBorders>
              <w:top w:val="nil"/>
              <w:left w:val="nil"/>
              <w:bottom w:val="single" w:sz="8" w:space="0" w:color="A6A6A6"/>
              <w:right w:val="single" w:sz="8" w:space="0" w:color="A6A6A6"/>
            </w:tcBorders>
            <w:vAlign w:val="center"/>
            <w:hideMark/>
          </w:tcPr>
          <w:p w14:paraId="33D3EDED"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ROSSA</w:t>
            </w:r>
          </w:p>
        </w:tc>
        <w:tc>
          <w:tcPr>
            <w:tcW w:w="753" w:type="dxa"/>
            <w:tcBorders>
              <w:top w:val="nil"/>
              <w:left w:val="nil"/>
              <w:bottom w:val="single" w:sz="8" w:space="0" w:color="A6A6A6"/>
              <w:right w:val="single" w:sz="8" w:space="0" w:color="A6A6A6"/>
            </w:tcBorders>
            <w:noWrap/>
            <w:vAlign w:val="center"/>
            <w:hideMark/>
          </w:tcPr>
          <w:p w14:paraId="645B682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13</w:t>
            </w:r>
          </w:p>
        </w:tc>
        <w:tc>
          <w:tcPr>
            <w:tcW w:w="1214" w:type="dxa"/>
            <w:tcBorders>
              <w:top w:val="nil"/>
              <w:left w:val="nil"/>
              <w:bottom w:val="single" w:sz="8" w:space="0" w:color="A6A6A6"/>
              <w:right w:val="single" w:sz="8" w:space="0" w:color="A6A6A6"/>
            </w:tcBorders>
            <w:noWrap/>
            <w:vAlign w:val="center"/>
            <w:hideMark/>
          </w:tcPr>
          <w:p w14:paraId="21B8605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17.331 </w:t>
            </w:r>
          </w:p>
        </w:tc>
        <w:tc>
          <w:tcPr>
            <w:tcW w:w="1202" w:type="dxa"/>
            <w:tcBorders>
              <w:top w:val="nil"/>
              <w:left w:val="nil"/>
              <w:bottom w:val="single" w:sz="8" w:space="0" w:color="A6A6A6"/>
              <w:right w:val="double" w:sz="6" w:space="0" w:color="A6A6A6"/>
            </w:tcBorders>
            <w:noWrap/>
            <w:vAlign w:val="center"/>
            <w:hideMark/>
          </w:tcPr>
          <w:p w14:paraId="3954A2DA"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17.331 </w:t>
            </w:r>
          </w:p>
        </w:tc>
      </w:tr>
      <w:tr w:rsidR="00335312" w:rsidRPr="00EE3E83" w14:paraId="3645B53E"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18153CF2"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S072</w:t>
            </w:r>
          </w:p>
        </w:tc>
        <w:tc>
          <w:tcPr>
            <w:tcW w:w="4923" w:type="dxa"/>
            <w:tcBorders>
              <w:top w:val="nil"/>
              <w:left w:val="nil"/>
              <w:bottom w:val="single" w:sz="8" w:space="0" w:color="A6A6A6"/>
              <w:right w:val="single" w:sz="8" w:space="0" w:color="A6A6A6"/>
            </w:tcBorders>
            <w:shd w:val="clear" w:color="000000" w:fill="DAF2D0"/>
            <w:vAlign w:val="center"/>
            <w:hideMark/>
          </w:tcPr>
          <w:p w14:paraId="01CFD4C7"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VERDE</w:t>
            </w:r>
          </w:p>
        </w:tc>
        <w:tc>
          <w:tcPr>
            <w:tcW w:w="753" w:type="dxa"/>
            <w:tcBorders>
              <w:top w:val="nil"/>
              <w:left w:val="nil"/>
              <w:bottom w:val="single" w:sz="8" w:space="0" w:color="A6A6A6"/>
              <w:right w:val="single" w:sz="8" w:space="0" w:color="A6A6A6"/>
            </w:tcBorders>
            <w:shd w:val="clear" w:color="000000" w:fill="DAF2D0"/>
            <w:noWrap/>
            <w:vAlign w:val="center"/>
            <w:hideMark/>
          </w:tcPr>
          <w:p w14:paraId="1D22870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11</w:t>
            </w:r>
          </w:p>
        </w:tc>
        <w:tc>
          <w:tcPr>
            <w:tcW w:w="1214" w:type="dxa"/>
            <w:tcBorders>
              <w:top w:val="nil"/>
              <w:left w:val="nil"/>
              <w:bottom w:val="single" w:sz="8" w:space="0" w:color="A6A6A6"/>
              <w:right w:val="single" w:sz="8" w:space="0" w:color="A6A6A6"/>
            </w:tcBorders>
            <w:shd w:val="clear" w:color="000000" w:fill="DAF2D0"/>
            <w:noWrap/>
            <w:vAlign w:val="center"/>
            <w:hideMark/>
          </w:tcPr>
          <w:p w14:paraId="50A1C10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13.921 </w:t>
            </w:r>
          </w:p>
        </w:tc>
        <w:tc>
          <w:tcPr>
            <w:tcW w:w="1202" w:type="dxa"/>
            <w:tcBorders>
              <w:top w:val="nil"/>
              <w:left w:val="nil"/>
              <w:bottom w:val="single" w:sz="8" w:space="0" w:color="A6A6A6"/>
              <w:right w:val="double" w:sz="6" w:space="0" w:color="A6A6A6"/>
            </w:tcBorders>
            <w:shd w:val="clear" w:color="000000" w:fill="DAF2D0"/>
            <w:noWrap/>
            <w:vAlign w:val="center"/>
            <w:hideMark/>
          </w:tcPr>
          <w:p w14:paraId="6876F299"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13.921 </w:t>
            </w:r>
          </w:p>
        </w:tc>
      </w:tr>
      <w:tr w:rsidR="00335312" w:rsidRPr="00EE3E83" w14:paraId="5B0763AB"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2B46E75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S073</w:t>
            </w:r>
          </w:p>
        </w:tc>
        <w:tc>
          <w:tcPr>
            <w:tcW w:w="4923" w:type="dxa"/>
            <w:tcBorders>
              <w:top w:val="nil"/>
              <w:left w:val="nil"/>
              <w:bottom w:val="single" w:sz="8" w:space="0" w:color="A6A6A6"/>
              <w:right w:val="single" w:sz="8" w:space="0" w:color="A6A6A6"/>
            </w:tcBorders>
            <w:vAlign w:val="center"/>
            <w:hideMark/>
          </w:tcPr>
          <w:p w14:paraId="5A24AF1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BLU</w:t>
            </w:r>
          </w:p>
        </w:tc>
        <w:tc>
          <w:tcPr>
            <w:tcW w:w="753" w:type="dxa"/>
            <w:tcBorders>
              <w:top w:val="nil"/>
              <w:left w:val="nil"/>
              <w:bottom w:val="single" w:sz="8" w:space="0" w:color="A6A6A6"/>
              <w:right w:val="single" w:sz="8" w:space="0" w:color="A6A6A6"/>
            </w:tcBorders>
            <w:noWrap/>
            <w:vAlign w:val="center"/>
            <w:hideMark/>
          </w:tcPr>
          <w:p w14:paraId="4C5E0D0D"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10</w:t>
            </w:r>
          </w:p>
        </w:tc>
        <w:tc>
          <w:tcPr>
            <w:tcW w:w="1214" w:type="dxa"/>
            <w:tcBorders>
              <w:top w:val="nil"/>
              <w:left w:val="nil"/>
              <w:bottom w:val="single" w:sz="8" w:space="0" w:color="A6A6A6"/>
              <w:right w:val="single" w:sz="8" w:space="0" w:color="A6A6A6"/>
            </w:tcBorders>
            <w:noWrap/>
            <w:vAlign w:val="center"/>
            <w:hideMark/>
          </w:tcPr>
          <w:p w14:paraId="4F2783B0"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15.718 </w:t>
            </w:r>
          </w:p>
        </w:tc>
        <w:tc>
          <w:tcPr>
            <w:tcW w:w="1202" w:type="dxa"/>
            <w:tcBorders>
              <w:top w:val="nil"/>
              <w:left w:val="nil"/>
              <w:bottom w:val="single" w:sz="8" w:space="0" w:color="A6A6A6"/>
              <w:right w:val="double" w:sz="6" w:space="0" w:color="A6A6A6"/>
            </w:tcBorders>
            <w:noWrap/>
            <w:vAlign w:val="center"/>
            <w:hideMark/>
          </w:tcPr>
          <w:p w14:paraId="39F3DA38"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15.718 </w:t>
            </w:r>
          </w:p>
        </w:tc>
      </w:tr>
      <w:tr w:rsidR="00335312" w:rsidRPr="00EE3E83" w14:paraId="7ADE1CCD" w14:textId="77777777" w:rsidTr="002A21C0">
        <w:trPr>
          <w:trHeight w:val="300"/>
        </w:trPr>
        <w:tc>
          <w:tcPr>
            <w:tcW w:w="1008" w:type="dxa"/>
            <w:tcBorders>
              <w:top w:val="nil"/>
              <w:left w:val="double" w:sz="6" w:space="0" w:color="A6A6A6"/>
              <w:bottom w:val="single" w:sz="8" w:space="0" w:color="A6A6A6"/>
              <w:right w:val="single" w:sz="8" w:space="0" w:color="A6A6A6"/>
            </w:tcBorders>
            <w:shd w:val="clear" w:color="000000" w:fill="DAF2D0"/>
            <w:noWrap/>
            <w:vAlign w:val="center"/>
            <w:hideMark/>
          </w:tcPr>
          <w:p w14:paraId="45878258"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S074</w:t>
            </w:r>
          </w:p>
        </w:tc>
        <w:tc>
          <w:tcPr>
            <w:tcW w:w="4923" w:type="dxa"/>
            <w:tcBorders>
              <w:top w:val="nil"/>
              <w:left w:val="nil"/>
              <w:bottom w:val="single" w:sz="8" w:space="0" w:color="A6A6A6"/>
              <w:right w:val="single" w:sz="8" w:space="0" w:color="A6A6A6"/>
            </w:tcBorders>
            <w:shd w:val="clear" w:color="000000" w:fill="DAF2D0"/>
            <w:vAlign w:val="center"/>
            <w:hideMark/>
          </w:tcPr>
          <w:p w14:paraId="7AA04108"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GIALLA</w:t>
            </w:r>
          </w:p>
        </w:tc>
        <w:tc>
          <w:tcPr>
            <w:tcW w:w="753" w:type="dxa"/>
            <w:tcBorders>
              <w:top w:val="nil"/>
              <w:left w:val="nil"/>
              <w:bottom w:val="single" w:sz="8" w:space="0" w:color="A6A6A6"/>
              <w:right w:val="single" w:sz="8" w:space="0" w:color="A6A6A6"/>
            </w:tcBorders>
            <w:shd w:val="clear" w:color="000000" w:fill="DAF2D0"/>
            <w:noWrap/>
            <w:vAlign w:val="center"/>
            <w:hideMark/>
          </w:tcPr>
          <w:p w14:paraId="70EBD2A7"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9</w:t>
            </w:r>
          </w:p>
        </w:tc>
        <w:tc>
          <w:tcPr>
            <w:tcW w:w="1214" w:type="dxa"/>
            <w:tcBorders>
              <w:top w:val="nil"/>
              <w:left w:val="nil"/>
              <w:bottom w:val="single" w:sz="8" w:space="0" w:color="A6A6A6"/>
              <w:right w:val="single" w:sz="8" w:space="0" w:color="A6A6A6"/>
            </w:tcBorders>
            <w:shd w:val="clear" w:color="000000" w:fill="DAF2D0"/>
            <w:noWrap/>
            <w:vAlign w:val="center"/>
            <w:hideMark/>
          </w:tcPr>
          <w:p w14:paraId="21FD4F86"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 xml:space="preserve"> .623 </w:t>
            </w:r>
          </w:p>
        </w:tc>
        <w:tc>
          <w:tcPr>
            <w:tcW w:w="1202" w:type="dxa"/>
            <w:tcBorders>
              <w:top w:val="nil"/>
              <w:left w:val="nil"/>
              <w:bottom w:val="single" w:sz="8" w:space="0" w:color="A6A6A6"/>
              <w:right w:val="double" w:sz="6" w:space="0" w:color="A6A6A6"/>
            </w:tcBorders>
            <w:shd w:val="clear" w:color="000000" w:fill="DAF2D0"/>
            <w:noWrap/>
            <w:vAlign w:val="center"/>
            <w:hideMark/>
          </w:tcPr>
          <w:p w14:paraId="0DE08F17"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5.623 </w:t>
            </w:r>
          </w:p>
        </w:tc>
      </w:tr>
      <w:tr w:rsidR="00335312" w:rsidRPr="00EE3E83" w14:paraId="4446249A" w14:textId="77777777" w:rsidTr="002A21C0">
        <w:trPr>
          <w:trHeight w:val="300"/>
        </w:trPr>
        <w:tc>
          <w:tcPr>
            <w:tcW w:w="1008" w:type="dxa"/>
            <w:tcBorders>
              <w:top w:val="nil"/>
              <w:left w:val="double" w:sz="6" w:space="0" w:color="A6A6A6"/>
              <w:bottom w:val="single" w:sz="8" w:space="0" w:color="A6A6A6"/>
              <w:right w:val="single" w:sz="8" w:space="0" w:color="A6A6A6"/>
            </w:tcBorders>
            <w:noWrap/>
            <w:vAlign w:val="center"/>
            <w:hideMark/>
          </w:tcPr>
          <w:p w14:paraId="3603CE33"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S097</w:t>
            </w:r>
          </w:p>
        </w:tc>
        <w:tc>
          <w:tcPr>
            <w:tcW w:w="4923" w:type="dxa"/>
            <w:tcBorders>
              <w:top w:val="nil"/>
              <w:left w:val="nil"/>
              <w:bottom w:val="single" w:sz="8" w:space="0" w:color="A6A6A6"/>
              <w:right w:val="single" w:sz="8" w:space="0" w:color="A6A6A6"/>
            </w:tcBorders>
            <w:vAlign w:val="center"/>
            <w:hideMark/>
          </w:tcPr>
          <w:p w14:paraId="4B0A3964" w14:textId="77777777" w:rsidR="00335312" w:rsidRPr="00EE3E83" w:rsidRDefault="00335312" w:rsidP="002A21C0">
            <w:pPr>
              <w:spacing w:after="0" w:line="240" w:lineRule="auto"/>
              <w:jc w:val="left"/>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SCUOLE NOVI L.</w:t>
            </w:r>
          </w:p>
        </w:tc>
        <w:tc>
          <w:tcPr>
            <w:tcW w:w="753" w:type="dxa"/>
            <w:tcBorders>
              <w:top w:val="nil"/>
              <w:left w:val="nil"/>
              <w:bottom w:val="single" w:sz="8" w:space="0" w:color="A6A6A6"/>
              <w:right w:val="single" w:sz="8" w:space="0" w:color="A6A6A6"/>
            </w:tcBorders>
            <w:noWrap/>
            <w:vAlign w:val="center"/>
            <w:hideMark/>
          </w:tcPr>
          <w:p w14:paraId="62489A60" w14:textId="77777777" w:rsidR="00335312" w:rsidRPr="00EE3E83" w:rsidRDefault="00335312" w:rsidP="002A21C0">
            <w:pPr>
              <w:spacing w:after="0" w:line="240" w:lineRule="auto"/>
              <w:jc w:val="center"/>
              <w:rPr>
                <w:rFonts w:ascii="Calibri" w:eastAsia="Times New Roman" w:hAnsi="Calibri" w:cs="Calibri"/>
                <w:color w:val="000000"/>
                <w:sz w:val="18"/>
                <w:szCs w:val="18"/>
              </w:rPr>
            </w:pPr>
            <w:r w:rsidRPr="00EE3E83">
              <w:rPr>
                <w:rFonts w:ascii="Calibri" w:eastAsia="Times New Roman" w:hAnsi="Calibri" w:cstheme="minorHAnsi"/>
                <w:color w:val="000000"/>
                <w:sz w:val="18"/>
                <w:szCs w:val="18"/>
              </w:rPr>
              <w:t>28</w:t>
            </w:r>
          </w:p>
        </w:tc>
        <w:tc>
          <w:tcPr>
            <w:tcW w:w="1214" w:type="dxa"/>
            <w:tcBorders>
              <w:top w:val="nil"/>
              <w:left w:val="nil"/>
              <w:bottom w:val="single" w:sz="8" w:space="0" w:color="A6A6A6"/>
              <w:right w:val="single" w:sz="8" w:space="0" w:color="A6A6A6"/>
            </w:tcBorders>
            <w:noWrap/>
            <w:vAlign w:val="center"/>
            <w:hideMark/>
          </w:tcPr>
          <w:p w14:paraId="1657480B"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41.995 </w:t>
            </w:r>
          </w:p>
        </w:tc>
        <w:tc>
          <w:tcPr>
            <w:tcW w:w="1202" w:type="dxa"/>
            <w:tcBorders>
              <w:top w:val="nil"/>
              <w:left w:val="nil"/>
              <w:bottom w:val="single" w:sz="8" w:space="0" w:color="A6A6A6"/>
              <w:right w:val="double" w:sz="6" w:space="0" w:color="A6A6A6"/>
            </w:tcBorders>
            <w:noWrap/>
            <w:vAlign w:val="center"/>
            <w:hideMark/>
          </w:tcPr>
          <w:p w14:paraId="2D738871" w14:textId="77777777" w:rsidR="00335312" w:rsidRPr="00EE3E83" w:rsidRDefault="00335312" w:rsidP="002A21C0">
            <w:pPr>
              <w:spacing w:after="0" w:line="240" w:lineRule="auto"/>
              <w:jc w:val="right"/>
              <w:rPr>
                <w:rFonts w:ascii="Calibri" w:eastAsia="Times New Roman" w:hAnsi="Calibri" w:cs="Calibri"/>
                <w:color w:val="000000"/>
                <w:sz w:val="18"/>
                <w:szCs w:val="18"/>
              </w:rPr>
            </w:pPr>
            <w:r>
              <w:rPr>
                <w:rFonts w:ascii="Calibri" w:eastAsia="Times New Roman" w:hAnsi="Calibri" w:cstheme="minorHAnsi"/>
                <w:color w:val="000000"/>
                <w:sz w:val="18"/>
                <w:szCs w:val="18"/>
              </w:rPr>
              <w:t xml:space="preserve"> </w:t>
            </w:r>
            <w:r w:rsidRPr="00EE3E83">
              <w:rPr>
                <w:rFonts w:ascii="Calibri" w:eastAsia="Times New Roman" w:hAnsi="Calibri" w:cstheme="minorHAnsi"/>
                <w:color w:val="000000"/>
                <w:sz w:val="18"/>
                <w:szCs w:val="18"/>
              </w:rPr>
              <w:t xml:space="preserve">41.995 </w:t>
            </w:r>
          </w:p>
        </w:tc>
      </w:tr>
      <w:tr w:rsidR="00335312" w:rsidRPr="00EE3E83" w14:paraId="1B8FF52F" w14:textId="77777777" w:rsidTr="002A21C0">
        <w:trPr>
          <w:trHeight w:val="300"/>
        </w:trPr>
        <w:tc>
          <w:tcPr>
            <w:tcW w:w="1008" w:type="dxa"/>
            <w:tcBorders>
              <w:top w:val="nil"/>
              <w:left w:val="double" w:sz="6" w:space="0" w:color="A6A6A6"/>
              <w:bottom w:val="double" w:sz="6" w:space="0" w:color="A6A6A6"/>
              <w:right w:val="nil"/>
            </w:tcBorders>
            <w:shd w:val="clear" w:color="000000" w:fill="B5E6A2"/>
            <w:noWrap/>
            <w:vAlign w:val="center"/>
            <w:hideMark/>
          </w:tcPr>
          <w:p w14:paraId="51F701B5"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single" w:sz="8" w:space="0" w:color="A6A6A6"/>
              <w:bottom w:val="double" w:sz="6" w:space="0" w:color="A6A6A6"/>
              <w:right w:val="single" w:sz="8" w:space="0" w:color="A6A6A6"/>
            </w:tcBorders>
            <w:shd w:val="clear" w:color="000000" w:fill="B5E6A2"/>
            <w:vAlign w:val="center"/>
            <w:hideMark/>
          </w:tcPr>
          <w:p w14:paraId="0C096DD3"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 DI NOVI LIGURE</w:t>
            </w:r>
          </w:p>
        </w:tc>
        <w:tc>
          <w:tcPr>
            <w:tcW w:w="753" w:type="dxa"/>
            <w:tcBorders>
              <w:top w:val="nil"/>
              <w:left w:val="nil"/>
              <w:bottom w:val="double" w:sz="6" w:space="0" w:color="A6A6A6"/>
              <w:right w:val="single" w:sz="8" w:space="0" w:color="A6A6A6"/>
            </w:tcBorders>
            <w:shd w:val="clear" w:color="000000" w:fill="B5E6A2"/>
            <w:noWrap/>
            <w:vAlign w:val="center"/>
            <w:hideMark/>
          </w:tcPr>
          <w:p w14:paraId="60C6EECC"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71</w:t>
            </w:r>
          </w:p>
        </w:tc>
        <w:tc>
          <w:tcPr>
            <w:tcW w:w="1214" w:type="dxa"/>
            <w:tcBorders>
              <w:top w:val="nil"/>
              <w:left w:val="nil"/>
              <w:bottom w:val="double" w:sz="6" w:space="0" w:color="A6A6A6"/>
              <w:right w:val="single" w:sz="8" w:space="0" w:color="A6A6A6"/>
            </w:tcBorders>
            <w:shd w:val="clear" w:color="000000" w:fill="B5E6A2"/>
            <w:noWrap/>
            <w:vAlign w:val="center"/>
            <w:hideMark/>
          </w:tcPr>
          <w:p w14:paraId="4AC3FC53"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94.588 </w:t>
            </w:r>
          </w:p>
        </w:tc>
        <w:tc>
          <w:tcPr>
            <w:tcW w:w="1202" w:type="dxa"/>
            <w:tcBorders>
              <w:top w:val="nil"/>
              <w:left w:val="nil"/>
              <w:bottom w:val="double" w:sz="6" w:space="0" w:color="A6A6A6"/>
              <w:right w:val="double" w:sz="6" w:space="0" w:color="A6A6A6"/>
            </w:tcBorders>
            <w:shd w:val="clear" w:color="000000" w:fill="B5E6A2"/>
            <w:noWrap/>
            <w:vAlign w:val="center"/>
            <w:hideMark/>
          </w:tcPr>
          <w:p w14:paraId="5BB3CB6D"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94.588 </w:t>
            </w:r>
          </w:p>
        </w:tc>
      </w:tr>
      <w:tr w:rsidR="00335312" w:rsidRPr="00EE3E83" w14:paraId="37642F4A" w14:textId="77777777" w:rsidTr="002A21C0">
        <w:trPr>
          <w:trHeight w:val="312"/>
        </w:trPr>
        <w:tc>
          <w:tcPr>
            <w:tcW w:w="1008" w:type="dxa"/>
            <w:tcBorders>
              <w:top w:val="single" w:sz="8" w:space="0" w:color="A6A6A6"/>
              <w:left w:val="double" w:sz="6" w:space="0" w:color="A6A6A6"/>
              <w:bottom w:val="double" w:sz="6" w:space="0" w:color="A6A6A6"/>
              <w:right w:val="nil"/>
            </w:tcBorders>
            <w:shd w:val="clear" w:color="000000" w:fill="B5E6A2"/>
            <w:noWrap/>
            <w:vAlign w:val="center"/>
            <w:hideMark/>
          </w:tcPr>
          <w:p w14:paraId="7CBDC4B7"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single" w:sz="8" w:space="0" w:color="A6A6A6"/>
              <w:left w:val="single" w:sz="8" w:space="0" w:color="A6A6A6"/>
              <w:bottom w:val="double" w:sz="6" w:space="0" w:color="A6A6A6"/>
              <w:right w:val="single" w:sz="8" w:space="0" w:color="A6A6A6"/>
            </w:tcBorders>
            <w:shd w:val="clear" w:color="000000" w:fill="B5E6A2"/>
            <w:vAlign w:val="center"/>
            <w:hideMark/>
          </w:tcPr>
          <w:p w14:paraId="1730ACF9"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URBANI</w:t>
            </w:r>
          </w:p>
        </w:tc>
        <w:tc>
          <w:tcPr>
            <w:tcW w:w="753" w:type="dxa"/>
            <w:tcBorders>
              <w:top w:val="nil"/>
              <w:left w:val="nil"/>
              <w:bottom w:val="double" w:sz="6" w:space="0" w:color="A6A6A6"/>
              <w:right w:val="single" w:sz="8" w:space="0" w:color="A6A6A6"/>
            </w:tcBorders>
            <w:shd w:val="clear" w:color="000000" w:fill="B5E6A2"/>
            <w:noWrap/>
            <w:vAlign w:val="center"/>
            <w:hideMark/>
          </w:tcPr>
          <w:p w14:paraId="4168961D"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2102</w:t>
            </w:r>
          </w:p>
        </w:tc>
        <w:tc>
          <w:tcPr>
            <w:tcW w:w="1214" w:type="dxa"/>
            <w:tcBorders>
              <w:top w:val="nil"/>
              <w:left w:val="nil"/>
              <w:bottom w:val="double" w:sz="6" w:space="0" w:color="A6A6A6"/>
              <w:right w:val="single" w:sz="8" w:space="0" w:color="A6A6A6"/>
            </w:tcBorders>
            <w:shd w:val="clear" w:color="000000" w:fill="B5E6A2"/>
            <w:noWrap/>
            <w:vAlign w:val="center"/>
            <w:hideMark/>
          </w:tcPr>
          <w:p w14:paraId="64539F37"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3.089.755 </w:t>
            </w:r>
          </w:p>
        </w:tc>
        <w:tc>
          <w:tcPr>
            <w:tcW w:w="1202" w:type="dxa"/>
            <w:tcBorders>
              <w:top w:val="nil"/>
              <w:left w:val="nil"/>
              <w:bottom w:val="double" w:sz="6" w:space="0" w:color="A6A6A6"/>
              <w:right w:val="double" w:sz="6" w:space="0" w:color="A6A6A6"/>
            </w:tcBorders>
            <w:shd w:val="clear" w:color="000000" w:fill="B5E6A2"/>
            <w:noWrap/>
            <w:vAlign w:val="center"/>
            <w:hideMark/>
          </w:tcPr>
          <w:p w14:paraId="770FE229"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3.089.755 </w:t>
            </w:r>
          </w:p>
        </w:tc>
      </w:tr>
      <w:tr w:rsidR="00335312" w:rsidRPr="00EE3E83" w14:paraId="4D36998B" w14:textId="77777777" w:rsidTr="002A21C0">
        <w:trPr>
          <w:trHeight w:val="312"/>
        </w:trPr>
        <w:tc>
          <w:tcPr>
            <w:tcW w:w="1008" w:type="dxa"/>
            <w:tcBorders>
              <w:top w:val="nil"/>
              <w:left w:val="double" w:sz="6" w:space="0" w:color="A6A6A6"/>
              <w:bottom w:val="double" w:sz="6" w:space="0" w:color="A6A6A6"/>
              <w:right w:val="single" w:sz="8" w:space="0" w:color="A6A6A6"/>
            </w:tcBorders>
            <w:shd w:val="clear" w:color="000000" w:fill="A5C34C"/>
            <w:vAlign w:val="center"/>
            <w:hideMark/>
          </w:tcPr>
          <w:p w14:paraId="1976EF0B"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nil"/>
              <w:bottom w:val="double" w:sz="6" w:space="0" w:color="A6A6A6"/>
              <w:right w:val="single" w:sz="8" w:space="0" w:color="A6A6A6"/>
            </w:tcBorders>
            <w:shd w:val="clear" w:color="000000" w:fill="A5C34C"/>
            <w:vAlign w:val="center"/>
            <w:hideMark/>
          </w:tcPr>
          <w:p w14:paraId="02BD4594" w14:textId="77777777" w:rsidR="00335312" w:rsidRPr="00EE3E83" w:rsidRDefault="00335312" w:rsidP="002A21C0">
            <w:pPr>
              <w:spacing w:after="0" w:line="240" w:lineRule="auto"/>
              <w:jc w:val="lef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TOTALE SERVIZI BACINO SUD EST</w:t>
            </w:r>
          </w:p>
        </w:tc>
        <w:tc>
          <w:tcPr>
            <w:tcW w:w="753" w:type="dxa"/>
            <w:tcBorders>
              <w:top w:val="nil"/>
              <w:left w:val="nil"/>
              <w:bottom w:val="double" w:sz="6" w:space="0" w:color="A6A6A6"/>
              <w:right w:val="single" w:sz="8" w:space="0" w:color="A6A6A6"/>
            </w:tcBorders>
            <w:shd w:val="clear" w:color="000000" w:fill="A5C34C"/>
            <w:vAlign w:val="center"/>
            <w:hideMark/>
          </w:tcPr>
          <w:p w14:paraId="3222E44E"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5004</w:t>
            </w:r>
          </w:p>
        </w:tc>
        <w:tc>
          <w:tcPr>
            <w:tcW w:w="1214" w:type="dxa"/>
            <w:tcBorders>
              <w:top w:val="nil"/>
              <w:left w:val="nil"/>
              <w:bottom w:val="double" w:sz="6" w:space="0" w:color="A6A6A6"/>
              <w:right w:val="single" w:sz="8" w:space="0" w:color="A6A6A6"/>
            </w:tcBorders>
            <w:shd w:val="clear" w:color="000000" w:fill="A5C34C"/>
            <w:vAlign w:val="center"/>
            <w:hideMark/>
          </w:tcPr>
          <w:p w14:paraId="7F9D5E40"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12.889.525 </w:t>
            </w:r>
          </w:p>
        </w:tc>
        <w:tc>
          <w:tcPr>
            <w:tcW w:w="1202" w:type="dxa"/>
            <w:tcBorders>
              <w:top w:val="nil"/>
              <w:left w:val="nil"/>
              <w:bottom w:val="double" w:sz="6" w:space="0" w:color="A6A6A6"/>
              <w:right w:val="double" w:sz="6" w:space="0" w:color="A6A6A6"/>
            </w:tcBorders>
            <w:shd w:val="clear" w:color="000000" w:fill="A5C34C"/>
            <w:vAlign w:val="center"/>
            <w:hideMark/>
          </w:tcPr>
          <w:p w14:paraId="5335ACE4"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 </w:t>
            </w:r>
            <w:r w:rsidRPr="00EE3E83">
              <w:rPr>
                <w:rFonts w:ascii="Calibri" w:eastAsia="Times New Roman" w:hAnsi="Calibri" w:cs="Calibri"/>
                <w:b/>
                <w:bCs/>
                <w:color w:val="000000"/>
                <w:sz w:val="18"/>
                <w:szCs w:val="18"/>
              </w:rPr>
              <w:t xml:space="preserve">12.822.746 </w:t>
            </w:r>
          </w:p>
        </w:tc>
      </w:tr>
      <w:tr w:rsidR="00335312" w:rsidRPr="00EE3E83" w14:paraId="3A70BC3A" w14:textId="77777777" w:rsidTr="002A21C0">
        <w:trPr>
          <w:trHeight w:val="312"/>
        </w:trPr>
        <w:tc>
          <w:tcPr>
            <w:tcW w:w="1008" w:type="dxa"/>
            <w:tcBorders>
              <w:top w:val="nil"/>
              <w:left w:val="nil"/>
              <w:bottom w:val="nil"/>
              <w:right w:val="nil"/>
            </w:tcBorders>
            <w:shd w:val="clear" w:color="000000" w:fill="FFFFFF"/>
            <w:noWrap/>
            <w:vAlign w:val="center"/>
            <w:hideMark/>
          </w:tcPr>
          <w:p w14:paraId="42AD46DB" w14:textId="77777777" w:rsidR="00335312" w:rsidRPr="00EE3E83" w:rsidRDefault="00335312" w:rsidP="002A21C0">
            <w:pPr>
              <w:spacing w:after="0" w:line="240" w:lineRule="auto"/>
              <w:jc w:val="lef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4923" w:type="dxa"/>
            <w:tcBorders>
              <w:top w:val="nil"/>
              <w:left w:val="nil"/>
              <w:bottom w:val="nil"/>
              <w:right w:val="nil"/>
            </w:tcBorders>
            <w:shd w:val="clear" w:color="000000" w:fill="FFFFFF"/>
            <w:vAlign w:val="center"/>
            <w:hideMark/>
          </w:tcPr>
          <w:p w14:paraId="0C8425D7" w14:textId="77777777" w:rsidR="00335312" w:rsidRPr="00EE3E83" w:rsidRDefault="00335312" w:rsidP="002A21C0">
            <w:pPr>
              <w:spacing w:after="0" w:line="240" w:lineRule="auto"/>
              <w:jc w:val="lef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(*esclusi gli Accordi di Programma)</w:t>
            </w:r>
          </w:p>
        </w:tc>
        <w:tc>
          <w:tcPr>
            <w:tcW w:w="753" w:type="dxa"/>
            <w:tcBorders>
              <w:top w:val="nil"/>
              <w:left w:val="nil"/>
              <w:bottom w:val="nil"/>
              <w:right w:val="nil"/>
            </w:tcBorders>
            <w:shd w:val="clear" w:color="000000" w:fill="FFFFFF"/>
            <w:noWrap/>
            <w:vAlign w:val="center"/>
            <w:hideMark/>
          </w:tcPr>
          <w:p w14:paraId="44AC5A42" w14:textId="77777777" w:rsidR="00335312" w:rsidRPr="00EE3E83" w:rsidRDefault="00335312" w:rsidP="002A21C0">
            <w:pPr>
              <w:spacing w:after="0" w:line="240" w:lineRule="auto"/>
              <w:jc w:val="center"/>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1214" w:type="dxa"/>
            <w:tcBorders>
              <w:top w:val="nil"/>
              <w:left w:val="nil"/>
              <w:bottom w:val="nil"/>
              <w:right w:val="nil"/>
            </w:tcBorders>
            <w:shd w:val="clear" w:color="000000" w:fill="FFFFFF"/>
            <w:noWrap/>
            <w:vAlign w:val="center"/>
            <w:hideMark/>
          </w:tcPr>
          <w:p w14:paraId="230F75D0"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c>
          <w:tcPr>
            <w:tcW w:w="1202" w:type="dxa"/>
            <w:tcBorders>
              <w:top w:val="nil"/>
              <w:left w:val="nil"/>
              <w:bottom w:val="nil"/>
              <w:right w:val="nil"/>
            </w:tcBorders>
            <w:shd w:val="clear" w:color="000000" w:fill="FFFFFF"/>
            <w:noWrap/>
            <w:vAlign w:val="center"/>
            <w:hideMark/>
          </w:tcPr>
          <w:p w14:paraId="23276C41" w14:textId="77777777" w:rsidR="00335312" w:rsidRPr="00EE3E83" w:rsidRDefault="00335312" w:rsidP="002A21C0">
            <w:pPr>
              <w:spacing w:after="0" w:line="240" w:lineRule="auto"/>
              <w:jc w:val="right"/>
              <w:rPr>
                <w:rFonts w:ascii="Calibri" w:eastAsia="Times New Roman" w:hAnsi="Calibri" w:cs="Calibri"/>
                <w:b/>
                <w:bCs/>
                <w:color w:val="000000"/>
                <w:sz w:val="18"/>
                <w:szCs w:val="18"/>
              </w:rPr>
            </w:pPr>
            <w:r w:rsidRPr="00EE3E83">
              <w:rPr>
                <w:rFonts w:ascii="Calibri" w:eastAsia="Times New Roman" w:hAnsi="Calibri" w:cs="Calibri"/>
                <w:b/>
                <w:bCs/>
                <w:color w:val="000000"/>
                <w:sz w:val="18"/>
                <w:szCs w:val="18"/>
              </w:rPr>
              <w:t> </w:t>
            </w:r>
          </w:p>
        </w:tc>
      </w:tr>
    </w:tbl>
    <w:p w14:paraId="11F1C2E8" w14:textId="232D9196" w:rsidR="00335312" w:rsidRPr="00677A61" w:rsidRDefault="00335312" w:rsidP="00335312">
      <w:pPr>
        <w:pStyle w:val="Didascalia"/>
        <w:jc w:val="center"/>
        <w:rPr>
          <w:iCs w:val="0"/>
        </w:rPr>
      </w:pPr>
      <w:bookmarkStart w:id="204" w:name="_Hlk205055834"/>
      <w:bookmarkEnd w:id="200"/>
      <w:bookmarkEnd w:id="201"/>
      <w:bookmarkEnd w:id="202"/>
      <w:r>
        <w:t xml:space="preserve">Tabella </w:t>
      </w:r>
      <w:r>
        <w:fldChar w:fldCharType="begin"/>
      </w:r>
      <w:r>
        <w:instrText xml:space="preserve"> SEQ Tabella \* ARABIC </w:instrText>
      </w:r>
      <w:r>
        <w:fldChar w:fldCharType="separate"/>
      </w:r>
      <w:r w:rsidR="00670903">
        <w:rPr>
          <w:noProof/>
        </w:rPr>
        <w:t>31</w:t>
      </w:r>
      <w:r>
        <w:rPr>
          <w:noProof/>
        </w:rPr>
        <w:fldChar w:fldCharType="end"/>
      </w:r>
      <w:r>
        <w:rPr>
          <w:i w:val="0"/>
        </w:rPr>
        <w:t xml:space="preserve"> – </w:t>
      </w:r>
      <w:r w:rsidRPr="00677A61">
        <w:rPr>
          <w:iCs w:val="0"/>
        </w:rPr>
        <w:t xml:space="preserve">Quadro del servizio automobilistico del Bacino </w:t>
      </w:r>
      <w:r>
        <w:rPr>
          <w:iCs w:val="0"/>
        </w:rPr>
        <w:t>Sud Est</w:t>
      </w:r>
      <w:r w:rsidRPr="00677A61">
        <w:rPr>
          <w:iCs w:val="0"/>
        </w:rPr>
        <w:t xml:space="preserve"> (PEA 2024)</w:t>
      </w:r>
    </w:p>
    <w:bookmarkEnd w:id="204"/>
    <w:p w14:paraId="02CEFCDA" w14:textId="77777777" w:rsidR="00335312" w:rsidRPr="00677A61" w:rsidRDefault="00335312" w:rsidP="00335312">
      <w:pPr>
        <w:spacing w:before="120" w:after="0" w:line="240" w:lineRule="auto"/>
        <w:rPr>
          <w:i/>
        </w:rPr>
      </w:pPr>
    </w:p>
    <w:p w14:paraId="59C6DE02" w14:textId="77777777" w:rsidR="00335312" w:rsidRDefault="00335312" w:rsidP="00335312">
      <w:pPr>
        <w:spacing w:before="120" w:after="0" w:line="240" w:lineRule="auto"/>
        <w:rPr>
          <w:rFonts w:cs="Times New Roman"/>
          <w:color w:val="000000" w:themeColor="text1"/>
        </w:rPr>
      </w:pPr>
      <w:r>
        <w:rPr>
          <w:noProof/>
        </w:rPr>
        <w:drawing>
          <wp:inline distT="0" distB="0" distL="0" distR="0" wp14:anchorId="04BB6EC6" wp14:editId="25955050">
            <wp:extent cx="5753100" cy="4069080"/>
            <wp:effectExtent l="19050" t="19050" r="19050" b="26670"/>
            <wp:docPr id="504177835" name="Immagine 504177835" descr="C:\Users\Tensi\AppData\Local\Microsoft\Windows\INetCache\Content.Word\Fig 21 - Rete automobilist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nsi\AppData\Local\Microsoft\Windows\INetCache\Content.Word\Fig 21 - Rete automobilistica.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53100" cy="4069080"/>
                    </a:xfrm>
                    <a:prstGeom prst="rect">
                      <a:avLst/>
                    </a:prstGeom>
                    <a:noFill/>
                    <a:ln>
                      <a:solidFill>
                        <a:schemeClr val="accent6">
                          <a:lumMod val="50000"/>
                        </a:schemeClr>
                      </a:solidFill>
                    </a:ln>
                  </pic:spPr>
                </pic:pic>
              </a:graphicData>
            </a:graphic>
          </wp:inline>
        </w:drawing>
      </w:r>
    </w:p>
    <w:p w14:paraId="3D3FD004" w14:textId="66ACC5BC" w:rsidR="00335312" w:rsidRPr="00382ABF" w:rsidRDefault="00335312" w:rsidP="00335312">
      <w:pPr>
        <w:pStyle w:val="Didascalia"/>
        <w:jc w:val="center"/>
        <w:rPr>
          <w:rFonts w:cs="Times New Roman"/>
          <w:szCs w:val="22"/>
        </w:rPr>
      </w:pPr>
      <w:r w:rsidRPr="00382ABF">
        <w:t xml:space="preserve">Figura </w:t>
      </w:r>
      <w:r>
        <w:fldChar w:fldCharType="begin"/>
      </w:r>
      <w:r>
        <w:instrText xml:space="preserve"> SEQ Figura \* ARABIC </w:instrText>
      </w:r>
      <w:r>
        <w:fldChar w:fldCharType="separate"/>
      </w:r>
      <w:r w:rsidR="00670903">
        <w:rPr>
          <w:noProof/>
        </w:rPr>
        <w:t>19</w:t>
      </w:r>
      <w:r>
        <w:rPr>
          <w:noProof/>
        </w:rPr>
        <w:fldChar w:fldCharType="end"/>
      </w:r>
      <w:r w:rsidRPr="00382ABF">
        <w:t xml:space="preserve"> </w:t>
      </w:r>
      <w:r>
        <w:t>–</w:t>
      </w:r>
      <w:r w:rsidRPr="00382ABF">
        <w:t xml:space="preserve"> </w:t>
      </w:r>
      <w:r>
        <w:t>Mappa della rete automobilistica del Bacino Sud Est</w:t>
      </w:r>
    </w:p>
    <w:p w14:paraId="541BF967" w14:textId="77777777" w:rsidR="00335312" w:rsidRPr="00EE3E83" w:rsidRDefault="00335312" w:rsidP="00335312">
      <w:pPr>
        <w:pStyle w:val="Didascalia"/>
        <w:keepNext/>
        <w:spacing w:before="120" w:after="0"/>
        <w:jc w:val="center"/>
        <w:rPr>
          <w:color w:val="auto"/>
        </w:rPr>
      </w:pPr>
      <w:r w:rsidRPr="00EE3E83">
        <w:rPr>
          <w:noProof/>
          <w:color w:val="auto"/>
        </w:rPr>
        <w:lastRenderedPageBreak/>
        <w:drawing>
          <wp:inline distT="0" distB="0" distL="0" distR="0" wp14:anchorId="6C36D13F" wp14:editId="0156101D">
            <wp:extent cx="5528239" cy="3912433"/>
            <wp:effectExtent l="19050" t="19050" r="15875" b="12065"/>
            <wp:docPr id="2006680353" name="Immagine 2" descr="Immagine che contiene mappa, testo,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80353" name="Immagine 2" descr="Immagine che contiene mappa, testo, diagramma, atlante&#10;&#10;Descrizione generata automaticament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30639" cy="3914132"/>
                    </a:xfrm>
                    <a:prstGeom prst="rect">
                      <a:avLst/>
                    </a:prstGeom>
                    <a:noFill/>
                    <a:ln>
                      <a:solidFill>
                        <a:schemeClr val="accent6">
                          <a:lumMod val="50000"/>
                        </a:schemeClr>
                      </a:solidFill>
                    </a:ln>
                  </pic:spPr>
                </pic:pic>
              </a:graphicData>
            </a:graphic>
          </wp:inline>
        </w:drawing>
      </w:r>
    </w:p>
    <w:p w14:paraId="503BB6FD" w14:textId="6E3B6C92" w:rsidR="00335312" w:rsidRDefault="00335312" w:rsidP="00335312">
      <w:pPr>
        <w:pStyle w:val="Didascalia"/>
        <w:jc w:val="center"/>
      </w:pPr>
      <w:r>
        <w:t xml:space="preserve">Figura </w:t>
      </w:r>
      <w:r>
        <w:fldChar w:fldCharType="begin"/>
      </w:r>
      <w:r>
        <w:instrText xml:space="preserve"> SEQ Figura \* ARABIC </w:instrText>
      </w:r>
      <w:r>
        <w:fldChar w:fldCharType="separate"/>
      </w:r>
      <w:r w:rsidR="00670903">
        <w:rPr>
          <w:noProof/>
        </w:rPr>
        <w:t>20</w:t>
      </w:r>
      <w:r>
        <w:rPr>
          <w:noProof/>
        </w:rPr>
        <w:fldChar w:fldCharType="end"/>
      </w:r>
      <w:r w:rsidRPr="007D2BF7">
        <w:t xml:space="preserve"> – Dettaglio servizio urbano di Alessandria</w:t>
      </w:r>
    </w:p>
    <w:p w14:paraId="1DE7E832" w14:textId="77777777" w:rsidR="00335312" w:rsidRPr="00EE3E83" w:rsidRDefault="00335312" w:rsidP="00335312">
      <w:pPr>
        <w:spacing w:before="120" w:after="0" w:line="240" w:lineRule="auto"/>
        <w:jc w:val="center"/>
        <w:rPr>
          <w:rFonts w:cs="Times New Roman"/>
        </w:rPr>
      </w:pPr>
      <w:r w:rsidRPr="00EE3E83">
        <w:rPr>
          <w:noProof/>
        </w:rPr>
        <w:drawing>
          <wp:inline distT="0" distB="0" distL="0" distR="0" wp14:anchorId="2143D8EC" wp14:editId="2DB7DAEA">
            <wp:extent cx="5552410" cy="3929540"/>
            <wp:effectExtent l="19050" t="19050" r="10795" b="13970"/>
            <wp:docPr id="909310095"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10095" name="Immagine 1" descr="Immagine che contiene mappa, testo, atlante, diagramma&#10;&#10;Descrizione generata automaticament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65117" cy="3938533"/>
                    </a:xfrm>
                    <a:prstGeom prst="rect">
                      <a:avLst/>
                    </a:prstGeom>
                    <a:noFill/>
                    <a:ln>
                      <a:solidFill>
                        <a:schemeClr val="accent6">
                          <a:lumMod val="50000"/>
                        </a:schemeClr>
                      </a:solidFill>
                    </a:ln>
                  </pic:spPr>
                </pic:pic>
              </a:graphicData>
            </a:graphic>
          </wp:inline>
        </w:drawing>
      </w:r>
    </w:p>
    <w:p w14:paraId="64C3894C" w14:textId="09032D14" w:rsidR="00335312" w:rsidRDefault="00335312" w:rsidP="00335312">
      <w:pPr>
        <w:pStyle w:val="Didascalia"/>
        <w:jc w:val="center"/>
      </w:pPr>
      <w:r w:rsidRPr="00382ABF">
        <w:t xml:space="preserve">Figura </w:t>
      </w:r>
      <w:r>
        <w:fldChar w:fldCharType="begin"/>
      </w:r>
      <w:r>
        <w:instrText xml:space="preserve"> SEQ Figura \* ARABIC </w:instrText>
      </w:r>
      <w:r>
        <w:fldChar w:fldCharType="separate"/>
      </w:r>
      <w:r w:rsidR="00670903">
        <w:rPr>
          <w:noProof/>
        </w:rPr>
        <w:t>21</w:t>
      </w:r>
      <w:r>
        <w:rPr>
          <w:noProof/>
        </w:rPr>
        <w:fldChar w:fldCharType="end"/>
      </w:r>
      <w:r w:rsidRPr="00382ABF">
        <w:t xml:space="preserve"> </w:t>
      </w:r>
      <w:r>
        <w:t>–</w:t>
      </w:r>
      <w:r w:rsidRPr="00382ABF">
        <w:t xml:space="preserve"> </w:t>
      </w:r>
      <w:r>
        <w:t>Dettaglio servizio urbano di Asti</w:t>
      </w:r>
    </w:p>
    <w:p w14:paraId="3C771F39" w14:textId="77777777" w:rsidR="00335312" w:rsidRPr="003C5E08" w:rsidRDefault="00335312" w:rsidP="00335312">
      <w:pPr>
        <w:spacing w:before="120" w:after="0" w:line="240" w:lineRule="auto"/>
        <w:rPr>
          <w:rFonts w:cs="Times New Roman"/>
          <w:color w:val="000000" w:themeColor="text1"/>
        </w:rPr>
      </w:pPr>
      <w:r w:rsidRPr="003C5E08">
        <w:rPr>
          <w:rFonts w:cs="Times New Roman"/>
          <w:color w:val="000000" w:themeColor="text1"/>
        </w:rPr>
        <w:lastRenderedPageBreak/>
        <w:t>I dati caratteristici del servizio sono indicati nella Tabella seguente ove è indicata anche la Fonte da cui il dato è stato ricavato.</w:t>
      </w:r>
    </w:p>
    <w:p w14:paraId="40F595CA" w14:textId="77777777" w:rsidR="00335312" w:rsidRDefault="00335312" w:rsidP="00335312">
      <w:pPr>
        <w:spacing w:before="120" w:after="0" w:line="240" w:lineRule="auto"/>
        <w:rPr>
          <w:rFonts w:cs="Times New Roman"/>
          <w:color w:val="000000" w:themeColor="text1"/>
        </w:rPr>
      </w:pPr>
      <w:r w:rsidRPr="003C5E08">
        <w:rPr>
          <w:rFonts w:cs="Times New Roman"/>
          <w:color w:val="000000" w:themeColor="text1"/>
        </w:rPr>
        <w:t>Si segnala che le fonti ufficiali consultate sono quelle dell’Osservatorio Nazionale per il TPL (ONTPL), quelle del Conto Nazionale Trasporti e quella della contabilità Regolatoria ART verificando la sostanziale congruenza delle informazioni; analoga verifica è stata fatta con le informazioni in possesso di AMP anche se non sono ancora disponibili i rendiconti dei contratti di servizio; si ricorda che per il 2023 le condizioni contrattuali sono differenti per il rinnovo dei contratti avvenuto con le proroghe</w:t>
      </w:r>
      <w:r>
        <w:rPr>
          <w:rStyle w:val="Rimandonotaapidipagina"/>
          <w:rFonts w:cs="Times New Roman"/>
          <w:color w:val="000000" w:themeColor="text1"/>
        </w:rPr>
        <w:footnoteReference w:id="27"/>
      </w:r>
      <w:r w:rsidRPr="003C5E08">
        <w:rPr>
          <w:rFonts w:cs="Times New Roman"/>
          <w:color w:val="000000" w:themeColor="text1"/>
        </w:rPr>
        <w:t xml:space="preserve"> come meglio descritto in precedenza.</w:t>
      </w:r>
    </w:p>
    <w:p w14:paraId="2880362F" w14:textId="77777777" w:rsidR="00335312" w:rsidRDefault="00335312" w:rsidP="00335312">
      <w:pPr>
        <w:spacing w:before="120" w:after="0" w:line="240" w:lineRule="auto"/>
        <w:rPr>
          <w:rFonts w:cs="Times New Roman"/>
          <w:color w:val="000000" w:themeColor="text1"/>
        </w:rPr>
      </w:pPr>
    </w:p>
    <w:tbl>
      <w:tblPr>
        <w:tblW w:w="9120" w:type="dxa"/>
        <w:tblCellMar>
          <w:left w:w="70" w:type="dxa"/>
          <w:right w:w="70" w:type="dxa"/>
        </w:tblCellMar>
        <w:tblLook w:val="04A0" w:firstRow="1" w:lastRow="0" w:firstColumn="1" w:lastColumn="0" w:noHBand="0" w:noVBand="1"/>
      </w:tblPr>
      <w:tblGrid>
        <w:gridCol w:w="2980"/>
        <w:gridCol w:w="2120"/>
        <w:gridCol w:w="1340"/>
        <w:gridCol w:w="1340"/>
        <w:gridCol w:w="1340"/>
      </w:tblGrid>
      <w:tr w:rsidR="00335312" w:rsidRPr="00DC53B4" w14:paraId="3148091E" w14:textId="77777777" w:rsidTr="002A21C0">
        <w:trPr>
          <w:trHeight w:val="300"/>
        </w:trPr>
        <w:tc>
          <w:tcPr>
            <w:tcW w:w="2980" w:type="dxa"/>
            <w:tcBorders>
              <w:top w:val="single" w:sz="8" w:space="0" w:color="A6A6A6"/>
              <w:left w:val="single" w:sz="8" w:space="0" w:color="A6A6A6"/>
              <w:bottom w:val="single" w:sz="8" w:space="0" w:color="A6A6A6"/>
              <w:right w:val="single" w:sz="8" w:space="0" w:color="A6A6A6"/>
            </w:tcBorders>
            <w:shd w:val="clear" w:color="000000" w:fill="A5C34C"/>
            <w:noWrap/>
            <w:vAlign w:val="center"/>
            <w:hideMark/>
          </w:tcPr>
          <w:p w14:paraId="59AB6DB5" w14:textId="77777777" w:rsidR="00335312" w:rsidRPr="00DC53B4" w:rsidRDefault="00335312" w:rsidP="002A21C0">
            <w:pPr>
              <w:spacing w:after="0" w:line="240" w:lineRule="auto"/>
              <w:jc w:val="left"/>
              <w:rPr>
                <w:rFonts w:ascii="Calibri" w:eastAsia="Times New Roman" w:hAnsi="Calibri" w:cs="Calibri"/>
                <w:b/>
                <w:bCs/>
                <w:color w:val="000000"/>
              </w:rPr>
            </w:pPr>
            <w:r w:rsidRPr="00DC53B4">
              <w:rPr>
                <w:rFonts w:ascii="Calibri" w:eastAsia="Times New Roman" w:hAnsi="Calibri" w:cs="Calibri"/>
                <w:b/>
                <w:bCs/>
                <w:color w:val="000000"/>
              </w:rPr>
              <w:t>Valori</w:t>
            </w:r>
          </w:p>
        </w:tc>
        <w:tc>
          <w:tcPr>
            <w:tcW w:w="2120" w:type="dxa"/>
            <w:tcBorders>
              <w:top w:val="single" w:sz="8" w:space="0" w:color="A6A6A6"/>
              <w:left w:val="nil"/>
              <w:bottom w:val="single" w:sz="8" w:space="0" w:color="A6A6A6"/>
              <w:right w:val="single" w:sz="8" w:space="0" w:color="A6A6A6"/>
            </w:tcBorders>
            <w:shd w:val="clear" w:color="000000" w:fill="A5C34C"/>
            <w:noWrap/>
            <w:vAlign w:val="center"/>
            <w:hideMark/>
          </w:tcPr>
          <w:p w14:paraId="209CA148" w14:textId="77777777" w:rsidR="00335312" w:rsidRPr="00DC53B4" w:rsidRDefault="00335312" w:rsidP="002A21C0">
            <w:pPr>
              <w:spacing w:after="0" w:line="240" w:lineRule="auto"/>
              <w:jc w:val="center"/>
              <w:rPr>
                <w:rFonts w:ascii="Calibri" w:eastAsia="Times New Roman" w:hAnsi="Calibri" w:cs="Calibri"/>
                <w:b/>
                <w:bCs/>
                <w:color w:val="000000"/>
              </w:rPr>
            </w:pPr>
            <w:r w:rsidRPr="00DC53B4">
              <w:rPr>
                <w:rFonts w:ascii="Calibri" w:eastAsia="Times New Roman" w:hAnsi="Calibri" w:cs="Calibri"/>
                <w:b/>
                <w:bCs/>
                <w:color w:val="000000"/>
              </w:rPr>
              <w:t>Fonte</w:t>
            </w:r>
          </w:p>
        </w:tc>
        <w:tc>
          <w:tcPr>
            <w:tcW w:w="1340" w:type="dxa"/>
            <w:tcBorders>
              <w:top w:val="single" w:sz="8" w:space="0" w:color="A6A6A6"/>
              <w:left w:val="nil"/>
              <w:bottom w:val="single" w:sz="8" w:space="0" w:color="A6A6A6"/>
              <w:right w:val="single" w:sz="8" w:space="0" w:color="A6A6A6"/>
            </w:tcBorders>
            <w:shd w:val="clear" w:color="000000" w:fill="A5C34C"/>
            <w:noWrap/>
            <w:vAlign w:val="center"/>
            <w:hideMark/>
          </w:tcPr>
          <w:p w14:paraId="33E4098B" w14:textId="77777777" w:rsidR="00335312" w:rsidRPr="00DC53B4" w:rsidRDefault="00335312" w:rsidP="002A21C0">
            <w:pPr>
              <w:spacing w:after="0" w:line="240" w:lineRule="auto"/>
              <w:jc w:val="center"/>
              <w:rPr>
                <w:rFonts w:ascii="Calibri" w:eastAsia="Times New Roman" w:hAnsi="Calibri" w:cs="Calibri"/>
                <w:b/>
                <w:bCs/>
                <w:color w:val="000000"/>
              </w:rPr>
            </w:pPr>
            <w:r w:rsidRPr="00DC53B4">
              <w:rPr>
                <w:rFonts w:ascii="Calibri" w:eastAsia="Times New Roman" w:hAnsi="Calibri" w:cs="Calibri"/>
                <w:b/>
                <w:bCs/>
                <w:color w:val="000000"/>
              </w:rPr>
              <w:t>2021</w:t>
            </w:r>
          </w:p>
        </w:tc>
        <w:tc>
          <w:tcPr>
            <w:tcW w:w="1340" w:type="dxa"/>
            <w:tcBorders>
              <w:top w:val="single" w:sz="8" w:space="0" w:color="A6A6A6"/>
              <w:left w:val="nil"/>
              <w:bottom w:val="single" w:sz="8" w:space="0" w:color="A6A6A6"/>
              <w:right w:val="single" w:sz="8" w:space="0" w:color="A6A6A6"/>
            </w:tcBorders>
            <w:shd w:val="clear" w:color="000000" w:fill="A5C34C"/>
            <w:noWrap/>
            <w:vAlign w:val="center"/>
            <w:hideMark/>
          </w:tcPr>
          <w:p w14:paraId="4E4EF0C9" w14:textId="77777777" w:rsidR="00335312" w:rsidRPr="00DC53B4" w:rsidRDefault="00335312" w:rsidP="002A21C0">
            <w:pPr>
              <w:spacing w:after="0" w:line="240" w:lineRule="auto"/>
              <w:jc w:val="center"/>
              <w:rPr>
                <w:rFonts w:ascii="Calibri" w:eastAsia="Times New Roman" w:hAnsi="Calibri" w:cs="Calibri"/>
                <w:b/>
                <w:bCs/>
                <w:color w:val="000000"/>
              </w:rPr>
            </w:pPr>
            <w:r w:rsidRPr="00DC53B4">
              <w:rPr>
                <w:rFonts w:ascii="Calibri" w:eastAsia="Times New Roman" w:hAnsi="Calibri" w:cs="Calibri"/>
                <w:b/>
                <w:bCs/>
                <w:color w:val="000000"/>
              </w:rPr>
              <w:t>2022</w:t>
            </w:r>
          </w:p>
        </w:tc>
        <w:tc>
          <w:tcPr>
            <w:tcW w:w="1340" w:type="dxa"/>
            <w:tcBorders>
              <w:top w:val="single" w:sz="8" w:space="0" w:color="A6A6A6"/>
              <w:left w:val="nil"/>
              <w:bottom w:val="single" w:sz="8" w:space="0" w:color="A6A6A6"/>
              <w:right w:val="single" w:sz="8" w:space="0" w:color="A6A6A6"/>
            </w:tcBorders>
            <w:shd w:val="clear" w:color="000000" w:fill="A5C34C"/>
            <w:noWrap/>
            <w:vAlign w:val="center"/>
            <w:hideMark/>
          </w:tcPr>
          <w:p w14:paraId="45784050" w14:textId="77777777" w:rsidR="00335312" w:rsidRPr="00DC53B4" w:rsidRDefault="00335312" w:rsidP="002A21C0">
            <w:pPr>
              <w:spacing w:after="0" w:line="240" w:lineRule="auto"/>
              <w:jc w:val="center"/>
              <w:rPr>
                <w:rFonts w:ascii="Calibri" w:eastAsia="Times New Roman" w:hAnsi="Calibri" w:cs="Calibri"/>
                <w:b/>
                <w:bCs/>
                <w:color w:val="000000"/>
              </w:rPr>
            </w:pPr>
            <w:r w:rsidRPr="00DC53B4">
              <w:rPr>
                <w:rFonts w:ascii="Calibri" w:eastAsia="Times New Roman" w:hAnsi="Calibri" w:cs="Calibri"/>
                <w:b/>
                <w:bCs/>
                <w:color w:val="000000"/>
              </w:rPr>
              <w:t>2023</w:t>
            </w:r>
          </w:p>
        </w:tc>
      </w:tr>
      <w:tr w:rsidR="00335312" w:rsidRPr="00DC53B4" w14:paraId="1194B842"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33928563"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Produzione chilometrica</w:t>
            </w:r>
          </w:p>
        </w:tc>
        <w:tc>
          <w:tcPr>
            <w:tcW w:w="2120" w:type="dxa"/>
            <w:tcBorders>
              <w:top w:val="nil"/>
              <w:left w:val="nil"/>
              <w:bottom w:val="single" w:sz="8" w:space="0" w:color="A6A6A6"/>
              <w:right w:val="single" w:sz="8" w:space="0" w:color="A6A6A6"/>
            </w:tcBorders>
            <w:noWrap/>
            <w:vAlign w:val="center"/>
            <w:hideMark/>
          </w:tcPr>
          <w:p w14:paraId="1713F75E" w14:textId="77777777" w:rsidR="00335312" w:rsidRPr="00DC53B4" w:rsidRDefault="00335312" w:rsidP="002A21C0">
            <w:pPr>
              <w:spacing w:after="0" w:line="240" w:lineRule="auto"/>
              <w:jc w:val="left"/>
              <w:rPr>
                <w:rFonts w:ascii="Calibri" w:eastAsia="Times New Roman" w:hAnsi="Calibri" w:cs="Calibri"/>
              </w:rPr>
            </w:pPr>
            <w:r w:rsidRPr="00DC53B4">
              <w:rPr>
                <w:rFonts w:ascii="Calibri" w:eastAsia="Times New Roman" w:hAnsi="Calibri" w:cs="Calibri"/>
              </w:rPr>
              <w:t> </w:t>
            </w:r>
          </w:p>
        </w:tc>
        <w:tc>
          <w:tcPr>
            <w:tcW w:w="1340" w:type="dxa"/>
            <w:tcBorders>
              <w:top w:val="nil"/>
              <w:left w:val="nil"/>
              <w:bottom w:val="single" w:sz="8" w:space="0" w:color="A6A6A6"/>
              <w:right w:val="single" w:sz="8" w:space="0" w:color="A6A6A6"/>
            </w:tcBorders>
            <w:noWrap/>
            <w:vAlign w:val="center"/>
            <w:hideMark/>
          </w:tcPr>
          <w:p w14:paraId="740580CD"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13.085.875</w:t>
            </w:r>
          </w:p>
        </w:tc>
        <w:tc>
          <w:tcPr>
            <w:tcW w:w="1340" w:type="dxa"/>
            <w:tcBorders>
              <w:top w:val="nil"/>
              <w:left w:val="nil"/>
              <w:bottom w:val="single" w:sz="8" w:space="0" w:color="A6A6A6"/>
              <w:right w:val="single" w:sz="8" w:space="0" w:color="A6A6A6"/>
            </w:tcBorders>
            <w:noWrap/>
            <w:vAlign w:val="center"/>
            <w:hideMark/>
          </w:tcPr>
          <w:p w14:paraId="122B2665"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13.093.707</w:t>
            </w:r>
          </w:p>
        </w:tc>
        <w:tc>
          <w:tcPr>
            <w:tcW w:w="1340" w:type="dxa"/>
            <w:tcBorders>
              <w:top w:val="nil"/>
              <w:left w:val="nil"/>
              <w:bottom w:val="single" w:sz="8" w:space="0" w:color="A6A6A6"/>
              <w:right w:val="single" w:sz="8" w:space="0" w:color="A6A6A6"/>
            </w:tcBorders>
            <w:noWrap/>
            <w:vAlign w:val="center"/>
            <w:hideMark/>
          </w:tcPr>
          <w:p w14:paraId="1C6CB627"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13.077.452</w:t>
            </w:r>
          </w:p>
        </w:tc>
      </w:tr>
      <w:tr w:rsidR="00335312" w:rsidRPr="00DC53B4" w14:paraId="0CB5077B"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116D7766"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Numero corse effettuate</w:t>
            </w:r>
          </w:p>
        </w:tc>
        <w:tc>
          <w:tcPr>
            <w:tcW w:w="2120" w:type="dxa"/>
            <w:tcBorders>
              <w:top w:val="nil"/>
              <w:left w:val="nil"/>
              <w:bottom w:val="single" w:sz="8" w:space="0" w:color="A6A6A6"/>
              <w:right w:val="single" w:sz="8" w:space="0" w:color="A6A6A6"/>
            </w:tcBorders>
            <w:noWrap/>
            <w:vAlign w:val="center"/>
            <w:hideMark/>
          </w:tcPr>
          <w:p w14:paraId="2F8A391B"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64BD8B5C"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646.183</w:t>
            </w:r>
          </w:p>
        </w:tc>
        <w:tc>
          <w:tcPr>
            <w:tcW w:w="1340" w:type="dxa"/>
            <w:tcBorders>
              <w:top w:val="nil"/>
              <w:left w:val="nil"/>
              <w:bottom w:val="single" w:sz="8" w:space="0" w:color="A6A6A6"/>
              <w:right w:val="single" w:sz="8" w:space="0" w:color="A6A6A6"/>
            </w:tcBorders>
            <w:noWrap/>
            <w:vAlign w:val="center"/>
            <w:hideMark/>
          </w:tcPr>
          <w:p w14:paraId="56983E5C"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665.214</w:t>
            </w:r>
          </w:p>
        </w:tc>
        <w:tc>
          <w:tcPr>
            <w:tcW w:w="1340" w:type="dxa"/>
            <w:tcBorders>
              <w:top w:val="nil"/>
              <w:left w:val="nil"/>
              <w:bottom w:val="single" w:sz="8" w:space="0" w:color="A6A6A6"/>
              <w:right w:val="single" w:sz="8" w:space="0" w:color="A6A6A6"/>
            </w:tcBorders>
            <w:noWrap/>
            <w:vAlign w:val="center"/>
            <w:hideMark/>
          </w:tcPr>
          <w:p w14:paraId="299D2584"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652.421</w:t>
            </w:r>
          </w:p>
        </w:tc>
      </w:tr>
      <w:tr w:rsidR="00335312" w:rsidRPr="00DC53B4" w14:paraId="6546E0A3"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17ECBAF3"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lunghezza media corse</w:t>
            </w:r>
          </w:p>
        </w:tc>
        <w:tc>
          <w:tcPr>
            <w:tcW w:w="2120" w:type="dxa"/>
            <w:tcBorders>
              <w:top w:val="nil"/>
              <w:left w:val="nil"/>
              <w:bottom w:val="single" w:sz="8" w:space="0" w:color="A6A6A6"/>
              <w:right w:val="single" w:sz="8" w:space="0" w:color="A6A6A6"/>
            </w:tcBorders>
            <w:noWrap/>
            <w:vAlign w:val="center"/>
            <w:hideMark/>
          </w:tcPr>
          <w:p w14:paraId="6FCCB7C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1BB2E2F3"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20,3</w:t>
            </w:r>
          </w:p>
        </w:tc>
        <w:tc>
          <w:tcPr>
            <w:tcW w:w="1340" w:type="dxa"/>
            <w:tcBorders>
              <w:top w:val="nil"/>
              <w:left w:val="nil"/>
              <w:bottom w:val="single" w:sz="8" w:space="0" w:color="A6A6A6"/>
              <w:right w:val="single" w:sz="8" w:space="0" w:color="A6A6A6"/>
            </w:tcBorders>
            <w:noWrap/>
            <w:vAlign w:val="center"/>
            <w:hideMark/>
          </w:tcPr>
          <w:p w14:paraId="38B94AC9"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19,7</w:t>
            </w:r>
          </w:p>
        </w:tc>
        <w:tc>
          <w:tcPr>
            <w:tcW w:w="1340" w:type="dxa"/>
            <w:tcBorders>
              <w:top w:val="nil"/>
              <w:left w:val="nil"/>
              <w:bottom w:val="single" w:sz="8" w:space="0" w:color="A6A6A6"/>
              <w:right w:val="single" w:sz="8" w:space="0" w:color="A6A6A6"/>
            </w:tcBorders>
            <w:noWrap/>
            <w:vAlign w:val="center"/>
            <w:hideMark/>
          </w:tcPr>
          <w:p w14:paraId="3776D7F0"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20,0</w:t>
            </w:r>
          </w:p>
        </w:tc>
      </w:tr>
      <w:tr w:rsidR="00335312" w:rsidRPr="00DC53B4" w14:paraId="4069678C"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6B24ADDF"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capacità media unitaria veicoli</w:t>
            </w:r>
          </w:p>
        </w:tc>
        <w:tc>
          <w:tcPr>
            <w:tcW w:w="2120" w:type="dxa"/>
            <w:tcBorders>
              <w:top w:val="nil"/>
              <w:left w:val="nil"/>
              <w:bottom w:val="single" w:sz="8" w:space="0" w:color="A6A6A6"/>
              <w:right w:val="single" w:sz="8" w:space="0" w:color="A6A6A6"/>
            </w:tcBorders>
            <w:noWrap/>
            <w:vAlign w:val="center"/>
            <w:hideMark/>
          </w:tcPr>
          <w:p w14:paraId="792F29FC"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Costi standard ONTPL</w:t>
            </w:r>
          </w:p>
        </w:tc>
        <w:tc>
          <w:tcPr>
            <w:tcW w:w="1340" w:type="dxa"/>
            <w:tcBorders>
              <w:top w:val="nil"/>
              <w:left w:val="nil"/>
              <w:bottom w:val="single" w:sz="8" w:space="0" w:color="A6A6A6"/>
              <w:right w:val="single" w:sz="8" w:space="0" w:color="A6A6A6"/>
            </w:tcBorders>
            <w:noWrap/>
            <w:vAlign w:val="center"/>
            <w:hideMark/>
          </w:tcPr>
          <w:p w14:paraId="216AB0FE"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52,4</w:t>
            </w:r>
          </w:p>
        </w:tc>
        <w:tc>
          <w:tcPr>
            <w:tcW w:w="1340" w:type="dxa"/>
            <w:tcBorders>
              <w:top w:val="nil"/>
              <w:left w:val="nil"/>
              <w:bottom w:val="single" w:sz="8" w:space="0" w:color="A6A6A6"/>
              <w:right w:val="single" w:sz="8" w:space="0" w:color="A6A6A6"/>
            </w:tcBorders>
            <w:noWrap/>
            <w:vAlign w:val="center"/>
            <w:hideMark/>
          </w:tcPr>
          <w:p w14:paraId="1514D146"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56,7</w:t>
            </w:r>
          </w:p>
        </w:tc>
        <w:tc>
          <w:tcPr>
            <w:tcW w:w="1340" w:type="dxa"/>
            <w:tcBorders>
              <w:top w:val="nil"/>
              <w:left w:val="nil"/>
              <w:bottom w:val="single" w:sz="8" w:space="0" w:color="A6A6A6"/>
              <w:right w:val="single" w:sz="8" w:space="0" w:color="A6A6A6"/>
            </w:tcBorders>
            <w:noWrap/>
            <w:vAlign w:val="center"/>
            <w:hideMark/>
          </w:tcPr>
          <w:p w14:paraId="5AAD2B77"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55,4</w:t>
            </w:r>
          </w:p>
        </w:tc>
      </w:tr>
      <w:tr w:rsidR="00335312" w:rsidRPr="00DC53B4" w14:paraId="64765C63"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26B62E3E"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Offerta (Posti*Km)</w:t>
            </w:r>
          </w:p>
        </w:tc>
        <w:tc>
          <w:tcPr>
            <w:tcW w:w="2120" w:type="dxa"/>
            <w:tcBorders>
              <w:top w:val="nil"/>
              <w:left w:val="nil"/>
              <w:bottom w:val="single" w:sz="8" w:space="0" w:color="A6A6A6"/>
              <w:right w:val="single" w:sz="8" w:space="0" w:color="A6A6A6"/>
            </w:tcBorders>
            <w:noWrap/>
            <w:vAlign w:val="center"/>
            <w:hideMark/>
          </w:tcPr>
          <w:p w14:paraId="3618C5D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Costi standard ONTPL</w:t>
            </w:r>
          </w:p>
        </w:tc>
        <w:tc>
          <w:tcPr>
            <w:tcW w:w="1340" w:type="dxa"/>
            <w:tcBorders>
              <w:top w:val="nil"/>
              <w:left w:val="nil"/>
              <w:bottom w:val="single" w:sz="8" w:space="0" w:color="A6A6A6"/>
              <w:right w:val="single" w:sz="8" w:space="0" w:color="A6A6A6"/>
            </w:tcBorders>
            <w:noWrap/>
            <w:vAlign w:val="center"/>
            <w:hideMark/>
          </w:tcPr>
          <w:p w14:paraId="6F6A56E4"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685.899.834</w:t>
            </w:r>
          </w:p>
        </w:tc>
        <w:tc>
          <w:tcPr>
            <w:tcW w:w="1340" w:type="dxa"/>
            <w:tcBorders>
              <w:top w:val="nil"/>
              <w:left w:val="nil"/>
              <w:bottom w:val="single" w:sz="8" w:space="0" w:color="A6A6A6"/>
              <w:right w:val="single" w:sz="8" w:space="0" w:color="A6A6A6"/>
            </w:tcBorders>
            <w:noWrap/>
            <w:vAlign w:val="center"/>
            <w:hideMark/>
          </w:tcPr>
          <w:p w14:paraId="5D9452DA"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741.797.529</w:t>
            </w:r>
          </w:p>
        </w:tc>
        <w:tc>
          <w:tcPr>
            <w:tcW w:w="1340" w:type="dxa"/>
            <w:tcBorders>
              <w:top w:val="nil"/>
              <w:left w:val="nil"/>
              <w:bottom w:val="single" w:sz="8" w:space="0" w:color="A6A6A6"/>
              <w:right w:val="single" w:sz="8" w:space="0" w:color="A6A6A6"/>
            </w:tcBorders>
            <w:noWrap/>
            <w:vAlign w:val="center"/>
            <w:hideMark/>
          </w:tcPr>
          <w:p w14:paraId="1E3B4FF0"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725.141.899</w:t>
            </w:r>
          </w:p>
        </w:tc>
      </w:tr>
      <w:tr w:rsidR="00335312" w:rsidRPr="00DC53B4" w14:paraId="0AB3F51E"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2BC336A1"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Ricavi totali</w:t>
            </w:r>
          </w:p>
        </w:tc>
        <w:tc>
          <w:tcPr>
            <w:tcW w:w="2120" w:type="dxa"/>
            <w:tcBorders>
              <w:top w:val="nil"/>
              <w:left w:val="nil"/>
              <w:bottom w:val="single" w:sz="8" w:space="0" w:color="A6A6A6"/>
              <w:right w:val="single" w:sz="8" w:space="0" w:color="A6A6A6"/>
            </w:tcBorders>
            <w:noWrap/>
            <w:vAlign w:val="center"/>
            <w:hideMark/>
          </w:tcPr>
          <w:p w14:paraId="7B13913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38B68C79"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6.173.162</w:t>
            </w:r>
          </w:p>
        </w:tc>
        <w:tc>
          <w:tcPr>
            <w:tcW w:w="1340" w:type="dxa"/>
            <w:tcBorders>
              <w:top w:val="nil"/>
              <w:left w:val="nil"/>
              <w:bottom w:val="single" w:sz="8" w:space="0" w:color="A6A6A6"/>
              <w:right w:val="single" w:sz="8" w:space="0" w:color="A6A6A6"/>
            </w:tcBorders>
            <w:noWrap/>
            <w:vAlign w:val="center"/>
            <w:hideMark/>
          </w:tcPr>
          <w:p w14:paraId="4E37DF4A"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8.502.956</w:t>
            </w:r>
          </w:p>
        </w:tc>
        <w:tc>
          <w:tcPr>
            <w:tcW w:w="1340" w:type="dxa"/>
            <w:tcBorders>
              <w:top w:val="nil"/>
              <w:left w:val="nil"/>
              <w:bottom w:val="single" w:sz="8" w:space="0" w:color="A6A6A6"/>
              <w:right w:val="single" w:sz="8" w:space="0" w:color="A6A6A6"/>
            </w:tcBorders>
            <w:noWrap/>
            <w:vAlign w:val="center"/>
            <w:hideMark/>
          </w:tcPr>
          <w:p w14:paraId="507DF1D9"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9.686.745</w:t>
            </w:r>
          </w:p>
        </w:tc>
      </w:tr>
      <w:tr w:rsidR="00335312" w:rsidRPr="00DC53B4" w14:paraId="7B735F80"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34CF26DD" w14:textId="77777777" w:rsidR="00335312" w:rsidRPr="00DC53B4" w:rsidRDefault="00335312" w:rsidP="002A21C0">
            <w:pPr>
              <w:spacing w:after="0" w:line="240" w:lineRule="auto"/>
              <w:jc w:val="left"/>
              <w:rPr>
                <w:rFonts w:ascii="Calibri" w:eastAsia="Times New Roman" w:hAnsi="Calibri" w:cs="Calibri"/>
                <w:i/>
                <w:iCs/>
                <w:sz w:val="20"/>
                <w:szCs w:val="20"/>
              </w:rPr>
            </w:pPr>
            <w:r w:rsidRPr="00DC53B4">
              <w:rPr>
                <w:rFonts w:ascii="Calibri" w:eastAsia="Times New Roman" w:hAnsi="Calibri" w:cs="Calibri"/>
                <w:i/>
                <w:iCs/>
                <w:sz w:val="20"/>
                <w:szCs w:val="20"/>
              </w:rPr>
              <w:t xml:space="preserve"> di cui Ricavi da traffico</w:t>
            </w:r>
          </w:p>
        </w:tc>
        <w:tc>
          <w:tcPr>
            <w:tcW w:w="2120" w:type="dxa"/>
            <w:tcBorders>
              <w:top w:val="nil"/>
              <w:left w:val="nil"/>
              <w:bottom w:val="single" w:sz="8" w:space="0" w:color="A6A6A6"/>
              <w:right w:val="single" w:sz="8" w:space="0" w:color="A6A6A6"/>
            </w:tcBorders>
            <w:noWrap/>
            <w:vAlign w:val="center"/>
            <w:hideMark/>
          </w:tcPr>
          <w:p w14:paraId="0A12B126" w14:textId="77777777" w:rsidR="00335312" w:rsidRPr="00DC53B4" w:rsidRDefault="00335312" w:rsidP="002A21C0">
            <w:pPr>
              <w:spacing w:after="0" w:line="240" w:lineRule="auto"/>
              <w:jc w:val="left"/>
              <w:rPr>
                <w:rFonts w:ascii="Calibri" w:eastAsia="Times New Roman" w:hAnsi="Calibri" w:cs="Calibri"/>
                <w:i/>
                <w:iCs/>
                <w:sz w:val="20"/>
                <w:szCs w:val="20"/>
              </w:rPr>
            </w:pPr>
            <w:r w:rsidRPr="00DC53B4">
              <w:rPr>
                <w:rFonts w:ascii="Calibri" w:eastAsia="Times New Roman" w:hAnsi="Calibri" w:cs="Calibri"/>
                <w:i/>
                <w:iCs/>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0A22AF83" w14:textId="77777777" w:rsidR="00335312" w:rsidRPr="00DC53B4" w:rsidRDefault="00335312" w:rsidP="002A21C0">
            <w:pPr>
              <w:spacing w:after="0" w:line="240" w:lineRule="auto"/>
              <w:jc w:val="right"/>
              <w:rPr>
                <w:rFonts w:ascii="Calibri" w:eastAsia="Times New Roman" w:hAnsi="Calibri" w:cs="Calibri"/>
                <w:i/>
                <w:iCs/>
                <w:sz w:val="20"/>
                <w:szCs w:val="20"/>
              </w:rPr>
            </w:pPr>
            <w:r w:rsidRPr="00DC53B4">
              <w:rPr>
                <w:rFonts w:ascii="Calibri" w:eastAsia="Times New Roman" w:hAnsi="Calibri" w:cs="Calibri"/>
                <w:i/>
                <w:iCs/>
                <w:sz w:val="20"/>
                <w:szCs w:val="20"/>
              </w:rPr>
              <w:t>5.130.163</w:t>
            </w:r>
          </w:p>
        </w:tc>
        <w:tc>
          <w:tcPr>
            <w:tcW w:w="1340" w:type="dxa"/>
            <w:tcBorders>
              <w:top w:val="nil"/>
              <w:left w:val="nil"/>
              <w:bottom w:val="single" w:sz="8" w:space="0" w:color="A6A6A6"/>
              <w:right w:val="single" w:sz="8" w:space="0" w:color="A6A6A6"/>
            </w:tcBorders>
            <w:noWrap/>
            <w:vAlign w:val="center"/>
            <w:hideMark/>
          </w:tcPr>
          <w:p w14:paraId="6FB3EA9C" w14:textId="77777777" w:rsidR="00335312" w:rsidRPr="00DC53B4" w:rsidRDefault="00335312" w:rsidP="002A21C0">
            <w:pPr>
              <w:spacing w:after="0" w:line="240" w:lineRule="auto"/>
              <w:jc w:val="right"/>
              <w:rPr>
                <w:rFonts w:ascii="Calibri" w:eastAsia="Times New Roman" w:hAnsi="Calibri" w:cs="Calibri"/>
                <w:i/>
                <w:iCs/>
                <w:sz w:val="20"/>
                <w:szCs w:val="20"/>
              </w:rPr>
            </w:pPr>
            <w:r w:rsidRPr="00DC53B4">
              <w:rPr>
                <w:rFonts w:ascii="Calibri" w:eastAsia="Times New Roman" w:hAnsi="Calibri" w:cs="Calibri"/>
                <w:i/>
                <w:iCs/>
                <w:sz w:val="20"/>
                <w:szCs w:val="20"/>
              </w:rPr>
              <w:t>7.387.303</w:t>
            </w:r>
          </w:p>
        </w:tc>
        <w:tc>
          <w:tcPr>
            <w:tcW w:w="1340" w:type="dxa"/>
            <w:tcBorders>
              <w:top w:val="nil"/>
              <w:left w:val="nil"/>
              <w:bottom w:val="single" w:sz="8" w:space="0" w:color="A6A6A6"/>
              <w:right w:val="single" w:sz="8" w:space="0" w:color="A6A6A6"/>
            </w:tcBorders>
            <w:noWrap/>
            <w:vAlign w:val="center"/>
            <w:hideMark/>
          </w:tcPr>
          <w:p w14:paraId="643C6173" w14:textId="77777777" w:rsidR="00335312" w:rsidRPr="00DC53B4" w:rsidRDefault="00335312" w:rsidP="002A21C0">
            <w:pPr>
              <w:spacing w:after="0" w:line="240" w:lineRule="auto"/>
              <w:jc w:val="right"/>
              <w:rPr>
                <w:rFonts w:ascii="Calibri" w:eastAsia="Times New Roman" w:hAnsi="Calibri" w:cs="Calibri"/>
                <w:i/>
                <w:iCs/>
                <w:sz w:val="20"/>
                <w:szCs w:val="20"/>
              </w:rPr>
            </w:pPr>
            <w:r w:rsidRPr="00DC53B4">
              <w:rPr>
                <w:rFonts w:ascii="Calibri" w:eastAsia="Times New Roman" w:hAnsi="Calibri" w:cs="Calibri"/>
                <w:i/>
                <w:iCs/>
                <w:sz w:val="20"/>
                <w:szCs w:val="20"/>
              </w:rPr>
              <w:t>8.445.660</w:t>
            </w:r>
          </w:p>
        </w:tc>
      </w:tr>
      <w:tr w:rsidR="00335312" w:rsidRPr="00DC53B4" w14:paraId="007F42FC"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1423B2D4"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Compensazioni o Corrispettivi</w:t>
            </w:r>
          </w:p>
        </w:tc>
        <w:tc>
          <w:tcPr>
            <w:tcW w:w="2120" w:type="dxa"/>
            <w:tcBorders>
              <w:top w:val="nil"/>
              <w:left w:val="nil"/>
              <w:bottom w:val="single" w:sz="8" w:space="0" w:color="A6A6A6"/>
              <w:right w:val="single" w:sz="8" w:space="0" w:color="A6A6A6"/>
            </w:tcBorders>
            <w:noWrap/>
            <w:vAlign w:val="center"/>
            <w:hideMark/>
          </w:tcPr>
          <w:p w14:paraId="38903646"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0F7EEB4E"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23.690.145</w:t>
            </w:r>
          </w:p>
        </w:tc>
        <w:tc>
          <w:tcPr>
            <w:tcW w:w="1340" w:type="dxa"/>
            <w:tcBorders>
              <w:top w:val="nil"/>
              <w:left w:val="nil"/>
              <w:bottom w:val="single" w:sz="8" w:space="0" w:color="A6A6A6"/>
              <w:right w:val="single" w:sz="8" w:space="0" w:color="A6A6A6"/>
            </w:tcBorders>
            <w:noWrap/>
            <w:vAlign w:val="center"/>
            <w:hideMark/>
          </w:tcPr>
          <w:p w14:paraId="1315DAF1"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23.117.569</w:t>
            </w:r>
          </w:p>
        </w:tc>
        <w:tc>
          <w:tcPr>
            <w:tcW w:w="1340" w:type="dxa"/>
            <w:tcBorders>
              <w:top w:val="nil"/>
              <w:left w:val="nil"/>
              <w:bottom w:val="single" w:sz="8" w:space="0" w:color="A6A6A6"/>
              <w:right w:val="single" w:sz="8" w:space="0" w:color="A6A6A6"/>
            </w:tcBorders>
            <w:noWrap/>
            <w:vAlign w:val="center"/>
            <w:hideMark/>
          </w:tcPr>
          <w:p w14:paraId="487D0D97"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26.508.225</w:t>
            </w:r>
          </w:p>
        </w:tc>
      </w:tr>
      <w:tr w:rsidR="00335312" w:rsidRPr="00DC53B4" w14:paraId="14865B33"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2D396AF4"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Costo Infrastruttura</w:t>
            </w:r>
          </w:p>
        </w:tc>
        <w:tc>
          <w:tcPr>
            <w:tcW w:w="2120" w:type="dxa"/>
            <w:tcBorders>
              <w:top w:val="nil"/>
              <w:left w:val="nil"/>
              <w:bottom w:val="single" w:sz="8" w:space="0" w:color="A6A6A6"/>
              <w:right w:val="single" w:sz="8" w:space="0" w:color="A6A6A6"/>
            </w:tcBorders>
            <w:noWrap/>
            <w:vAlign w:val="center"/>
            <w:hideMark/>
          </w:tcPr>
          <w:p w14:paraId="0EC8EF5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4D9242F1"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56.493</w:t>
            </w:r>
          </w:p>
        </w:tc>
        <w:tc>
          <w:tcPr>
            <w:tcW w:w="1340" w:type="dxa"/>
            <w:tcBorders>
              <w:top w:val="nil"/>
              <w:left w:val="nil"/>
              <w:bottom w:val="single" w:sz="8" w:space="0" w:color="A6A6A6"/>
              <w:right w:val="single" w:sz="8" w:space="0" w:color="A6A6A6"/>
            </w:tcBorders>
            <w:noWrap/>
            <w:vAlign w:val="center"/>
            <w:hideMark/>
          </w:tcPr>
          <w:p w14:paraId="7F1EFC70"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41.660</w:t>
            </w:r>
          </w:p>
        </w:tc>
        <w:tc>
          <w:tcPr>
            <w:tcW w:w="1340" w:type="dxa"/>
            <w:tcBorders>
              <w:top w:val="nil"/>
              <w:left w:val="nil"/>
              <w:bottom w:val="single" w:sz="8" w:space="0" w:color="A6A6A6"/>
              <w:right w:val="single" w:sz="8" w:space="0" w:color="A6A6A6"/>
            </w:tcBorders>
            <w:noWrap/>
            <w:vAlign w:val="center"/>
            <w:hideMark/>
          </w:tcPr>
          <w:p w14:paraId="62C757F6"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53.003</w:t>
            </w:r>
          </w:p>
        </w:tc>
      </w:tr>
      <w:tr w:rsidR="00335312" w:rsidRPr="00DC53B4" w14:paraId="123BFFFB"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01657D69"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Passeggeri trasportati</w:t>
            </w:r>
          </w:p>
        </w:tc>
        <w:tc>
          <w:tcPr>
            <w:tcW w:w="2120" w:type="dxa"/>
            <w:tcBorders>
              <w:top w:val="nil"/>
              <w:left w:val="nil"/>
              <w:bottom w:val="single" w:sz="8" w:space="0" w:color="A6A6A6"/>
              <w:right w:val="single" w:sz="8" w:space="0" w:color="A6A6A6"/>
            </w:tcBorders>
            <w:noWrap/>
            <w:vAlign w:val="center"/>
            <w:hideMark/>
          </w:tcPr>
          <w:p w14:paraId="2D88DC5E"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767AD6F7"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6.028.596</w:t>
            </w:r>
          </w:p>
        </w:tc>
        <w:tc>
          <w:tcPr>
            <w:tcW w:w="1340" w:type="dxa"/>
            <w:tcBorders>
              <w:top w:val="nil"/>
              <w:left w:val="nil"/>
              <w:bottom w:val="single" w:sz="8" w:space="0" w:color="A6A6A6"/>
              <w:right w:val="single" w:sz="8" w:space="0" w:color="A6A6A6"/>
            </w:tcBorders>
            <w:noWrap/>
            <w:vAlign w:val="center"/>
            <w:hideMark/>
          </w:tcPr>
          <w:p w14:paraId="6195BEBF"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8.678.759</w:t>
            </w:r>
          </w:p>
        </w:tc>
        <w:tc>
          <w:tcPr>
            <w:tcW w:w="1340" w:type="dxa"/>
            <w:tcBorders>
              <w:top w:val="nil"/>
              <w:left w:val="nil"/>
              <w:bottom w:val="single" w:sz="8" w:space="0" w:color="A6A6A6"/>
              <w:right w:val="single" w:sz="8" w:space="0" w:color="A6A6A6"/>
            </w:tcBorders>
            <w:noWrap/>
            <w:vAlign w:val="center"/>
            <w:hideMark/>
          </w:tcPr>
          <w:p w14:paraId="48C3951B"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9.962.642</w:t>
            </w:r>
          </w:p>
        </w:tc>
      </w:tr>
      <w:tr w:rsidR="00335312" w:rsidRPr="00DC53B4" w14:paraId="2B1DC0B6" w14:textId="77777777" w:rsidTr="002A21C0">
        <w:trPr>
          <w:trHeight w:val="564"/>
        </w:trPr>
        <w:tc>
          <w:tcPr>
            <w:tcW w:w="2980" w:type="dxa"/>
            <w:tcBorders>
              <w:top w:val="nil"/>
              <w:left w:val="single" w:sz="8" w:space="0" w:color="A6A6A6"/>
              <w:bottom w:val="single" w:sz="8" w:space="0" w:color="A6A6A6"/>
              <w:right w:val="single" w:sz="8" w:space="0" w:color="A6A6A6"/>
            </w:tcBorders>
            <w:vAlign w:val="center"/>
            <w:hideMark/>
          </w:tcPr>
          <w:p w14:paraId="22D80B7D"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Lunghezza media convenzionale di viaggio (lungh. Media corse/2)</w:t>
            </w:r>
          </w:p>
        </w:tc>
        <w:tc>
          <w:tcPr>
            <w:tcW w:w="2120" w:type="dxa"/>
            <w:tcBorders>
              <w:top w:val="nil"/>
              <w:left w:val="nil"/>
              <w:bottom w:val="single" w:sz="8" w:space="0" w:color="A6A6A6"/>
              <w:right w:val="single" w:sz="8" w:space="0" w:color="A6A6A6"/>
            </w:tcBorders>
            <w:noWrap/>
            <w:vAlign w:val="center"/>
            <w:hideMark/>
          </w:tcPr>
          <w:p w14:paraId="553D82F1"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33D52ACC"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10,1</w:t>
            </w:r>
          </w:p>
        </w:tc>
        <w:tc>
          <w:tcPr>
            <w:tcW w:w="1340" w:type="dxa"/>
            <w:tcBorders>
              <w:top w:val="nil"/>
              <w:left w:val="nil"/>
              <w:bottom w:val="single" w:sz="8" w:space="0" w:color="A6A6A6"/>
              <w:right w:val="single" w:sz="8" w:space="0" w:color="A6A6A6"/>
            </w:tcBorders>
            <w:noWrap/>
            <w:vAlign w:val="center"/>
            <w:hideMark/>
          </w:tcPr>
          <w:p w14:paraId="13D7A662"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9,8</w:t>
            </w:r>
          </w:p>
        </w:tc>
        <w:tc>
          <w:tcPr>
            <w:tcW w:w="1340" w:type="dxa"/>
            <w:tcBorders>
              <w:top w:val="nil"/>
              <w:left w:val="nil"/>
              <w:bottom w:val="single" w:sz="8" w:space="0" w:color="A6A6A6"/>
              <w:right w:val="single" w:sz="8" w:space="0" w:color="A6A6A6"/>
            </w:tcBorders>
            <w:noWrap/>
            <w:vAlign w:val="center"/>
            <w:hideMark/>
          </w:tcPr>
          <w:p w14:paraId="5316C203"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10</w:t>
            </w:r>
          </w:p>
        </w:tc>
      </w:tr>
      <w:tr w:rsidR="00335312" w:rsidRPr="00DC53B4" w14:paraId="1B91D26F" w14:textId="77777777" w:rsidTr="002A21C0">
        <w:trPr>
          <w:trHeight w:val="564"/>
        </w:trPr>
        <w:tc>
          <w:tcPr>
            <w:tcW w:w="2980" w:type="dxa"/>
            <w:tcBorders>
              <w:top w:val="nil"/>
              <w:left w:val="single" w:sz="8" w:space="0" w:color="A6A6A6"/>
              <w:bottom w:val="single" w:sz="8" w:space="0" w:color="A6A6A6"/>
              <w:right w:val="single" w:sz="8" w:space="0" w:color="A6A6A6"/>
            </w:tcBorders>
            <w:vAlign w:val="center"/>
            <w:hideMark/>
          </w:tcPr>
          <w:p w14:paraId="2F76D4DE"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percorrenze passeggeri 2023 (pax*km/anno)</w:t>
            </w:r>
          </w:p>
        </w:tc>
        <w:tc>
          <w:tcPr>
            <w:tcW w:w="2120" w:type="dxa"/>
            <w:tcBorders>
              <w:top w:val="nil"/>
              <w:left w:val="nil"/>
              <w:bottom w:val="single" w:sz="8" w:space="0" w:color="A6A6A6"/>
              <w:right w:val="single" w:sz="8" w:space="0" w:color="A6A6A6"/>
            </w:tcBorders>
            <w:noWrap/>
            <w:vAlign w:val="center"/>
            <w:hideMark/>
          </w:tcPr>
          <w:p w14:paraId="7CD11ED0"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7D980D6A"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61.042.656</w:t>
            </w:r>
          </w:p>
        </w:tc>
        <w:tc>
          <w:tcPr>
            <w:tcW w:w="1340" w:type="dxa"/>
            <w:tcBorders>
              <w:top w:val="nil"/>
              <w:left w:val="nil"/>
              <w:bottom w:val="single" w:sz="8" w:space="0" w:color="A6A6A6"/>
              <w:right w:val="single" w:sz="8" w:space="0" w:color="A6A6A6"/>
            </w:tcBorders>
            <w:noWrap/>
            <w:vAlign w:val="center"/>
            <w:hideMark/>
          </w:tcPr>
          <w:p w14:paraId="4D47A573"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85.413.963</w:t>
            </w:r>
          </w:p>
        </w:tc>
        <w:tc>
          <w:tcPr>
            <w:tcW w:w="1340" w:type="dxa"/>
            <w:tcBorders>
              <w:top w:val="nil"/>
              <w:left w:val="nil"/>
              <w:bottom w:val="single" w:sz="8" w:space="0" w:color="A6A6A6"/>
              <w:right w:val="single" w:sz="8" w:space="0" w:color="A6A6A6"/>
            </w:tcBorders>
            <w:noWrap/>
            <w:vAlign w:val="center"/>
            <w:hideMark/>
          </w:tcPr>
          <w:p w14:paraId="50A3160D"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99.848.083</w:t>
            </w:r>
          </w:p>
        </w:tc>
      </w:tr>
      <w:tr w:rsidR="00335312" w:rsidRPr="00DC53B4" w14:paraId="49F7A087" w14:textId="77777777" w:rsidTr="002A21C0">
        <w:trPr>
          <w:trHeight w:val="300"/>
        </w:trPr>
        <w:tc>
          <w:tcPr>
            <w:tcW w:w="2980" w:type="dxa"/>
            <w:tcBorders>
              <w:top w:val="nil"/>
              <w:left w:val="single" w:sz="8" w:space="0" w:color="A6A6A6"/>
              <w:bottom w:val="single" w:sz="8" w:space="0" w:color="A6A6A6"/>
              <w:right w:val="single" w:sz="8" w:space="0" w:color="A6A6A6"/>
            </w:tcBorders>
            <w:vAlign w:val="center"/>
            <w:hideMark/>
          </w:tcPr>
          <w:p w14:paraId="44429A68"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Load factor</w:t>
            </w:r>
          </w:p>
        </w:tc>
        <w:tc>
          <w:tcPr>
            <w:tcW w:w="2120" w:type="dxa"/>
            <w:tcBorders>
              <w:top w:val="nil"/>
              <w:left w:val="nil"/>
              <w:bottom w:val="single" w:sz="8" w:space="0" w:color="A6A6A6"/>
              <w:right w:val="single" w:sz="8" w:space="0" w:color="A6A6A6"/>
            </w:tcBorders>
            <w:noWrap/>
            <w:vAlign w:val="center"/>
            <w:hideMark/>
          </w:tcPr>
          <w:p w14:paraId="4A2A567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554395B4"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8,90%</w:t>
            </w:r>
          </w:p>
        </w:tc>
        <w:tc>
          <w:tcPr>
            <w:tcW w:w="1340" w:type="dxa"/>
            <w:tcBorders>
              <w:top w:val="nil"/>
              <w:left w:val="nil"/>
              <w:bottom w:val="single" w:sz="8" w:space="0" w:color="A6A6A6"/>
              <w:right w:val="single" w:sz="8" w:space="0" w:color="A6A6A6"/>
            </w:tcBorders>
            <w:noWrap/>
            <w:vAlign w:val="center"/>
            <w:hideMark/>
          </w:tcPr>
          <w:p w14:paraId="1CD2F402"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11,51%</w:t>
            </w:r>
          </w:p>
        </w:tc>
        <w:tc>
          <w:tcPr>
            <w:tcW w:w="1340" w:type="dxa"/>
            <w:tcBorders>
              <w:top w:val="nil"/>
              <w:left w:val="nil"/>
              <w:bottom w:val="single" w:sz="8" w:space="0" w:color="A6A6A6"/>
              <w:right w:val="single" w:sz="8" w:space="0" w:color="A6A6A6"/>
            </w:tcBorders>
            <w:noWrap/>
            <w:vAlign w:val="center"/>
            <w:hideMark/>
          </w:tcPr>
          <w:p w14:paraId="63E7AD7E"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13,77%</w:t>
            </w:r>
          </w:p>
        </w:tc>
      </w:tr>
      <w:tr w:rsidR="00335312" w:rsidRPr="00DC53B4" w14:paraId="51347423"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3BD6282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Addetti</w:t>
            </w:r>
          </w:p>
        </w:tc>
        <w:tc>
          <w:tcPr>
            <w:tcW w:w="2120" w:type="dxa"/>
            <w:tcBorders>
              <w:top w:val="nil"/>
              <w:left w:val="nil"/>
              <w:bottom w:val="single" w:sz="8" w:space="0" w:color="A6A6A6"/>
              <w:right w:val="single" w:sz="8" w:space="0" w:color="A6A6A6"/>
            </w:tcBorders>
            <w:noWrap/>
            <w:vAlign w:val="center"/>
            <w:hideMark/>
          </w:tcPr>
          <w:p w14:paraId="21CEE9C3"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19EA9AE9"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560</w:t>
            </w:r>
          </w:p>
        </w:tc>
        <w:tc>
          <w:tcPr>
            <w:tcW w:w="1340" w:type="dxa"/>
            <w:tcBorders>
              <w:top w:val="nil"/>
              <w:left w:val="nil"/>
              <w:bottom w:val="single" w:sz="8" w:space="0" w:color="A6A6A6"/>
              <w:right w:val="single" w:sz="8" w:space="0" w:color="A6A6A6"/>
            </w:tcBorders>
            <w:noWrap/>
            <w:vAlign w:val="center"/>
            <w:hideMark/>
          </w:tcPr>
          <w:p w14:paraId="5845918B"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529</w:t>
            </w:r>
          </w:p>
        </w:tc>
        <w:tc>
          <w:tcPr>
            <w:tcW w:w="1340" w:type="dxa"/>
            <w:tcBorders>
              <w:top w:val="nil"/>
              <w:left w:val="nil"/>
              <w:bottom w:val="single" w:sz="8" w:space="0" w:color="A6A6A6"/>
              <w:right w:val="single" w:sz="8" w:space="0" w:color="A6A6A6"/>
            </w:tcBorders>
            <w:noWrap/>
            <w:vAlign w:val="center"/>
            <w:hideMark/>
          </w:tcPr>
          <w:p w14:paraId="7FED6479"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463</w:t>
            </w:r>
          </w:p>
        </w:tc>
      </w:tr>
      <w:tr w:rsidR="00335312" w:rsidRPr="00DC53B4" w14:paraId="4E109E14" w14:textId="77777777" w:rsidTr="002A21C0">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6458380E"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Contributi CCNL</w:t>
            </w:r>
          </w:p>
        </w:tc>
        <w:tc>
          <w:tcPr>
            <w:tcW w:w="2120" w:type="dxa"/>
            <w:tcBorders>
              <w:top w:val="nil"/>
              <w:left w:val="nil"/>
              <w:bottom w:val="single" w:sz="8" w:space="0" w:color="A6A6A6"/>
              <w:right w:val="single" w:sz="8" w:space="0" w:color="A6A6A6"/>
            </w:tcBorders>
            <w:noWrap/>
            <w:vAlign w:val="center"/>
            <w:hideMark/>
          </w:tcPr>
          <w:p w14:paraId="276B6D05" w14:textId="77777777" w:rsidR="00335312" w:rsidRPr="00DC53B4" w:rsidRDefault="00335312" w:rsidP="002A21C0">
            <w:pPr>
              <w:spacing w:after="0" w:line="240" w:lineRule="auto"/>
              <w:jc w:val="left"/>
              <w:rPr>
                <w:rFonts w:ascii="Calibri" w:eastAsia="Times New Roman" w:hAnsi="Calibri" w:cs="Calibri"/>
                <w:sz w:val="20"/>
                <w:szCs w:val="20"/>
              </w:rPr>
            </w:pPr>
            <w:r w:rsidRPr="00DC53B4">
              <w:rPr>
                <w:rFonts w:ascii="Calibri" w:eastAsia="Times New Roman" w:hAnsi="Calibri"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5F421CED"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3.055.560</w:t>
            </w:r>
          </w:p>
        </w:tc>
        <w:tc>
          <w:tcPr>
            <w:tcW w:w="1340" w:type="dxa"/>
            <w:tcBorders>
              <w:top w:val="nil"/>
              <w:left w:val="nil"/>
              <w:bottom w:val="single" w:sz="8" w:space="0" w:color="A6A6A6"/>
              <w:right w:val="single" w:sz="8" w:space="0" w:color="A6A6A6"/>
            </w:tcBorders>
            <w:noWrap/>
            <w:vAlign w:val="center"/>
            <w:hideMark/>
          </w:tcPr>
          <w:p w14:paraId="065C8E36"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2.923.914</w:t>
            </w:r>
          </w:p>
        </w:tc>
        <w:tc>
          <w:tcPr>
            <w:tcW w:w="1340" w:type="dxa"/>
            <w:tcBorders>
              <w:top w:val="nil"/>
              <w:left w:val="nil"/>
              <w:bottom w:val="single" w:sz="8" w:space="0" w:color="A6A6A6"/>
              <w:right w:val="single" w:sz="8" w:space="0" w:color="A6A6A6"/>
            </w:tcBorders>
            <w:noWrap/>
            <w:vAlign w:val="center"/>
            <w:hideMark/>
          </w:tcPr>
          <w:p w14:paraId="27C8667D" w14:textId="77777777" w:rsidR="00335312" w:rsidRPr="00DC53B4" w:rsidRDefault="00335312" w:rsidP="002A21C0">
            <w:pPr>
              <w:spacing w:after="0" w:line="240" w:lineRule="auto"/>
              <w:jc w:val="right"/>
              <w:rPr>
                <w:rFonts w:ascii="Calibri" w:eastAsia="Times New Roman" w:hAnsi="Calibri" w:cs="Calibri"/>
                <w:sz w:val="20"/>
                <w:szCs w:val="20"/>
              </w:rPr>
            </w:pPr>
            <w:r w:rsidRPr="00DC53B4">
              <w:rPr>
                <w:rFonts w:ascii="Calibri" w:eastAsia="Times New Roman" w:hAnsi="Calibri" w:cs="Calibri"/>
                <w:sz w:val="20"/>
                <w:szCs w:val="20"/>
              </w:rPr>
              <w:t>2.637.694</w:t>
            </w:r>
          </w:p>
        </w:tc>
      </w:tr>
    </w:tbl>
    <w:p w14:paraId="6E8D48D8" w14:textId="549D9209" w:rsidR="00335312" w:rsidRPr="00677A61" w:rsidRDefault="00335312" w:rsidP="00335312">
      <w:pPr>
        <w:pStyle w:val="Didascalia"/>
        <w:jc w:val="center"/>
        <w:rPr>
          <w:iCs w:val="0"/>
        </w:rPr>
      </w:pPr>
      <w:bookmarkStart w:id="205" w:name="_Toc188861786"/>
      <w:bookmarkStart w:id="206" w:name="_Toc193195707"/>
      <w:bookmarkStart w:id="207" w:name="_Ref193385894"/>
      <w:bookmarkStart w:id="208" w:name="_Toc247419587"/>
      <w:bookmarkStart w:id="209" w:name="_Toc197695683"/>
      <w:bookmarkStart w:id="210" w:name="_Toc204616496"/>
      <w:r>
        <w:t xml:space="preserve">Tabella </w:t>
      </w:r>
      <w:r>
        <w:fldChar w:fldCharType="begin"/>
      </w:r>
      <w:r>
        <w:instrText xml:space="preserve"> SEQ Tabella \* ARABIC </w:instrText>
      </w:r>
      <w:r>
        <w:fldChar w:fldCharType="separate"/>
      </w:r>
      <w:r w:rsidR="00670903">
        <w:rPr>
          <w:noProof/>
        </w:rPr>
        <w:t>32</w:t>
      </w:r>
      <w:r>
        <w:rPr>
          <w:noProof/>
        </w:rPr>
        <w:fldChar w:fldCharType="end"/>
      </w:r>
      <w:r>
        <w:rPr>
          <w:i w:val="0"/>
        </w:rPr>
        <w:t xml:space="preserve"> </w:t>
      </w:r>
      <w:r w:rsidRPr="00677A61">
        <w:rPr>
          <w:iCs w:val="0"/>
        </w:rPr>
        <w:t>– Quadro dei principali driver di contratto per gli anni 2021-2023</w:t>
      </w:r>
    </w:p>
    <w:p w14:paraId="3D306FAB" w14:textId="77777777" w:rsidR="00335312" w:rsidRDefault="00335312" w:rsidP="00335312">
      <w:pPr>
        <w:spacing w:before="120" w:after="0" w:line="240" w:lineRule="auto"/>
        <w:rPr>
          <w:rFonts w:cs="Times New Roman"/>
        </w:rPr>
      </w:pPr>
      <w:r w:rsidRPr="00DF080F">
        <w:rPr>
          <w:rFonts w:cs="Times New Roman"/>
        </w:rPr>
        <w:t>I valori di load factor sono inferibili a livello di linea solo parametricamente a partire dai dati complessivi di CdS e/o di Azienda in proporzione a driver noti a livello disaggregato. Non sono disponibili valori disaggregati misurati all’origine.</w:t>
      </w:r>
    </w:p>
    <w:p w14:paraId="0638CDDD" w14:textId="77777777" w:rsidR="00335312" w:rsidRDefault="00335312" w:rsidP="00335312">
      <w:pPr>
        <w:spacing w:before="120" w:after="0" w:line="240" w:lineRule="auto"/>
        <w:rPr>
          <w:rFonts w:cs="Times New Roman"/>
        </w:rPr>
      </w:pPr>
      <w:r w:rsidRPr="003D0F69">
        <w:rPr>
          <w:rFonts w:cs="Times New Roman"/>
        </w:rPr>
        <w:t>Per quanto riguarda i passeggeri trasportati, si segnala che i dati sono dichiarati dalle aziende utilizzando il metodo di stima previsto da CNT ed ONTPL. Questo metodo consiste nel moltiplicare il numero di titoli di viaggio venduti per un coefficiente medio di fruizione</w:t>
      </w:r>
      <w:r>
        <w:rPr>
          <w:rFonts w:cs="Times New Roman"/>
        </w:rPr>
        <w:t xml:space="preserve"> (non univocamente definito)</w:t>
      </w:r>
      <w:r w:rsidRPr="003D0F69">
        <w:rPr>
          <w:rFonts w:cs="Times New Roman"/>
        </w:rPr>
        <w:t>.</w:t>
      </w:r>
    </w:p>
    <w:p w14:paraId="4C3E497D" w14:textId="77777777" w:rsidR="00335312" w:rsidRPr="00DC53B4" w:rsidRDefault="00335312" w:rsidP="00335312">
      <w:pPr>
        <w:pStyle w:val="Titolo3"/>
        <w:ind w:left="720"/>
      </w:pPr>
      <w:bookmarkStart w:id="211" w:name="_Toc205213727"/>
      <w:r w:rsidRPr="00DC53B4">
        <w:t>Servizi</w:t>
      </w:r>
      <w:r>
        <w:t xml:space="preserve"> </w:t>
      </w:r>
      <w:r w:rsidRPr="00DC53B4">
        <w:t>in</w:t>
      </w:r>
      <w:r>
        <w:t xml:space="preserve"> </w:t>
      </w:r>
      <w:r w:rsidRPr="00DC53B4">
        <w:t>are</w:t>
      </w:r>
      <w:bookmarkEnd w:id="205"/>
      <w:r>
        <w:t xml:space="preserve">e </w:t>
      </w:r>
      <w:r w:rsidRPr="00DC53B4">
        <w:t>interne</w:t>
      </w:r>
      <w:bookmarkEnd w:id="206"/>
      <w:bookmarkEnd w:id="207"/>
      <w:bookmarkEnd w:id="208"/>
      <w:bookmarkEnd w:id="209"/>
      <w:bookmarkEnd w:id="210"/>
      <w:bookmarkEnd w:id="211"/>
    </w:p>
    <w:p w14:paraId="542246D9" w14:textId="1084D46C" w:rsidR="00335312" w:rsidRPr="0048350A" w:rsidRDefault="00335312" w:rsidP="00335312">
      <w:pPr>
        <w:tabs>
          <w:tab w:val="left" w:pos="6804"/>
        </w:tabs>
        <w:spacing w:before="120" w:after="0" w:line="240" w:lineRule="auto"/>
        <w:rPr>
          <w:rFonts w:cs="Times New Roman"/>
          <w:color w:val="000000" w:themeColor="text1"/>
        </w:rPr>
      </w:pPr>
      <w:r w:rsidRPr="00DC53B4">
        <w:rPr>
          <w:rFonts w:cs="Times New Roman"/>
          <w:color w:val="000000" w:themeColor="text1"/>
        </w:rPr>
        <w:t>Nel Bacino Sud Est, oltre ai servizi dettagliati in, si effettuano altri servizi gestiti o amministrati direttamente da Comuni e Unioni Montane (in economia o tramite Contratti di Servizio in affidamento diretto sottoscritti dall’Ente (cfr. paragrafo 2.2).</w:t>
      </w:r>
      <w:r w:rsidRPr="0048350A">
        <w:rPr>
          <w:rFonts w:cs="Times New Roman"/>
          <w:color w:val="000000" w:themeColor="text1"/>
        </w:rPr>
        <w:t xml:space="preserve"> </w:t>
      </w:r>
    </w:p>
    <w:p w14:paraId="4204CBEC" w14:textId="77777777" w:rsidR="00335312" w:rsidRPr="00C128A7" w:rsidRDefault="00335312" w:rsidP="00335312">
      <w:pPr>
        <w:tabs>
          <w:tab w:val="left" w:pos="6804"/>
        </w:tabs>
        <w:spacing w:before="120" w:after="0" w:line="240" w:lineRule="auto"/>
        <w:rPr>
          <w:rFonts w:cs="Times New Roman"/>
        </w:rPr>
      </w:pPr>
      <w:r w:rsidRPr="00C128A7">
        <w:rPr>
          <w:rFonts w:cs="Times New Roman"/>
        </w:rPr>
        <w:lastRenderedPageBreak/>
        <w:t>La produzione di questi servizi è di circa 1</w:t>
      </w:r>
      <w:r>
        <w:rPr>
          <w:rFonts w:cs="Times New Roman"/>
        </w:rPr>
        <w:t>06</w:t>
      </w:r>
      <w:r w:rsidRPr="00C128A7">
        <w:rPr>
          <w:rFonts w:cs="Times New Roman"/>
        </w:rPr>
        <w:t xml:space="preserve"> mila veicoli-km all'anno e riguarda </w:t>
      </w:r>
      <w:r>
        <w:rPr>
          <w:rFonts w:cs="Times New Roman"/>
        </w:rPr>
        <w:t>dieci</w:t>
      </w:r>
      <w:r w:rsidRPr="00C128A7">
        <w:rPr>
          <w:rFonts w:cs="Times New Roman"/>
        </w:rPr>
        <w:t xml:space="preserve"> realtà territoriali. Questi comuni montani o collinari sono classificabili, secondo la definizione delle aree interne, come comuni di cintura, intermedi, periferici o ultra-periferici. Attualmente, i servizi in queste aree sono difficilmente gestibili alle condizioni degli altri servizi presenti nel bacino, sia a livello qualitativo sia gestionale per i numerosi adempienti che i singoli enti si trovano a dover affrontare per l’affidamento o per la gestione in economia dei servizi stessi. Basti pensare agli sviluppi tecnologici e di integrazione richiesti, alla complessità della normativa che regola l’intero sistema dei servizi di trasporto pubblico locale, o ancora agli obblighi di rendicontazione che gli enti o i piccoli operatori sono tenuti ad assolvere.</w:t>
      </w:r>
      <w:r w:rsidRPr="00C128A7">
        <w:rPr>
          <w:noProof/>
        </w:rPr>
        <w:t xml:space="preserve"> </w:t>
      </w:r>
    </w:p>
    <w:p w14:paraId="4D0FF573" w14:textId="77777777" w:rsidR="00335312" w:rsidRDefault="00335312" w:rsidP="00335312">
      <w:pPr>
        <w:tabs>
          <w:tab w:val="left" w:pos="6804"/>
        </w:tabs>
        <w:spacing w:before="120" w:after="0" w:line="240" w:lineRule="auto"/>
      </w:pPr>
      <w:r>
        <w:rPr>
          <w:rFonts w:cs="Times New Roman"/>
          <w:color w:val="000000" w:themeColor="text1"/>
        </w:rPr>
        <w:t>Di seguito, come per gli altri servizi si fornisce una panoramica di dettaglio delle relazioni servite, del n° corse programmate e della produzione ricavata da programma di esercizio</w:t>
      </w:r>
      <w:r>
        <w:t>.</w:t>
      </w:r>
    </w:p>
    <w:p w14:paraId="78481903" w14:textId="77777777" w:rsidR="00335312" w:rsidRDefault="00335312" w:rsidP="00335312">
      <w:pPr>
        <w:tabs>
          <w:tab w:val="left" w:pos="6804"/>
        </w:tabs>
        <w:spacing w:before="120" w:after="0" w:line="240" w:lineRule="auto"/>
      </w:pPr>
      <w:r>
        <w:t>Tali servizi saranno integrati all’interno dei futuri affidamenti, verificandone la fattibilità in sede di offerta; questo comporta che qualora la realizzazione di tali servizi non garantisse i benefici attesi AMP proporrà agli Enti il mantenimento delle attuali, e migliorate, fome di collaborazioni.</w:t>
      </w:r>
    </w:p>
    <w:p w14:paraId="00F478F0" w14:textId="77777777" w:rsidR="00335312" w:rsidRPr="002B66B1" w:rsidRDefault="00335312" w:rsidP="00335312">
      <w:pPr>
        <w:tabs>
          <w:tab w:val="left" w:pos="6804"/>
        </w:tabs>
        <w:spacing w:before="120" w:after="0" w:line="240" w:lineRule="auto"/>
        <w:rPr>
          <w:rFonts w:cs="Times New Roman"/>
          <w:color w:val="000000" w:themeColor="text1"/>
        </w:rPr>
      </w:pPr>
    </w:p>
    <w:tbl>
      <w:tblPr>
        <w:tblW w:w="8960" w:type="dxa"/>
        <w:tblCellMar>
          <w:left w:w="70" w:type="dxa"/>
          <w:right w:w="70" w:type="dxa"/>
        </w:tblCellMar>
        <w:tblLook w:val="04A0" w:firstRow="1" w:lastRow="0" w:firstColumn="1" w:lastColumn="0" w:noHBand="0" w:noVBand="1"/>
      </w:tblPr>
      <w:tblGrid>
        <w:gridCol w:w="800"/>
        <w:gridCol w:w="5480"/>
        <w:gridCol w:w="1340"/>
        <w:gridCol w:w="1340"/>
      </w:tblGrid>
      <w:tr w:rsidR="00335312" w:rsidRPr="002B66B1" w14:paraId="7D485A71" w14:textId="77777777" w:rsidTr="002A21C0">
        <w:trPr>
          <w:trHeight w:val="576"/>
        </w:trPr>
        <w:tc>
          <w:tcPr>
            <w:tcW w:w="800" w:type="dxa"/>
            <w:tcBorders>
              <w:top w:val="double" w:sz="6" w:space="0" w:color="A6A6A6"/>
              <w:left w:val="double" w:sz="6" w:space="0" w:color="A6A6A6"/>
              <w:bottom w:val="single" w:sz="8" w:space="0" w:color="A6A6A6"/>
              <w:right w:val="single" w:sz="8" w:space="0" w:color="A6A6A6"/>
            </w:tcBorders>
            <w:shd w:val="clear" w:color="000000" w:fill="A5C34C"/>
            <w:vAlign w:val="center"/>
            <w:hideMark/>
          </w:tcPr>
          <w:p w14:paraId="3DD03194" w14:textId="77777777" w:rsidR="00335312" w:rsidRPr="002B66B1" w:rsidRDefault="00335312" w:rsidP="002A21C0">
            <w:pPr>
              <w:spacing w:after="0" w:line="240" w:lineRule="auto"/>
              <w:jc w:val="center"/>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Codice Linea</w:t>
            </w:r>
          </w:p>
        </w:tc>
        <w:tc>
          <w:tcPr>
            <w:tcW w:w="5480" w:type="dxa"/>
            <w:tcBorders>
              <w:top w:val="double" w:sz="6" w:space="0" w:color="A6A6A6"/>
              <w:left w:val="nil"/>
              <w:bottom w:val="single" w:sz="8" w:space="0" w:color="A6A6A6"/>
              <w:right w:val="single" w:sz="8" w:space="0" w:color="A6A6A6"/>
            </w:tcBorders>
            <w:shd w:val="clear" w:color="000000" w:fill="A5C34C"/>
            <w:vAlign w:val="center"/>
            <w:hideMark/>
          </w:tcPr>
          <w:p w14:paraId="770AE2EA"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Descrizione Linea</w:t>
            </w:r>
          </w:p>
        </w:tc>
        <w:tc>
          <w:tcPr>
            <w:tcW w:w="1340" w:type="dxa"/>
            <w:tcBorders>
              <w:top w:val="double" w:sz="6" w:space="0" w:color="A6A6A6"/>
              <w:left w:val="nil"/>
              <w:bottom w:val="single" w:sz="8" w:space="0" w:color="A6A6A6"/>
              <w:right w:val="single" w:sz="8" w:space="0" w:color="A6A6A6"/>
            </w:tcBorders>
            <w:shd w:val="clear" w:color="000000" w:fill="A5C34C"/>
            <w:vAlign w:val="center"/>
            <w:hideMark/>
          </w:tcPr>
          <w:p w14:paraId="77B022BD" w14:textId="77777777" w:rsidR="00335312" w:rsidRPr="002B66B1" w:rsidRDefault="00335312" w:rsidP="002A21C0">
            <w:pPr>
              <w:spacing w:after="0" w:line="240" w:lineRule="auto"/>
              <w:jc w:val="center"/>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Numero corse sett.</w:t>
            </w:r>
          </w:p>
        </w:tc>
        <w:tc>
          <w:tcPr>
            <w:tcW w:w="1340" w:type="dxa"/>
            <w:tcBorders>
              <w:top w:val="double" w:sz="6" w:space="0" w:color="A6A6A6"/>
              <w:left w:val="nil"/>
              <w:bottom w:val="single" w:sz="8" w:space="0" w:color="A6A6A6"/>
              <w:right w:val="double" w:sz="6" w:space="0" w:color="A6A6A6"/>
            </w:tcBorders>
            <w:shd w:val="clear" w:color="000000" w:fill="A5C34C"/>
            <w:vAlign w:val="center"/>
            <w:hideMark/>
          </w:tcPr>
          <w:p w14:paraId="3B31B70E" w14:textId="77777777" w:rsidR="00335312" w:rsidRPr="002B66B1" w:rsidRDefault="00335312" w:rsidP="002A21C0">
            <w:pPr>
              <w:spacing w:after="0" w:line="240" w:lineRule="auto"/>
              <w:jc w:val="center"/>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vett-km/anno di linea</w:t>
            </w:r>
          </w:p>
        </w:tc>
      </w:tr>
      <w:tr w:rsidR="00335312" w:rsidRPr="002B66B1" w14:paraId="6CF67225"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5BC29065"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AglT1</w:t>
            </w:r>
          </w:p>
        </w:tc>
        <w:tc>
          <w:tcPr>
            <w:tcW w:w="5480" w:type="dxa"/>
            <w:tcBorders>
              <w:top w:val="nil"/>
              <w:left w:val="nil"/>
              <w:bottom w:val="single" w:sz="8" w:space="0" w:color="A6A6A6"/>
              <w:right w:val="single" w:sz="8" w:space="0" w:color="A6A6A6"/>
            </w:tcBorders>
            <w:noWrap/>
            <w:vAlign w:val="center"/>
            <w:hideMark/>
          </w:tcPr>
          <w:p w14:paraId="522A4988"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Agliano - Dogliano - San Rocco</w:t>
            </w:r>
          </w:p>
        </w:tc>
        <w:tc>
          <w:tcPr>
            <w:tcW w:w="1340" w:type="dxa"/>
            <w:tcBorders>
              <w:top w:val="nil"/>
              <w:left w:val="nil"/>
              <w:bottom w:val="single" w:sz="8" w:space="0" w:color="A6A6A6"/>
              <w:right w:val="nil"/>
            </w:tcBorders>
            <w:noWrap/>
            <w:vAlign w:val="center"/>
            <w:hideMark/>
          </w:tcPr>
          <w:p w14:paraId="3B53D440"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1A028008"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1.450</w:t>
            </w:r>
          </w:p>
        </w:tc>
      </w:tr>
      <w:tr w:rsidR="00335312" w:rsidRPr="002B66B1" w14:paraId="64D9D187" w14:textId="77777777" w:rsidTr="002A21C0">
        <w:trPr>
          <w:trHeight w:val="300"/>
        </w:trPr>
        <w:tc>
          <w:tcPr>
            <w:tcW w:w="6280" w:type="dxa"/>
            <w:gridSpan w:val="2"/>
            <w:tcBorders>
              <w:top w:val="single" w:sz="8" w:space="0" w:color="A6A6A6"/>
              <w:left w:val="double" w:sz="6" w:space="0" w:color="A6A6A6"/>
              <w:bottom w:val="single" w:sz="8" w:space="0" w:color="A6A6A6"/>
              <w:right w:val="nil"/>
            </w:tcBorders>
            <w:shd w:val="clear" w:color="000000" w:fill="DAF2D0"/>
            <w:noWrap/>
            <w:vAlign w:val="center"/>
            <w:hideMark/>
          </w:tcPr>
          <w:p w14:paraId="4585DAF8"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AGLIANO TERME</w:t>
            </w:r>
          </w:p>
        </w:tc>
        <w:tc>
          <w:tcPr>
            <w:tcW w:w="1340" w:type="dxa"/>
            <w:tcBorders>
              <w:top w:val="nil"/>
              <w:left w:val="nil"/>
              <w:bottom w:val="single" w:sz="8" w:space="0" w:color="A6A6A6"/>
              <w:right w:val="nil"/>
            </w:tcBorders>
            <w:shd w:val="clear" w:color="000000" w:fill="DAF2D0"/>
            <w:noWrap/>
            <w:vAlign w:val="center"/>
            <w:hideMark/>
          </w:tcPr>
          <w:p w14:paraId="3B2E3ABB"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2</w:t>
            </w:r>
          </w:p>
        </w:tc>
        <w:tc>
          <w:tcPr>
            <w:tcW w:w="1340" w:type="dxa"/>
            <w:tcBorders>
              <w:top w:val="nil"/>
              <w:left w:val="nil"/>
              <w:bottom w:val="single" w:sz="8" w:space="0" w:color="A6A6A6"/>
              <w:right w:val="double" w:sz="6" w:space="0" w:color="A6A6A6"/>
            </w:tcBorders>
            <w:shd w:val="clear" w:color="000000" w:fill="DAF2D0"/>
            <w:noWrap/>
            <w:vAlign w:val="center"/>
            <w:hideMark/>
          </w:tcPr>
          <w:p w14:paraId="778FDB37"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1.450</w:t>
            </w:r>
          </w:p>
        </w:tc>
      </w:tr>
      <w:tr w:rsidR="00335312" w:rsidRPr="002B66B1" w14:paraId="006B6D9D"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13480E53"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Aram1</w:t>
            </w:r>
          </w:p>
        </w:tc>
        <w:tc>
          <w:tcPr>
            <w:tcW w:w="5480" w:type="dxa"/>
            <w:tcBorders>
              <w:top w:val="nil"/>
              <w:left w:val="nil"/>
              <w:bottom w:val="single" w:sz="8" w:space="0" w:color="A6A6A6"/>
              <w:right w:val="single" w:sz="8" w:space="0" w:color="A6A6A6"/>
            </w:tcBorders>
            <w:noWrap/>
            <w:vAlign w:val="center"/>
            <w:hideMark/>
          </w:tcPr>
          <w:p w14:paraId="4E5A374E"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Aramengo - Cocconato</w:t>
            </w:r>
          </w:p>
        </w:tc>
        <w:tc>
          <w:tcPr>
            <w:tcW w:w="1340" w:type="dxa"/>
            <w:tcBorders>
              <w:top w:val="nil"/>
              <w:left w:val="nil"/>
              <w:bottom w:val="single" w:sz="8" w:space="0" w:color="A6A6A6"/>
              <w:right w:val="nil"/>
            </w:tcBorders>
            <w:noWrap/>
            <w:vAlign w:val="center"/>
            <w:hideMark/>
          </w:tcPr>
          <w:p w14:paraId="76088B2B"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3</w:t>
            </w:r>
          </w:p>
        </w:tc>
        <w:tc>
          <w:tcPr>
            <w:tcW w:w="1340" w:type="dxa"/>
            <w:tcBorders>
              <w:top w:val="nil"/>
              <w:left w:val="single" w:sz="8" w:space="0" w:color="A6A6A6"/>
              <w:bottom w:val="single" w:sz="8" w:space="0" w:color="A6A6A6"/>
              <w:right w:val="double" w:sz="6" w:space="0" w:color="A6A6A6"/>
            </w:tcBorders>
            <w:noWrap/>
            <w:vAlign w:val="center"/>
            <w:hideMark/>
          </w:tcPr>
          <w:p w14:paraId="40CFD6AC"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4.385</w:t>
            </w:r>
          </w:p>
        </w:tc>
      </w:tr>
      <w:tr w:rsidR="00335312" w:rsidRPr="002B66B1" w14:paraId="1A259B31"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3458CD7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Aram2</w:t>
            </w:r>
          </w:p>
        </w:tc>
        <w:tc>
          <w:tcPr>
            <w:tcW w:w="5480" w:type="dxa"/>
            <w:tcBorders>
              <w:top w:val="nil"/>
              <w:left w:val="nil"/>
              <w:bottom w:val="single" w:sz="8" w:space="0" w:color="A6A6A6"/>
              <w:right w:val="single" w:sz="8" w:space="0" w:color="A6A6A6"/>
            </w:tcBorders>
            <w:noWrap/>
            <w:vAlign w:val="center"/>
            <w:hideMark/>
          </w:tcPr>
          <w:p w14:paraId="4DCE44BD"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Aramengo - Gallareto</w:t>
            </w:r>
          </w:p>
        </w:tc>
        <w:tc>
          <w:tcPr>
            <w:tcW w:w="1340" w:type="dxa"/>
            <w:tcBorders>
              <w:top w:val="nil"/>
              <w:left w:val="nil"/>
              <w:bottom w:val="single" w:sz="8" w:space="0" w:color="A6A6A6"/>
              <w:right w:val="nil"/>
            </w:tcBorders>
            <w:noWrap/>
            <w:vAlign w:val="center"/>
            <w:hideMark/>
          </w:tcPr>
          <w:p w14:paraId="7D2FE015"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30B490D9"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5.436</w:t>
            </w:r>
          </w:p>
        </w:tc>
      </w:tr>
      <w:tr w:rsidR="00335312" w:rsidRPr="002B66B1" w14:paraId="1B9106A4"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2FBF6FC8"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Aram3</w:t>
            </w:r>
          </w:p>
        </w:tc>
        <w:tc>
          <w:tcPr>
            <w:tcW w:w="5480" w:type="dxa"/>
            <w:tcBorders>
              <w:top w:val="nil"/>
              <w:left w:val="nil"/>
              <w:bottom w:val="single" w:sz="8" w:space="0" w:color="A6A6A6"/>
              <w:right w:val="single" w:sz="8" w:space="0" w:color="A6A6A6"/>
            </w:tcBorders>
            <w:noWrap/>
            <w:vAlign w:val="center"/>
            <w:hideMark/>
          </w:tcPr>
          <w:p w14:paraId="5E30225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Aramengo - Castelnuovo Don Bosco</w:t>
            </w:r>
          </w:p>
        </w:tc>
        <w:tc>
          <w:tcPr>
            <w:tcW w:w="1340" w:type="dxa"/>
            <w:tcBorders>
              <w:top w:val="nil"/>
              <w:left w:val="nil"/>
              <w:bottom w:val="single" w:sz="8" w:space="0" w:color="A6A6A6"/>
              <w:right w:val="nil"/>
            </w:tcBorders>
            <w:noWrap/>
            <w:vAlign w:val="center"/>
            <w:hideMark/>
          </w:tcPr>
          <w:p w14:paraId="77A2903D"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3284612F"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1.450</w:t>
            </w:r>
          </w:p>
        </w:tc>
      </w:tr>
      <w:tr w:rsidR="00335312" w:rsidRPr="002B66B1" w14:paraId="3C03EA6C" w14:textId="77777777" w:rsidTr="002A21C0">
        <w:trPr>
          <w:trHeight w:val="300"/>
        </w:trPr>
        <w:tc>
          <w:tcPr>
            <w:tcW w:w="6280" w:type="dxa"/>
            <w:gridSpan w:val="2"/>
            <w:tcBorders>
              <w:top w:val="single" w:sz="8" w:space="0" w:color="A6A6A6"/>
              <w:left w:val="double" w:sz="6" w:space="0" w:color="A6A6A6"/>
              <w:bottom w:val="single" w:sz="8" w:space="0" w:color="A6A6A6"/>
              <w:right w:val="nil"/>
            </w:tcBorders>
            <w:shd w:val="clear" w:color="000000" w:fill="DAF2D0"/>
            <w:noWrap/>
            <w:vAlign w:val="center"/>
            <w:hideMark/>
          </w:tcPr>
          <w:p w14:paraId="25B88EC2"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ARAMENGO</w:t>
            </w:r>
          </w:p>
        </w:tc>
        <w:tc>
          <w:tcPr>
            <w:tcW w:w="1340" w:type="dxa"/>
            <w:tcBorders>
              <w:top w:val="nil"/>
              <w:left w:val="nil"/>
              <w:bottom w:val="single" w:sz="8" w:space="0" w:color="A6A6A6"/>
              <w:right w:val="nil"/>
            </w:tcBorders>
            <w:shd w:val="clear" w:color="000000" w:fill="DAF2D0"/>
            <w:noWrap/>
            <w:vAlign w:val="center"/>
            <w:hideMark/>
          </w:tcPr>
          <w:p w14:paraId="34495F66"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7</w:t>
            </w:r>
          </w:p>
        </w:tc>
        <w:tc>
          <w:tcPr>
            <w:tcW w:w="1340" w:type="dxa"/>
            <w:tcBorders>
              <w:top w:val="nil"/>
              <w:left w:val="nil"/>
              <w:bottom w:val="single" w:sz="8" w:space="0" w:color="A6A6A6"/>
              <w:right w:val="double" w:sz="6" w:space="0" w:color="A6A6A6"/>
            </w:tcBorders>
            <w:shd w:val="clear" w:color="000000" w:fill="DAF2D0"/>
            <w:noWrap/>
            <w:vAlign w:val="center"/>
            <w:hideMark/>
          </w:tcPr>
          <w:p w14:paraId="7DDDAB5C"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11.271</w:t>
            </w:r>
          </w:p>
        </w:tc>
      </w:tr>
      <w:tr w:rsidR="00335312" w:rsidRPr="002B66B1" w14:paraId="3553C209"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7D4510C4"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CasA1</w:t>
            </w:r>
          </w:p>
        </w:tc>
        <w:tc>
          <w:tcPr>
            <w:tcW w:w="5480" w:type="dxa"/>
            <w:tcBorders>
              <w:top w:val="nil"/>
              <w:left w:val="nil"/>
              <w:bottom w:val="single" w:sz="8" w:space="0" w:color="A6A6A6"/>
              <w:right w:val="single" w:sz="8" w:space="0" w:color="A6A6A6"/>
            </w:tcBorders>
            <w:noWrap/>
            <w:vAlign w:val="center"/>
            <w:hideMark/>
          </w:tcPr>
          <w:p w14:paraId="5DA11FBE"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Percorso Azzurro</w:t>
            </w:r>
          </w:p>
        </w:tc>
        <w:tc>
          <w:tcPr>
            <w:tcW w:w="1340" w:type="dxa"/>
            <w:tcBorders>
              <w:top w:val="nil"/>
              <w:left w:val="nil"/>
              <w:bottom w:val="single" w:sz="8" w:space="0" w:color="A6A6A6"/>
              <w:right w:val="nil"/>
            </w:tcBorders>
            <w:noWrap/>
            <w:vAlign w:val="center"/>
            <w:hideMark/>
          </w:tcPr>
          <w:p w14:paraId="094BB5A3"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3883DA20"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5.738</w:t>
            </w:r>
          </w:p>
        </w:tc>
      </w:tr>
      <w:tr w:rsidR="00335312" w:rsidRPr="002B66B1" w14:paraId="15DED2AD" w14:textId="77777777" w:rsidTr="002A21C0">
        <w:trPr>
          <w:trHeight w:val="300"/>
        </w:trPr>
        <w:tc>
          <w:tcPr>
            <w:tcW w:w="800" w:type="dxa"/>
            <w:tcBorders>
              <w:top w:val="nil"/>
              <w:left w:val="double" w:sz="6" w:space="0" w:color="A6A6A6"/>
              <w:bottom w:val="double" w:sz="6" w:space="0" w:color="A6A6A6"/>
              <w:right w:val="single" w:sz="8" w:space="0" w:color="A6A6A6"/>
            </w:tcBorders>
            <w:noWrap/>
            <w:vAlign w:val="center"/>
            <w:hideMark/>
          </w:tcPr>
          <w:p w14:paraId="6947A6E3"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CasA2</w:t>
            </w:r>
          </w:p>
        </w:tc>
        <w:tc>
          <w:tcPr>
            <w:tcW w:w="5480" w:type="dxa"/>
            <w:tcBorders>
              <w:top w:val="nil"/>
              <w:left w:val="nil"/>
              <w:bottom w:val="double" w:sz="6" w:space="0" w:color="A6A6A6"/>
              <w:right w:val="single" w:sz="8" w:space="0" w:color="A6A6A6"/>
            </w:tcBorders>
            <w:noWrap/>
            <w:vAlign w:val="center"/>
            <w:hideMark/>
          </w:tcPr>
          <w:p w14:paraId="7CDA4793"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Percorso Arancione/Verde</w:t>
            </w:r>
          </w:p>
        </w:tc>
        <w:tc>
          <w:tcPr>
            <w:tcW w:w="1340" w:type="dxa"/>
            <w:tcBorders>
              <w:top w:val="nil"/>
              <w:left w:val="nil"/>
              <w:bottom w:val="double" w:sz="6" w:space="0" w:color="A6A6A6"/>
              <w:right w:val="nil"/>
            </w:tcBorders>
            <w:noWrap/>
            <w:vAlign w:val="center"/>
            <w:hideMark/>
          </w:tcPr>
          <w:p w14:paraId="5CF8CEEF"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double" w:sz="6" w:space="0" w:color="A6A6A6"/>
              <w:right w:val="double" w:sz="6" w:space="0" w:color="A6A6A6"/>
            </w:tcBorders>
            <w:noWrap/>
            <w:vAlign w:val="center"/>
            <w:hideMark/>
          </w:tcPr>
          <w:p w14:paraId="50277C77"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5.013</w:t>
            </w:r>
          </w:p>
        </w:tc>
      </w:tr>
      <w:tr w:rsidR="00335312" w:rsidRPr="002B66B1" w14:paraId="5B9847A0" w14:textId="77777777" w:rsidTr="002A21C0">
        <w:trPr>
          <w:trHeight w:val="312"/>
        </w:trPr>
        <w:tc>
          <w:tcPr>
            <w:tcW w:w="6280" w:type="dxa"/>
            <w:gridSpan w:val="2"/>
            <w:tcBorders>
              <w:top w:val="double" w:sz="6" w:space="0" w:color="A6A6A6"/>
              <w:left w:val="double" w:sz="6" w:space="0" w:color="A6A6A6"/>
              <w:bottom w:val="single" w:sz="8" w:space="0" w:color="A6A6A6"/>
              <w:right w:val="nil"/>
            </w:tcBorders>
            <w:shd w:val="clear" w:color="000000" w:fill="DAF2D0"/>
            <w:noWrap/>
            <w:vAlign w:val="center"/>
            <w:hideMark/>
          </w:tcPr>
          <w:p w14:paraId="2044EA7A"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CASTELL’ALFERO</w:t>
            </w:r>
          </w:p>
        </w:tc>
        <w:tc>
          <w:tcPr>
            <w:tcW w:w="1340" w:type="dxa"/>
            <w:tcBorders>
              <w:top w:val="nil"/>
              <w:left w:val="nil"/>
              <w:bottom w:val="single" w:sz="8" w:space="0" w:color="A6A6A6"/>
              <w:right w:val="nil"/>
            </w:tcBorders>
            <w:shd w:val="clear" w:color="000000" w:fill="DAF2D0"/>
            <w:noWrap/>
            <w:vAlign w:val="center"/>
            <w:hideMark/>
          </w:tcPr>
          <w:p w14:paraId="0EE40392"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4</w:t>
            </w:r>
          </w:p>
        </w:tc>
        <w:tc>
          <w:tcPr>
            <w:tcW w:w="1340" w:type="dxa"/>
            <w:tcBorders>
              <w:top w:val="nil"/>
              <w:left w:val="nil"/>
              <w:bottom w:val="single" w:sz="8" w:space="0" w:color="A6A6A6"/>
              <w:right w:val="double" w:sz="6" w:space="0" w:color="A6A6A6"/>
            </w:tcBorders>
            <w:shd w:val="clear" w:color="000000" w:fill="DAF2D0"/>
            <w:noWrap/>
            <w:vAlign w:val="center"/>
            <w:hideMark/>
          </w:tcPr>
          <w:p w14:paraId="5C69A2D2"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10.751</w:t>
            </w:r>
          </w:p>
        </w:tc>
      </w:tr>
      <w:tr w:rsidR="00335312" w:rsidRPr="002B66B1" w14:paraId="13ACF639"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7C00B032"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CasL1</w:t>
            </w:r>
          </w:p>
        </w:tc>
        <w:tc>
          <w:tcPr>
            <w:tcW w:w="5480" w:type="dxa"/>
            <w:tcBorders>
              <w:top w:val="nil"/>
              <w:left w:val="nil"/>
              <w:bottom w:val="single" w:sz="8" w:space="0" w:color="A6A6A6"/>
              <w:right w:val="single" w:sz="8" w:space="0" w:color="A6A6A6"/>
            </w:tcBorders>
            <w:noWrap/>
            <w:vAlign w:val="center"/>
            <w:hideMark/>
          </w:tcPr>
          <w:p w14:paraId="41745DA8"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Castagnole delle Lanze Via Val Bera - P.zza Giovannone</w:t>
            </w:r>
          </w:p>
        </w:tc>
        <w:tc>
          <w:tcPr>
            <w:tcW w:w="1340" w:type="dxa"/>
            <w:tcBorders>
              <w:top w:val="nil"/>
              <w:left w:val="nil"/>
              <w:bottom w:val="single" w:sz="8" w:space="0" w:color="A6A6A6"/>
              <w:right w:val="nil"/>
            </w:tcBorders>
            <w:noWrap/>
            <w:vAlign w:val="center"/>
            <w:hideMark/>
          </w:tcPr>
          <w:p w14:paraId="2839DAA9"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6</w:t>
            </w:r>
          </w:p>
        </w:tc>
        <w:tc>
          <w:tcPr>
            <w:tcW w:w="1340" w:type="dxa"/>
            <w:tcBorders>
              <w:top w:val="nil"/>
              <w:left w:val="single" w:sz="8" w:space="0" w:color="A6A6A6"/>
              <w:bottom w:val="single" w:sz="8" w:space="0" w:color="A6A6A6"/>
              <w:right w:val="double" w:sz="6" w:space="0" w:color="A6A6A6"/>
            </w:tcBorders>
            <w:noWrap/>
            <w:vAlign w:val="center"/>
            <w:hideMark/>
          </w:tcPr>
          <w:p w14:paraId="4E865D0F"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750</w:t>
            </w:r>
          </w:p>
        </w:tc>
      </w:tr>
      <w:tr w:rsidR="00335312" w:rsidRPr="002B66B1" w14:paraId="00E77B24" w14:textId="77777777" w:rsidTr="002A21C0">
        <w:trPr>
          <w:trHeight w:val="300"/>
        </w:trPr>
        <w:tc>
          <w:tcPr>
            <w:tcW w:w="6280" w:type="dxa"/>
            <w:gridSpan w:val="2"/>
            <w:tcBorders>
              <w:top w:val="single" w:sz="8" w:space="0" w:color="A6A6A6"/>
              <w:left w:val="double" w:sz="6" w:space="0" w:color="A6A6A6"/>
              <w:bottom w:val="single" w:sz="8" w:space="0" w:color="A6A6A6"/>
              <w:right w:val="nil"/>
            </w:tcBorders>
            <w:shd w:val="clear" w:color="000000" w:fill="DAF2D0"/>
            <w:noWrap/>
            <w:vAlign w:val="center"/>
            <w:hideMark/>
          </w:tcPr>
          <w:p w14:paraId="6D6EA027"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CASTAGNOLE DELLE LANZE</w:t>
            </w:r>
          </w:p>
        </w:tc>
        <w:tc>
          <w:tcPr>
            <w:tcW w:w="1340" w:type="dxa"/>
            <w:tcBorders>
              <w:top w:val="nil"/>
              <w:left w:val="nil"/>
              <w:bottom w:val="single" w:sz="8" w:space="0" w:color="A6A6A6"/>
              <w:right w:val="nil"/>
            </w:tcBorders>
            <w:shd w:val="clear" w:color="000000" w:fill="DAF2D0"/>
            <w:noWrap/>
            <w:vAlign w:val="center"/>
            <w:hideMark/>
          </w:tcPr>
          <w:p w14:paraId="4802E1E4"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6</w:t>
            </w:r>
          </w:p>
        </w:tc>
        <w:tc>
          <w:tcPr>
            <w:tcW w:w="1340" w:type="dxa"/>
            <w:tcBorders>
              <w:top w:val="nil"/>
              <w:left w:val="nil"/>
              <w:bottom w:val="nil"/>
              <w:right w:val="double" w:sz="6" w:space="0" w:color="A6A6A6"/>
            </w:tcBorders>
            <w:shd w:val="clear" w:color="000000" w:fill="DAF2D0"/>
            <w:noWrap/>
            <w:vAlign w:val="center"/>
            <w:hideMark/>
          </w:tcPr>
          <w:p w14:paraId="31A0CD0F"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750</w:t>
            </w:r>
          </w:p>
        </w:tc>
      </w:tr>
      <w:tr w:rsidR="00335312" w:rsidRPr="002B66B1" w14:paraId="001F42B3"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4B6BBA84"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Cell1</w:t>
            </w:r>
          </w:p>
        </w:tc>
        <w:tc>
          <w:tcPr>
            <w:tcW w:w="5480" w:type="dxa"/>
            <w:tcBorders>
              <w:top w:val="nil"/>
              <w:left w:val="nil"/>
              <w:bottom w:val="single" w:sz="8" w:space="0" w:color="A6A6A6"/>
              <w:right w:val="single" w:sz="8" w:space="0" w:color="A6A6A6"/>
            </w:tcBorders>
            <w:noWrap/>
            <w:vAlign w:val="center"/>
            <w:hideMark/>
          </w:tcPr>
          <w:p w14:paraId="7EDF3AC2"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Montà - Cellarengo - Montà</w:t>
            </w:r>
          </w:p>
        </w:tc>
        <w:tc>
          <w:tcPr>
            <w:tcW w:w="1340" w:type="dxa"/>
            <w:tcBorders>
              <w:top w:val="nil"/>
              <w:left w:val="nil"/>
              <w:bottom w:val="single" w:sz="8" w:space="0" w:color="A6A6A6"/>
              <w:right w:val="nil"/>
            </w:tcBorders>
            <w:noWrap/>
            <w:vAlign w:val="center"/>
            <w:hideMark/>
          </w:tcPr>
          <w:p w14:paraId="54DE23DB"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single" w:sz="8" w:space="0" w:color="A6A6A6"/>
              <w:left w:val="single" w:sz="8" w:space="0" w:color="A6A6A6"/>
              <w:bottom w:val="single" w:sz="8" w:space="0" w:color="A6A6A6"/>
              <w:right w:val="double" w:sz="6" w:space="0" w:color="A6A6A6"/>
            </w:tcBorders>
            <w:noWrap/>
            <w:vAlign w:val="center"/>
            <w:hideMark/>
          </w:tcPr>
          <w:p w14:paraId="69125A4E"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8.550</w:t>
            </w:r>
          </w:p>
        </w:tc>
      </w:tr>
      <w:tr w:rsidR="00335312" w:rsidRPr="002B66B1" w14:paraId="0D9DDE89"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4A4E70C5"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Cell2</w:t>
            </w:r>
          </w:p>
        </w:tc>
        <w:tc>
          <w:tcPr>
            <w:tcW w:w="5480" w:type="dxa"/>
            <w:tcBorders>
              <w:top w:val="nil"/>
              <w:left w:val="nil"/>
              <w:bottom w:val="single" w:sz="8" w:space="0" w:color="A6A6A6"/>
              <w:right w:val="single" w:sz="8" w:space="0" w:color="A6A6A6"/>
            </w:tcBorders>
            <w:noWrap/>
            <w:vAlign w:val="center"/>
            <w:hideMark/>
          </w:tcPr>
          <w:p w14:paraId="3E4901B2"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Cellarengo - Valfenera</w:t>
            </w:r>
          </w:p>
        </w:tc>
        <w:tc>
          <w:tcPr>
            <w:tcW w:w="1340" w:type="dxa"/>
            <w:tcBorders>
              <w:top w:val="nil"/>
              <w:left w:val="nil"/>
              <w:bottom w:val="single" w:sz="8" w:space="0" w:color="A6A6A6"/>
              <w:right w:val="nil"/>
            </w:tcBorders>
            <w:noWrap/>
            <w:vAlign w:val="center"/>
            <w:hideMark/>
          </w:tcPr>
          <w:p w14:paraId="11D2E082"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61FBA2B5"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4.001</w:t>
            </w:r>
          </w:p>
        </w:tc>
      </w:tr>
      <w:tr w:rsidR="00335312" w:rsidRPr="002B66B1" w14:paraId="01C50AF5"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7C6EED0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Cell3</w:t>
            </w:r>
          </w:p>
        </w:tc>
        <w:tc>
          <w:tcPr>
            <w:tcW w:w="5480" w:type="dxa"/>
            <w:tcBorders>
              <w:top w:val="nil"/>
              <w:left w:val="nil"/>
              <w:bottom w:val="single" w:sz="8" w:space="0" w:color="A6A6A6"/>
              <w:right w:val="single" w:sz="8" w:space="0" w:color="A6A6A6"/>
            </w:tcBorders>
            <w:noWrap/>
            <w:vAlign w:val="center"/>
            <w:hideMark/>
          </w:tcPr>
          <w:p w14:paraId="46874B4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Cellarengo - Bricco Visconti - Cellarengo</w:t>
            </w:r>
          </w:p>
        </w:tc>
        <w:tc>
          <w:tcPr>
            <w:tcW w:w="1340" w:type="dxa"/>
            <w:tcBorders>
              <w:top w:val="nil"/>
              <w:left w:val="nil"/>
              <w:bottom w:val="single" w:sz="8" w:space="0" w:color="A6A6A6"/>
              <w:right w:val="nil"/>
            </w:tcBorders>
            <w:noWrap/>
            <w:vAlign w:val="center"/>
            <w:hideMark/>
          </w:tcPr>
          <w:p w14:paraId="4F5EDB3F"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3</w:t>
            </w:r>
          </w:p>
        </w:tc>
        <w:tc>
          <w:tcPr>
            <w:tcW w:w="1340" w:type="dxa"/>
            <w:tcBorders>
              <w:top w:val="nil"/>
              <w:left w:val="single" w:sz="8" w:space="0" w:color="A6A6A6"/>
              <w:bottom w:val="single" w:sz="8" w:space="0" w:color="A6A6A6"/>
              <w:right w:val="double" w:sz="6" w:space="0" w:color="A6A6A6"/>
            </w:tcBorders>
            <w:noWrap/>
            <w:vAlign w:val="center"/>
            <w:hideMark/>
          </w:tcPr>
          <w:p w14:paraId="050DE98A"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6.479</w:t>
            </w:r>
          </w:p>
        </w:tc>
      </w:tr>
      <w:tr w:rsidR="00335312" w:rsidRPr="002B66B1" w14:paraId="1D3ABBC2" w14:textId="77777777" w:rsidTr="002A21C0">
        <w:trPr>
          <w:trHeight w:val="300"/>
        </w:trPr>
        <w:tc>
          <w:tcPr>
            <w:tcW w:w="6280" w:type="dxa"/>
            <w:gridSpan w:val="2"/>
            <w:tcBorders>
              <w:top w:val="single" w:sz="8" w:space="0" w:color="A6A6A6"/>
              <w:left w:val="double" w:sz="6" w:space="0" w:color="A6A6A6"/>
              <w:bottom w:val="single" w:sz="8" w:space="0" w:color="A6A6A6"/>
              <w:right w:val="nil"/>
            </w:tcBorders>
            <w:shd w:val="clear" w:color="000000" w:fill="DAF2D0"/>
            <w:noWrap/>
            <w:vAlign w:val="center"/>
            <w:hideMark/>
          </w:tcPr>
          <w:p w14:paraId="7F4218D7"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CELLARENGO</w:t>
            </w:r>
          </w:p>
        </w:tc>
        <w:tc>
          <w:tcPr>
            <w:tcW w:w="1340" w:type="dxa"/>
            <w:tcBorders>
              <w:top w:val="nil"/>
              <w:left w:val="nil"/>
              <w:bottom w:val="single" w:sz="8" w:space="0" w:color="A6A6A6"/>
              <w:right w:val="nil"/>
            </w:tcBorders>
            <w:shd w:val="clear" w:color="000000" w:fill="DAF2D0"/>
            <w:noWrap/>
            <w:vAlign w:val="center"/>
            <w:hideMark/>
          </w:tcPr>
          <w:p w14:paraId="25BFE705"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7</w:t>
            </w:r>
          </w:p>
        </w:tc>
        <w:tc>
          <w:tcPr>
            <w:tcW w:w="1340" w:type="dxa"/>
            <w:tcBorders>
              <w:top w:val="nil"/>
              <w:left w:val="nil"/>
              <w:bottom w:val="single" w:sz="8" w:space="0" w:color="A6A6A6"/>
              <w:right w:val="double" w:sz="6" w:space="0" w:color="A6A6A6"/>
            </w:tcBorders>
            <w:shd w:val="clear" w:color="000000" w:fill="DAF2D0"/>
            <w:noWrap/>
            <w:vAlign w:val="center"/>
            <w:hideMark/>
          </w:tcPr>
          <w:p w14:paraId="4E0E7F69"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19.030</w:t>
            </w:r>
          </w:p>
        </w:tc>
      </w:tr>
      <w:tr w:rsidR="00335312" w:rsidRPr="002B66B1" w14:paraId="172EC5A0" w14:textId="77777777" w:rsidTr="002A21C0">
        <w:trPr>
          <w:trHeight w:val="300"/>
        </w:trPr>
        <w:tc>
          <w:tcPr>
            <w:tcW w:w="800" w:type="dxa"/>
            <w:tcBorders>
              <w:top w:val="nil"/>
              <w:left w:val="double" w:sz="6" w:space="0" w:color="A6A6A6"/>
              <w:bottom w:val="single" w:sz="8" w:space="0" w:color="BFBFBF"/>
              <w:right w:val="single" w:sz="8" w:space="0" w:color="A6A6A6"/>
            </w:tcBorders>
            <w:noWrap/>
            <w:vAlign w:val="center"/>
            <w:hideMark/>
          </w:tcPr>
          <w:p w14:paraId="7141C86E"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Momb1</w:t>
            </w:r>
          </w:p>
        </w:tc>
        <w:tc>
          <w:tcPr>
            <w:tcW w:w="5480" w:type="dxa"/>
            <w:tcBorders>
              <w:top w:val="nil"/>
              <w:left w:val="nil"/>
              <w:bottom w:val="single" w:sz="8" w:space="0" w:color="BFBFBF"/>
              <w:right w:val="single" w:sz="8" w:space="0" w:color="A6A6A6"/>
            </w:tcBorders>
            <w:noWrap/>
            <w:vAlign w:val="center"/>
            <w:hideMark/>
          </w:tcPr>
          <w:p w14:paraId="03B324B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Percorso 1</w:t>
            </w:r>
          </w:p>
        </w:tc>
        <w:tc>
          <w:tcPr>
            <w:tcW w:w="1340" w:type="dxa"/>
            <w:tcBorders>
              <w:top w:val="nil"/>
              <w:left w:val="nil"/>
              <w:bottom w:val="single" w:sz="8" w:space="0" w:color="BFBFBF"/>
              <w:right w:val="nil"/>
            </w:tcBorders>
            <w:noWrap/>
            <w:vAlign w:val="center"/>
            <w:hideMark/>
          </w:tcPr>
          <w:p w14:paraId="0A93502E"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w:t>
            </w:r>
          </w:p>
        </w:tc>
        <w:tc>
          <w:tcPr>
            <w:tcW w:w="1340" w:type="dxa"/>
            <w:tcBorders>
              <w:top w:val="nil"/>
              <w:left w:val="single" w:sz="8" w:space="0" w:color="A6A6A6"/>
              <w:bottom w:val="single" w:sz="8" w:space="0" w:color="BFBFBF"/>
              <w:right w:val="double" w:sz="6" w:space="0" w:color="A6A6A6"/>
            </w:tcBorders>
            <w:noWrap/>
            <w:vAlign w:val="center"/>
            <w:hideMark/>
          </w:tcPr>
          <w:p w14:paraId="507798D3"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563</w:t>
            </w:r>
          </w:p>
        </w:tc>
      </w:tr>
      <w:tr w:rsidR="00335312" w:rsidRPr="002B66B1" w14:paraId="3FC1FF29" w14:textId="77777777" w:rsidTr="002A21C0">
        <w:trPr>
          <w:trHeight w:val="300"/>
        </w:trPr>
        <w:tc>
          <w:tcPr>
            <w:tcW w:w="800" w:type="dxa"/>
            <w:tcBorders>
              <w:top w:val="nil"/>
              <w:left w:val="double" w:sz="6" w:space="0" w:color="A6A6A6"/>
              <w:bottom w:val="double" w:sz="6" w:space="0" w:color="A6A6A6"/>
              <w:right w:val="single" w:sz="8" w:space="0" w:color="A6A6A6"/>
            </w:tcBorders>
            <w:noWrap/>
            <w:vAlign w:val="center"/>
            <w:hideMark/>
          </w:tcPr>
          <w:p w14:paraId="78603EF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Momb2</w:t>
            </w:r>
          </w:p>
        </w:tc>
        <w:tc>
          <w:tcPr>
            <w:tcW w:w="5480" w:type="dxa"/>
            <w:tcBorders>
              <w:top w:val="nil"/>
              <w:left w:val="nil"/>
              <w:bottom w:val="double" w:sz="6" w:space="0" w:color="A6A6A6"/>
              <w:right w:val="single" w:sz="8" w:space="0" w:color="A6A6A6"/>
            </w:tcBorders>
            <w:noWrap/>
            <w:vAlign w:val="center"/>
            <w:hideMark/>
          </w:tcPr>
          <w:p w14:paraId="1F5CCAF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Percorso 2</w:t>
            </w:r>
          </w:p>
        </w:tc>
        <w:tc>
          <w:tcPr>
            <w:tcW w:w="1340" w:type="dxa"/>
            <w:tcBorders>
              <w:top w:val="nil"/>
              <w:left w:val="nil"/>
              <w:bottom w:val="double" w:sz="6" w:space="0" w:color="A6A6A6"/>
              <w:right w:val="nil"/>
            </w:tcBorders>
            <w:noWrap/>
            <w:vAlign w:val="center"/>
            <w:hideMark/>
          </w:tcPr>
          <w:p w14:paraId="45E37751"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w:t>
            </w:r>
          </w:p>
        </w:tc>
        <w:tc>
          <w:tcPr>
            <w:tcW w:w="1340" w:type="dxa"/>
            <w:tcBorders>
              <w:top w:val="nil"/>
              <w:left w:val="single" w:sz="8" w:space="0" w:color="A6A6A6"/>
              <w:bottom w:val="double" w:sz="6" w:space="0" w:color="A6A6A6"/>
              <w:right w:val="double" w:sz="6" w:space="0" w:color="A6A6A6"/>
            </w:tcBorders>
            <w:noWrap/>
            <w:vAlign w:val="center"/>
            <w:hideMark/>
          </w:tcPr>
          <w:p w14:paraId="4265357E"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286</w:t>
            </w:r>
          </w:p>
        </w:tc>
      </w:tr>
      <w:tr w:rsidR="00335312" w:rsidRPr="002B66B1" w14:paraId="35D3506C" w14:textId="77777777" w:rsidTr="002A21C0">
        <w:trPr>
          <w:trHeight w:val="312"/>
        </w:trPr>
        <w:tc>
          <w:tcPr>
            <w:tcW w:w="6280" w:type="dxa"/>
            <w:gridSpan w:val="2"/>
            <w:tcBorders>
              <w:top w:val="double" w:sz="6" w:space="0" w:color="A6A6A6"/>
              <w:left w:val="double" w:sz="6" w:space="0" w:color="A6A6A6"/>
              <w:bottom w:val="single" w:sz="8" w:space="0" w:color="BFBFBF"/>
              <w:right w:val="nil"/>
            </w:tcBorders>
            <w:shd w:val="clear" w:color="000000" w:fill="DAF2D0"/>
            <w:noWrap/>
            <w:vAlign w:val="center"/>
            <w:hideMark/>
          </w:tcPr>
          <w:p w14:paraId="1066A050"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MOMBERCELLI</w:t>
            </w:r>
          </w:p>
        </w:tc>
        <w:tc>
          <w:tcPr>
            <w:tcW w:w="1340" w:type="dxa"/>
            <w:tcBorders>
              <w:top w:val="nil"/>
              <w:left w:val="nil"/>
              <w:bottom w:val="single" w:sz="8" w:space="0" w:color="BFBFBF"/>
              <w:right w:val="nil"/>
            </w:tcBorders>
            <w:shd w:val="clear" w:color="000000" w:fill="DAF2D0"/>
            <w:noWrap/>
            <w:vAlign w:val="center"/>
            <w:hideMark/>
          </w:tcPr>
          <w:p w14:paraId="4C20DD6D"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2</w:t>
            </w:r>
          </w:p>
        </w:tc>
        <w:tc>
          <w:tcPr>
            <w:tcW w:w="1340" w:type="dxa"/>
            <w:tcBorders>
              <w:top w:val="nil"/>
              <w:left w:val="nil"/>
              <w:bottom w:val="single" w:sz="8" w:space="0" w:color="BFBFBF"/>
              <w:right w:val="double" w:sz="6" w:space="0" w:color="A6A6A6"/>
            </w:tcBorders>
            <w:shd w:val="clear" w:color="000000" w:fill="DAF2D0"/>
            <w:noWrap/>
            <w:vAlign w:val="center"/>
            <w:hideMark/>
          </w:tcPr>
          <w:p w14:paraId="23DB7990"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849</w:t>
            </w:r>
          </w:p>
        </w:tc>
      </w:tr>
      <w:tr w:rsidR="00335312" w:rsidRPr="002B66B1" w14:paraId="06840D81" w14:textId="77777777" w:rsidTr="002A21C0">
        <w:trPr>
          <w:trHeight w:val="300"/>
        </w:trPr>
        <w:tc>
          <w:tcPr>
            <w:tcW w:w="800" w:type="dxa"/>
            <w:tcBorders>
              <w:top w:val="nil"/>
              <w:left w:val="double" w:sz="6" w:space="0" w:color="A6A6A6"/>
              <w:bottom w:val="single" w:sz="8" w:space="0" w:color="BFBFBF"/>
              <w:right w:val="single" w:sz="8" w:space="0" w:color="A6A6A6"/>
            </w:tcBorders>
            <w:noWrap/>
            <w:vAlign w:val="center"/>
            <w:hideMark/>
          </w:tcPr>
          <w:p w14:paraId="06C1012D"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MonM1</w:t>
            </w:r>
          </w:p>
        </w:tc>
        <w:tc>
          <w:tcPr>
            <w:tcW w:w="5480" w:type="dxa"/>
            <w:tcBorders>
              <w:top w:val="nil"/>
              <w:left w:val="nil"/>
              <w:bottom w:val="single" w:sz="8" w:space="0" w:color="BFBFBF"/>
              <w:right w:val="single" w:sz="8" w:space="0" w:color="A6A6A6"/>
            </w:tcBorders>
            <w:noWrap/>
            <w:vAlign w:val="center"/>
            <w:hideMark/>
          </w:tcPr>
          <w:p w14:paraId="3556C8D5"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Montiglio - Cunico - Banengo</w:t>
            </w:r>
          </w:p>
        </w:tc>
        <w:tc>
          <w:tcPr>
            <w:tcW w:w="1340" w:type="dxa"/>
            <w:tcBorders>
              <w:top w:val="nil"/>
              <w:left w:val="nil"/>
              <w:bottom w:val="single" w:sz="8" w:space="0" w:color="BFBFBF"/>
              <w:right w:val="nil"/>
            </w:tcBorders>
            <w:noWrap/>
            <w:vAlign w:val="center"/>
            <w:hideMark/>
          </w:tcPr>
          <w:p w14:paraId="5D6350AB"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BFBFBF"/>
              <w:right w:val="double" w:sz="6" w:space="0" w:color="A6A6A6"/>
            </w:tcBorders>
            <w:noWrap/>
            <w:vAlign w:val="center"/>
            <w:hideMark/>
          </w:tcPr>
          <w:p w14:paraId="461AA04A"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1.470</w:t>
            </w:r>
          </w:p>
        </w:tc>
      </w:tr>
      <w:tr w:rsidR="00335312" w:rsidRPr="002B66B1" w14:paraId="0F780F4D" w14:textId="77777777" w:rsidTr="002A21C0">
        <w:trPr>
          <w:trHeight w:val="300"/>
        </w:trPr>
        <w:tc>
          <w:tcPr>
            <w:tcW w:w="800" w:type="dxa"/>
            <w:tcBorders>
              <w:top w:val="nil"/>
              <w:left w:val="double" w:sz="6" w:space="0" w:color="A6A6A6"/>
              <w:bottom w:val="single" w:sz="8" w:space="0" w:color="BFBFBF"/>
              <w:right w:val="single" w:sz="8" w:space="0" w:color="A6A6A6"/>
            </w:tcBorders>
            <w:noWrap/>
            <w:vAlign w:val="center"/>
            <w:hideMark/>
          </w:tcPr>
          <w:p w14:paraId="1306C07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MonM2</w:t>
            </w:r>
          </w:p>
        </w:tc>
        <w:tc>
          <w:tcPr>
            <w:tcW w:w="5480" w:type="dxa"/>
            <w:tcBorders>
              <w:top w:val="nil"/>
              <w:left w:val="nil"/>
              <w:bottom w:val="single" w:sz="8" w:space="0" w:color="BFBFBF"/>
              <w:right w:val="single" w:sz="8" w:space="0" w:color="A6A6A6"/>
            </w:tcBorders>
            <w:noWrap/>
            <w:vAlign w:val="center"/>
            <w:hideMark/>
          </w:tcPr>
          <w:p w14:paraId="051179D5"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Montiglio - Cortianieto - S. Anna</w:t>
            </w:r>
          </w:p>
        </w:tc>
        <w:tc>
          <w:tcPr>
            <w:tcW w:w="1340" w:type="dxa"/>
            <w:tcBorders>
              <w:top w:val="nil"/>
              <w:left w:val="nil"/>
              <w:bottom w:val="single" w:sz="8" w:space="0" w:color="BFBFBF"/>
              <w:right w:val="nil"/>
            </w:tcBorders>
            <w:noWrap/>
            <w:vAlign w:val="center"/>
            <w:hideMark/>
          </w:tcPr>
          <w:p w14:paraId="0A7B9E80"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BFBFBF"/>
              <w:right w:val="double" w:sz="6" w:space="0" w:color="A6A6A6"/>
            </w:tcBorders>
            <w:noWrap/>
            <w:vAlign w:val="center"/>
            <w:hideMark/>
          </w:tcPr>
          <w:p w14:paraId="437C37DE"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1.176</w:t>
            </w:r>
          </w:p>
        </w:tc>
      </w:tr>
      <w:tr w:rsidR="00335312" w:rsidRPr="002B66B1" w14:paraId="7BE5CE73" w14:textId="77777777" w:rsidTr="002A21C0">
        <w:trPr>
          <w:trHeight w:val="300"/>
        </w:trPr>
        <w:tc>
          <w:tcPr>
            <w:tcW w:w="800" w:type="dxa"/>
            <w:tcBorders>
              <w:top w:val="nil"/>
              <w:left w:val="double" w:sz="6" w:space="0" w:color="A6A6A6"/>
              <w:bottom w:val="double" w:sz="6" w:space="0" w:color="A6A6A6"/>
              <w:right w:val="single" w:sz="8" w:space="0" w:color="A6A6A6"/>
            </w:tcBorders>
            <w:noWrap/>
            <w:vAlign w:val="center"/>
            <w:hideMark/>
          </w:tcPr>
          <w:p w14:paraId="0BEFB3AC"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MonM3</w:t>
            </w:r>
          </w:p>
        </w:tc>
        <w:tc>
          <w:tcPr>
            <w:tcW w:w="5480" w:type="dxa"/>
            <w:tcBorders>
              <w:top w:val="nil"/>
              <w:left w:val="nil"/>
              <w:bottom w:val="double" w:sz="6" w:space="0" w:color="A6A6A6"/>
              <w:right w:val="single" w:sz="8" w:space="0" w:color="A6A6A6"/>
            </w:tcBorders>
            <w:noWrap/>
            <w:vAlign w:val="center"/>
            <w:hideMark/>
          </w:tcPr>
          <w:p w14:paraId="05CC97E4"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Montiglio - Scandeluzza</w:t>
            </w:r>
          </w:p>
        </w:tc>
        <w:tc>
          <w:tcPr>
            <w:tcW w:w="1340" w:type="dxa"/>
            <w:tcBorders>
              <w:top w:val="nil"/>
              <w:left w:val="nil"/>
              <w:bottom w:val="double" w:sz="6" w:space="0" w:color="A6A6A6"/>
              <w:right w:val="nil"/>
            </w:tcBorders>
            <w:noWrap/>
            <w:vAlign w:val="center"/>
            <w:hideMark/>
          </w:tcPr>
          <w:p w14:paraId="14EBC778"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double" w:sz="6" w:space="0" w:color="A6A6A6"/>
              <w:right w:val="double" w:sz="6" w:space="0" w:color="A6A6A6"/>
            </w:tcBorders>
            <w:noWrap/>
            <w:vAlign w:val="center"/>
            <w:hideMark/>
          </w:tcPr>
          <w:p w14:paraId="344FFE91"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1.764</w:t>
            </w:r>
          </w:p>
        </w:tc>
      </w:tr>
      <w:tr w:rsidR="00335312" w:rsidRPr="002B66B1" w14:paraId="7785C7F1" w14:textId="77777777" w:rsidTr="002A21C0">
        <w:trPr>
          <w:trHeight w:val="312"/>
        </w:trPr>
        <w:tc>
          <w:tcPr>
            <w:tcW w:w="6280" w:type="dxa"/>
            <w:gridSpan w:val="2"/>
            <w:tcBorders>
              <w:top w:val="double" w:sz="6" w:space="0" w:color="A6A6A6"/>
              <w:left w:val="double" w:sz="6" w:space="0" w:color="A6A6A6"/>
              <w:bottom w:val="single" w:sz="8" w:space="0" w:color="BFBFBF"/>
              <w:right w:val="nil"/>
            </w:tcBorders>
            <w:shd w:val="clear" w:color="000000" w:fill="DAF2D0"/>
            <w:noWrap/>
            <w:vAlign w:val="center"/>
            <w:hideMark/>
          </w:tcPr>
          <w:p w14:paraId="3A2E0072"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MONTIGLIO MONFERRATO</w:t>
            </w:r>
          </w:p>
        </w:tc>
        <w:tc>
          <w:tcPr>
            <w:tcW w:w="1340" w:type="dxa"/>
            <w:tcBorders>
              <w:top w:val="nil"/>
              <w:left w:val="nil"/>
              <w:bottom w:val="single" w:sz="8" w:space="0" w:color="BFBFBF"/>
              <w:right w:val="nil"/>
            </w:tcBorders>
            <w:shd w:val="clear" w:color="000000" w:fill="DAF2D0"/>
            <w:noWrap/>
            <w:vAlign w:val="center"/>
            <w:hideMark/>
          </w:tcPr>
          <w:p w14:paraId="11D3FA32"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6</w:t>
            </w:r>
          </w:p>
        </w:tc>
        <w:tc>
          <w:tcPr>
            <w:tcW w:w="1340" w:type="dxa"/>
            <w:tcBorders>
              <w:top w:val="nil"/>
              <w:left w:val="nil"/>
              <w:bottom w:val="single" w:sz="8" w:space="0" w:color="BFBFBF"/>
              <w:right w:val="double" w:sz="6" w:space="0" w:color="A6A6A6"/>
            </w:tcBorders>
            <w:shd w:val="clear" w:color="000000" w:fill="DAF2D0"/>
            <w:noWrap/>
            <w:vAlign w:val="center"/>
            <w:hideMark/>
          </w:tcPr>
          <w:p w14:paraId="0C320F68"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4.410</w:t>
            </w:r>
          </w:p>
        </w:tc>
      </w:tr>
      <w:tr w:rsidR="00335312" w:rsidRPr="002B66B1" w14:paraId="16311BFF"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62546D7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Mont1</w:t>
            </w:r>
          </w:p>
        </w:tc>
        <w:tc>
          <w:tcPr>
            <w:tcW w:w="5480" w:type="dxa"/>
            <w:tcBorders>
              <w:top w:val="nil"/>
              <w:left w:val="nil"/>
              <w:bottom w:val="single" w:sz="8" w:space="0" w:color="A6A6A6"/>
              <w:right w:val="single" w:sz="8" w:space="0" w:color="A6A6A6"/>
            </w:tcBorders>
            <w:noWrap/>
            <w:vAlign w:val="center"/>
            <w:hideMark/>
          </w:tcPr>
          <w:p w14:paraId="5BF89DC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Biolla - S. Stefano Canetto - Valleumida - Montegrosso D'Asti</w:t>
            </w:r>
          </w:p>
        </w:tc>
        <w:tc>
          <w:tcPr>
            <w:tcW w:w="1340" w:type="dxa"/>
            <w:tcBorders>
              <w:top w:val="nil"/>
              <w:left w:val="nil"/>
              <w:bottom w:val="single" w:sz="8" w:space="0" w:color="A6A6A6"/>
              <w:right w:val="nil"/>
            </w:tcBorders>
            <w:noWrap/>
            <w:vAlign w:val="center"/>
            <w:hideMark/>
          </w:tcPr>
          <w:p w14:paraId="6BCA1842"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43119FED"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1.326</w:t>
            </w:r>
          </w:p>
        </w:tc>
      </w:tr>
      <w:tr w:rsidR="00335312" w:rsidRPr="002B66B1" w14:paraId="1410DD43"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750BB164"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Mont2</w:t>
            </w:r>
          </w:p>
        </w:tc>
        <w:tc>
          <w:tcPr>
            <w:tcW w:w="5480" w:type="dxa"/>
            <w:tcBorders>
              <w:top w:val="nil"/>
              <w:left w:val="nil"/>
              <w:bottom w:val="single" w:sz="8" w:space="0" w:color="A6A6A6"/>
              <w:right w:val="single" w:sz="8" w:space="0" w:color="A6A6A6"/>
            </w:tcBorders>
            <w:noWrap/>
            <w:vAlign w:val="center"/>
            <w:hideMark/>
          </w:tcPr>
          <w:p w14:paraId="5CA14C87"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Moroni - Montegrosso D'Asti</w:t>
            </w:r>
          </w:p>
        </w:tc>
        <w:tc>
          <w:tcPr>
            <w:tcW w:w="1340" w:type="dxa"/>
            <w:tcBorders>
              <w:top w:val="nil"/>
              <w:left w:val="nil"/>
              <w:bottom w:val="single" w:sz="8" w:space="0" w:color="A6A6A6"/>
              <w:right w:val="nil"/>
            </w:tcBorders>
            <w:noWrap/>
            <w:vAlign w:val="center"/>
            <w:hideMark/>
          </w:tcPr>
          <w:p w14:paraId="3301B2FB"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single" w:sz="8" w:space="0" w:color="A6A6A6"/>
              <w:right w:val="double" w:sz="6" w:space="0" w:color="A6A6A6"/>
            </w:tcBorders>
            <w:noWrap/>
            <w:vAlign w:val="center"/>
            <w:hideMark/>
          </w:tcPr>
          <w:p w14:paraId="633C1C27"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374</w:t>
            </w:r>
          </w:p>
        </w:tc>
      </w:tr>
      <w:tr w:rsidR="00335312" w:rsidRPr="002B66B1" w14:paraId="676057CA" w14:textId="77777777" w:rsidTr="002A21C0">
        <w:trPr>
          <w:trHeight w:val="300"/>
        </w:trPr>
        <w:tc>
          <w:tcPr>
            <w:tcW w:w="800" w:type="dxa"/>
            <w:tcBorders>
              <w:top w:val="nil"/>
              <w:left w:val="double" w:sz="6" w:space="0" w:color="A6A6A6"/>
              <w:bottom w:val="double" w:sz="6" w:space="0" w:color="A6A6A6"/>
              <w:right w:val="single" w:sz="8" w:space="0" w:color="A6A6A6"/>
            </w:tcBorders>
            <w:noWrap/>
            <w:vAlign w:val="center"/>
            <w:hideMark/>
          </w:tcPr>
          <w:p w14:paraId="660505B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Mont3</w:t>
            </w:r>
          </w:p>
        </w:tc>
        <w:tc>
          <w:tcPr>
            <w:tcW w:w="5480" w:type="dxa"/>
            <w:tcBorders>
              <w:top w:val="nil"/>
              <w:left w:val="nil"/>
              <w:bottom w:val="double" w:sz="6" w:space="0" w:color="A6A6A6"/>
              <w:right w:val="single" w:sz="8" w:space="0" w:color="A6A6A6"/>
            </w:tcBorders>
            <w:noWrap/>
            <w:vAlign w:val="center"/>
            <w:hideMark/>
          </w:tcPr>
          <w:p w14:paraId="69B83389"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Gareglio - Montegrosso D'Asti</w:t>
            </w:r>
          </w:p>
        </w:tc>
        <w:tc>
          <w:tcPr>
            <w:tcW w:w="1340" w:type="dxa"/>
            <w:tcBorders>
              <w:top w:val="nil"/>
              <w:left w:val="nil"/>
              <w:bottom w:val="double" w:sz="6" w:space="0" w:color="A6A6A6"/>
              <w:right w:val="nil"/>
            </w:tcBorders>
            <w:noWrap/>
            <w:vAlign w:val="center"/>
            <w:hideMark/>
          </w:tcPr>
          <w:p w14:paraId="5A9DFF9C"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w:t>
            </w:r>
          </w:p>
        </w:tc>
        <w:tc>
          <w:tcPr>
            <w:tcW w:w="1340" w:type="dxa"/>
            <w:tcBorders>
              <w:top w:val="nil"/>
              <w:left w:val="single" w:sz="8" w:space="0" w:color="A6A6A6"/>
              <w:bottom w:val="double" w:sz="6" w:space="0" w:color="A6A6A6"/>
              <w:right w:val="double" w:sz="6" w:space="0" w:color="A6A6A6"/>
            </w:tcBorders>
            <w:noWrap/>
            <w:vAlign w:val="center"/>
            <w:hideMark/>
          </w:tcPr>
          <w:p w14:paraId="7A63F2A3"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499</w:t>
            </w:r>
          </w:p>
        </w:tc>
      </w:tr>
      <w:tr w:rsidR="00335312" w:rsidRPr="002B66B1" w14:paraId="1531AEA4" w14:textId="77777777" w:rsidTr="002A21C0">
        <w:trPr>
          <w:trHeight w:val="312"/>
        </w:trPr>
        <w:tc>
          <w:tcPr>
            <w:tcW w:w="6280" w:type="dxa"/>
            <w:gridSpan w:val="2"/>
            <w:tcBorders>
              <w:top w:val="double" w:sz="6" w:space="0" w:color="A6A6A6"/>
              <w:left w:val="double" w:sz="6" w:space="0" w:color="A6A6A6"/>
              <w:bottom w:val="single" w:sz="8" w:space="0" w:color="BFBFBF"/>
              <w:right w:val="nil"/>
            </w:tcBorders>
            <w:shd w:val="clear" w:color="000000" w:fill="DAF2D0"/>
            <w:vAlign w:val="center"/>
            <w:hideMark/>
          </w:tcPr>
          <w:p w14:paraId="7614D4E5"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lastRenderedPageBreak/>
              <w:t>TOTALE SERVIZI COMUNE DI MONTEGROSSO D'ASTI</w:t>
            </w:r>
          </w:p>
        </w:tc>
        <w:tc>
          <w:tcPr>
            <w:tcW w:w="1340" w:type="dxa"/>
            <w:tcBorders>
              <w:top w:val="nil"/>
              <w:left w:val="nil"/>
              <w:bottom w:val="single" w:sz="8" w:space="0" w:color="BFBFBF"/>
              <w:right w:val="nil"/>
            </w:tcBorders>
            <w:shd w:val="clear" w:color="000000" w:fill="DAF2D0"/>
            <w:noWrap/>
            <w:vAlign w:val="center"/>
            <w:hideMark/>
          </w:tcPr>
          <w:p w14:paraId="18384057"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6</w:t>
            </w:r>
          </w:p>
        </w:tc>
        <w:tc>
          <w:tcPr>
            <w:tcW w:w="1340" w:type="dxa"/>
            <w:tcBorders>
              <w:top w:val="nil"/>
              <w:left w:val="nil"/>
              <w:bottom w:val="single" w:sz="8" w:space="0" w:color="BFBFBF"/>
              <w:right w:val="double" w:sz="6" w:space="0" w:color="A6A6A6"/>
            </w:tcBorders>
            <w:shd w:val="clear" w:color="000000" w:fill="DAF2D0"/>
            <w:noWrap/>
            <w:vAlign w:val="center"/>
            <w:hideMark/>
          </w:tcPr>
          <w:p w14:paraId="410919DB"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2.199</w:t>
            </w:r>
          </w:p>
        </w:tc>
      </w:tr>
      <w:tr w:rsidR="00335312" w:rsidRPr="002B66B1" w14:paraId="2A5E0AC2"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2E059961"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Calibri"/>
                <w:color w:val="000000"/>
                <w:sz w:val="20"/>
                <w:szCs w:val="20"/>
              </w:rPr>
              <w:t>320</w:t>
            </w:r>
          </w:p>
        </w:tc>
        <w:tc>
          <w:tcPr>
            <w:tcW w:w="5480" w:type="dxa"/>
            <w:tcBorders>
              <w:top w:val="nil"/>
              <w:left w:val="nil"/>
              <w:bottom w:val="single" w:sz="8" w:space="0" w:color="A6A6A6"/>
              <w:right w:val="single" w:sz="8" w:space="0" w:color="A6A6A6"/>
            </w:tcBorders>
            <w:noWrap/>
            <w:vAlign w:val="center"/>
            <w:hideMark/>
          </w:tcPr>
          <w:p w14:paraId="27D9E2E0"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Calibri"/>
                <w:color w:val="000000"/>
                <w:sz w:val="20"/>
                <w:szCs w:val="20"/>
              </w:rPr>
              <w:t>Pareto - Spigno m.to - Acqui Terme</w:t>
            </w:r>
          </w:p>
        </w:tc>
        <w:tc>
          <w:tcPr>
            <w:tcW w:w="1340" w:type="dxa"/>
            <w:tcBorders>
              <w:top w:val="nil"/>
              <w:left w:val="nil"/>
              <w:bottom w:val="single" w:sz="8" w:space="0" w:color="A6A6A6"/>
              <w:right w:val="nil"/>
            </w:tcBorders>
            <w:noWrap/>
            <w:vAlign w:val="center"/>
            <w:hideMark/>
          </w:tcPr>
          <w:p w14:paraId="6CE16D89"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Calibri"/>
                <w:color w:val="000000"/>
                <w:sz w:val="20"/>
                <w:szCs w:val="20"/>
              </w:rPr>
              <w:t>6</w:t>
            </w:r>
          </w:p>
        </w:tc>
        <w:tc>
          <w:tcPr>
            <w:tcW w:w="1340" w:type="dxa"/>
            <w:tcBorders>
              <w:top w:val="nil"/>
              <w:left w:val="single" w:sz="8" w:space="0" w:color="A6A6A6"/>
              <w:bottom w:val="single" w:sz="8" w:space="0" w:color="A6A6A6"/>
              <w:right w:val="double" w:sz="6" w:space="0" w:color="A6A6A6"/>
            </w:tcBorders>
            <w:noWrap/>
            <w:vAlign w:val="center"/>
            <w:hideMark/>
          </w:tcPr>
          <w:p w14:paraId="1F340986"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Calibri"/>
                <w:color w:val="000000"/>
                <w:sz w:val="20"/>
                <w:szCs w:val="20"/>
              </w:rPr>
              <w:t>18.002</w:t>
            </w:r>
          </w:p>
        </w:tc>
      </w:tr>
      <w:tr w:rsidR="00335312" w:rsidRPr="002B66B1" w14:paraId="22C58FEC"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74CF8D57"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321</w:t>
            </w:r>
          </w:p>
        </w:tc>
        <w:tc>
          <w:tcPr>
            <w:tcW w:w="5480" w:type="dxa"/>
            <w:tcBorders>
              <w:top w:val="nil"/>
              <w:left w:val="nil"/>
              <w:bottom w:val="single" w:sz="8" w:space="0" w:color="A6A6A6"/>
              <w:right w:val="single" w:sz="8" w:space="0" w:color="A6A6A6"/>
            </w:tcBorders>
            <w:noWrap/>
            <w:vAlign w:val="center"/>
            <w:hideMark/>
          </w:tcPr>
          <w:p w14:paraId="596E2CC7"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Mioglia (SV) - Miogliola - Ponte Erro</w:t>
            </w:r>
          </w:p>
        </w:tc>
        <w:tc>
          <w:tcPr>
            <w:tcW w:w="1340" w:type="dxa"/>
            <w:tcBorders>
              <w:top w:val="nil"/>
              <w:left w:val="nil"/>
              <w:bottom w:val="single" w:sz="8" w:space="0" w:color="A6A6A6"/>
              <w:right w:val="nil"/>
            </w:tcBorders>
            <w:noWrap/>
            <w:vAlign w:val="center"/>
            <w:hideMark/>
          </w:tcPr>
          <w:p w14:paraId="72B8B6F7"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12</w:t>
            </w:r>
          </w:p>
        </w:tc>
        <w:tc>
          <w:tcPr>
            <w:tcW w:w="1340" w:type="dxa"/>
            <w:tcBorders>
              <w:top w:val="nil"/>
              <w:left w:val="single" w:sz="8" w:space="0" w:color="A6A6A6"/>
              <w:bottom w:val="single" w:sz="8" w:space="0" w:color="A6A6A6"/>
              <w:right w:val="double" w:sz="6" w:space="0" w:color="A6A6A6"/>
            </w:tcBorders>
            <w:noWrap/>
            <w:vAlign w:val="center"/>
            <w:hideMark/>
          </w:tcPr>
          <w:p w14:paraId="3350186B"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9.780</w:t>
            </w:r>
          </w:p>
        </w:tc>
      </w:tr>
      <w:tr w:rsidR="00335312" w:rsidRPr="002B66B1" w14:paraId="0C2DB227" w14:textId="77777777" w:rsidTr="002A21C0">
        <w:trPr>
          <w:trHeight w:val="300"/>
        </w:trPr>
        <w:tc>
          <w:tcPr>
            <w:tcW w:w="6280" w:type="dxa"/>
            <w:gridSpan w:val="2"/>
            <w:tcBorders>
              <w:top w:val="single" w:sz="8" w:space="0" w:color="A6A6A6"/>
              <w:left w:val="double" w:sz="6" w:space="0" w:color="A6A6A6"/>
              <w:bottom w:val="single" w:sz="8" w:space="0" w:color="BFBFBF"/>
              <w:right w:val="nil"/>
            </w:tcBorders>
            <w:shd w:val="clear" w:color="000000" w:fill="DAF2D0"/>
            <w:vAlign w:val="center"/>
            <w:hideMark/>
          </w:tcPr>
          <w:p w14:paraId="102F1C6A"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COMUNE DI PARETO</w:t>
            </w:r>
          </w:p>
        </w:tc>
        <w:tc>
          <w:tcPr>
            <w:tcW w:w="1340" w:type="dxa"/>
            <w:tcBorders>
              <w:top w:val="nil"/>
              <w:left w:val="nil"/>
              <w:bottom w:val="single" w:sz="8" w:space="0" w:color="BFBFBF"/>
              <w:right w:val="nil"/>
            </w:tcBorders>
            <w:shd w:val="clear" w:color="000000" w:fill="DAF2D0"/>
            <w:noWrap/>
            <w:vAlign w:val="center"/>
            <w:hideMark/>
          </w:tcPr>
          <w:p w14:paraId="7A61D383"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18</w:t>
            </w:r>
          </w:p>
        </w:tc>
        <w:tc>
          <w:tcPr>
            <w:tcW w:w="1340" w:type="dxa"/>
            <w:tcBorders>
              <w:top w:val="nil"/>
              <w:left w:val="nil"/>
              <w:bottom w:val="single" w:sz="8" w:space="0" w:color="BFBFBF"/>
              <w:right w:val="double" w:sz="6" w:space="0" w:color="A6A6A6"/>
            </w:tcBorders>
            <w:shd w:val="clear" w:color="000000" w:fill="DAF2D0"/>
            <w:noWrap/>
            <w:vAlign w:val="center"/>
            <w:hideMark/>
          </w:tcPr>
          <w:p w14:paraId="15FC53F6"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27.782</w:t>
            </w:r>
          </w:p>
        </w:tc>
      </w:tr>
      <w:tr w:rsidR="00335312" w:rsidRPr="002B66B1" w14:paraId="0525EB2A" w14:textId="77777777" w:rsidTr="002A21C0">
        <w:trPr>
          <w:trHeight w:val="300"/>
        </w:trPr>
        <w:tc>
          <w:tcPr>
            <w:tcW w:w="800" w:type="dxa"/>
            <w:tcBorders>
              <w:top w:val="nil"/>
              <w:left w:val="double" w:sz="6" w:space="0" w:color="A6A6A6"/>
              <w:bottom w:val="single" w:sz="8" w:space="0" w:color="A6A6A6"/>
              <w:right w:val="single" w:sz="8" w:space="0" w:color="A6A6A6"/>
            </w:tcBorders>
            <w:noWrap/>
            <w:vAlign w:val="center"/>
            <w:hideMark/>
          </w:tcPr>
          <w:p w14:paraId="501834F8"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Calibri"/>
                <w:color w:val="000000"/>
                <w:sz w:val="20"/>
                <w:szCs w:val="20"/>
              </w:rPr>
              <w:t>102</w:t>
            </w:r>
          </w:p>
        </w:tc>
        <w:tc>
          <w:tcPr>
            <w:tcW w:w="5480" w:type="dxa"/>
            <w:tcBorders>
              <w:top w:val="nil"/>
              <w:left w:val="nil"/>
              <w:bottom w:val="single" w:sz="8" w:space="0" w:color="A6A6A6"/>
              <w:right w:val="single" w:sz="8" w:space="0" w:color="A6A6A6"/>
            </w:tcBorders>
            <w:noWrap/>
            <w:vAlign w:val="center"/>
            <w:hideMark/>
          </w:tcPr>
          <w:p w14:paraId="4BB4EDC7" w14:textId="77777777" w:rsidR="00335312" w:rsidRPr="002B66B1" w:rsidRDefault="00335312" w:rsidP="002A21C0">
            <w:pPr>
              <w:spacing w:after="0" w:line="240" w:lineRule="auto"/>
              <w:jc w:val="left"/>
              <w:rPr>
                <w:rFonts w:ascii="Calibri" w:eastAsia="Times New Roman" w:hAnsi="Calibri" w:cs="Calibri"/>
                <w:color w:val="000000"/>
                <w:sz w:val="20"/>
                <w:szCs w:val="20"/>
              </w:rPr>
            </w:pPr>
            <w:r w:rsidRPr="002B66B1">
              <w:rPr>
                <w:rFonts w:ascii="Calibri" w:eastAsia="Times New Roman" w:hAnsi="Calibri" w:cs="Calibri"/>
                <w:color w:val="000000"/>
                <w:sz w:val="20"/>
                <w:szCs w:val="20"/>
              </w:rPr>
              <w:t>Roccaverano - Vesime Con Prolungamento E Diramazione</w:t>
            </w:r>
          </w:p>
        </w:tc>
        <w:tc>
          <w:tcPr>
            <w:tcW w:w="1340" w:type="dxa"/>
            <w:tcBorders>
              <w:top w:val="nil"/>
              <w:left w:val="nil"/>
              <w:bottom w:val="single" w:sz="8" w:space="0" w:color="A6A6A6"/>
              <w:right w:val="nil"/>
            </w:tcBorders>
            <w:noWrap/>
            <w:vAlign w:val="center"/>
            <w:hideMark/>
          </w:tcPr>
          <w:p w14:paraId="7712C368"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18</w:t>
            </w:r>
          </w:p>
        </w:tc>
        <w:tc>
          <w:tcPr>
            <w:tcW w:w="1340" w:type="dxa"/>
            <w:tcBorders>
              <w:top w:val="nil"/>
              <w:left w:val="single" w:sz="8" w:space="0" w:color="A6A6A6"/>
              <w:bottom w:val="single" w:sz="8" w:space="0" w:color="A6A6A6"/>
              <w:right w:val="double" w:sz="6" w:space="0" w:color="A6A6A6"/>
            </w:tcBorders>
            <w:noWrap/>
            <w:vAlign w:val="center"/>
            <w:hideMark/>
          </w:tcPr>
          <w:p w14:paraId="25DF5E00" w14:textId="77777777" w:rsidR="00335312" w:rsidRPr="002B66B1" w:rsidRDefault="00335312" w:rsidP="002A21C0">
            <w:pPr>
              <w:spacing w:after="0" w:line="240" w:lineRule="auto"/>
              <w:jc w:val="right"/>
              <w:rPr>
                <w:rFonts w:ascii="Calibri" w:eastAsia="Times New Roman" w:hAnsi="Calibri" w:cs="Calibri"/>
                <w:color w:val="000000"/>
                <w:sz w:val="20"/>
                <w:szCs w:val="20"/>
              </w:rPr>
            </w:pPr>
            <w:r w:rsidRPr="002B66B1">
              <w:rPr>
                <w:rFonts w:ascii="Calibri" w:eastAsia="Times New Roman" w:hAnsi="Calibri" w:cstheme="minorHAnsi"/>
                <w:color w:val="000000"/>
                <w:sz w:val="20"/>
                <w:szCs w:val="20"/>
              </w:rPr>
              <w:t>27.830</w:t>
            </w:r>
          </w:p>
        </w:tc>
      </w:tr>
      <w:tr w:rsidR="00335312" w:rsidRPr="002B66B1" w14:paraId="07417C63" w14:textId="77777777" w:rsidTr="002A21C0">
        <w:trPr>
          <w:trHeight w:val="300"/>
        </w:trPr>
        <w:tc>
          <w:tcPr>
            <w:tcW w:w="6280" w:type="dxa"/>
            <w:gridSpan w:val="2"/>
            <w:tcBorders>
              <w:top w:val="single" w:sz="8" w:space="0" w:color="A6A6A6"/>
              <w:left w:val="double" w:sz="6" w:space="0" w:color="A6A6A6"/>
              <w:bottom w:val="single" w:sz="8" w:space="0" w:color="BFBFBF"/>
              <w:right w:val="nil"/>
            </w:tcBorders>
            <w:shd w:val="clear" w:color="000000" w:fill="DAF2D0"/>
            <w:vAlign w:val="center"/>
            <w:hideMark/>
          </w:tcPr>
          <w:p w14:paraId="1ABB5079"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UNIONE MONTANA LANGA ASTIGIANA VAL BORMIDA</w:t>
            </w:r>
          </w:p>
        </w:tc>
        <w:tc>
          <w:tcPr>
            <w:tcW w:w="1340" w:type="dxa"/>
            <w:tcBorders>
              <w:top w:val="nil"/>
              <w:left w:val="nil"/>
              <w:bottom w:val="single" w:sz="8" w:space="0" w:color="BFBFBF"/>
              <w:right w:val="nil"/>
            </w:tcBorders>
            <w:shd w:val="clear" w:color="000000" w:fill="DAF2D0"/>
            <w:noWrap/>
            <w:vAlign w:val="center"/>
            <w:hideMark/>
          </w:tcPr>
          <w:p w14:paraId="1F0AFDDD"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18</w:t>
            </w:r>
          </w:p>
        </w:tc>
        <w:tc>
          <w:tcPr>
            <w:tcW w:w="1340" w:type="dxa"/>
            <w:tcBorders>
              <w:top w:val="nil"/>
              <w:left w:val="nil"/>
              <w:bottom w:val="single" w:sz="8" w:space="0" w:color="BFBFBF"/>
              <w:right w:val="double" w:sz="6" w:space="0" w:color="A6A6A6"/>
            </w:tcBorders>
            <w:shd w:val="clear" w:color="000000" w:fill="DAF2D0"/>
            <w:noWrap/>
            <w:vAlign w:val="center"/>
            <w:hideMark/>
          </w:tcPr>
          <w:p w14:paraId="03B9BAD7"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27.830</w:t>
            </w:r>
          </w:p>
        </w:tc>
      </w:tr>
      <w:tr w:rsidR="00335312" w:rsidRPr="002B66B1" w14:paraId="455EDF55" w14:textId="77777777" w:rsidTr="002A21C0">
        <w:trPr>
          <w:trHeight w:val="312"/>
        </w:trPr>
        <w:tc>
          <w:tcPr>
            <w:tcW w:w="800" w:type="dxa"/>
            <w:tcBorders>
              <w:top w:val="double" w:sz="6" w:space="0" w:color="A6A6A6"/>
              <w:left w:val="double" w:sz="6" w:space="0" w:color="A6A6A6"/>
              <w:bottom w:val="double" w:sz="6" w:space="0" w:color="A6A6A6"/>
              <w:right w:val="single" w:sz="8" w:space="0" w:color="A6A6A6"/>
            </w:tcBorders>
            <w:shd w:val="clear" w:color="000000" w:fill="A5C34C"/>
            <w:vAlign w:val="center"/>
            <w:hideMark/>
          </w:tcPr>
          <w:p w14:paraId="764D90DE"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 </w:t>
            </w:r>
          </w:p>
        </w:tc>
        <w:tc>
          <w:tcPr>
            <w:tcW w:w="5480" w:type="dxa"/>
            <w:tcBorders>
              <w:top w:val="double" w:sz="6" w:space="0" w:color="A6A6A6"/>
              <w:left w:val="nil"/>
              <w:bottom w:val="double" w:sz="6" w:space="0" w:color="A6A6A6"/>
              <w:right w:val="single" w:sz="8" w:space="0" w:color="A6A6A6"/>
            </w:tcBorders>
            <w:shd w:val="clear" w:color="000000" w:fill="A5C34C"/>
            <w:vAlign w:val="center"/>
            <w:hideMark/>
          </w:tcPr>
          <w:p w14:paraId="18BB899D" w14:textId="77777777" w:rsidR="00335312" w:rsidRPr="002B66B1" w:rsidRDefault="00335312" w:rsidP="002A21C0">
            <w:pPr>
              <w:spacing w:after="0" w:line="240" w:lineRule="auto"/>
              <w:jc w:val="lef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TOTALE SERVIZI IN AREA A DOMANDA DEBOLE</w:t>
            </w:r>
          </w:p>
        </w:tc>
        <w:tc>
          <w:tcPr>
            <w:tcW w:w="1340" w:type="dxa"/>
            <w:tcBorders>
              <w:top w:val="double" w:sz="6" w:space="0" w:color="A6A6A6"/>
              <w:left w:val="nil"/>
              <w:bottom w:val="double" w:sz="6" w:space="0" w:color="A6A6A6"/>
              <w:right w:val="single" w:sz="8" w:space="0" w:color="A6A6A6"/>
            </w:tcBorders>
            <w:shd w:val="clear" w:color="000000" w:fill="A5C34C"/>
            <w:vAlign w:val="center"/>
            <w:hideMark/>
          </w:tcPr>
          <w:p w14:paraId="6D9B1457"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83</w:t>
            </w:r>
          </w:p>
        </w:tc>
        <w:tc>
          <w:tcPr>
            <w:tcW w:w="1340" w:type="dxa"/>
            <w:tcBorders>
              <w:top w:val="double" w:sz="6" w:space="0" w:color="A6A6A6"/>
              <w:left w:val="nil"/>
              <w:bottom w:val="double" w:sz="6" w:space="0" w:color="A6A6A6"/>
              <w:right w:val="double" w:sz="6" w:space="0" w:color="A6A6A6"/>
            </w:tcBorders>
            <w:shd w:val="clear" w:color="000000" w:fill="A5C34C"/>
            <w:vAlign w:val="center"/>
            <w:hideMark/>
          </w:tcPr>
          <w:p w14:paraId="7168324E" w14:textId="77777777" w:rsidR="00335312" w:rsidRPr="002B66B1" w:rsidRDefault="00335312" w:rsidP="002A21C0">
            <w:pPr>
              <w:spacing w:after="0" w:line="240" w:lineRule="auto"/>
              <w:jc w:val="right"/>
              <w:rPr>
                <w:rFonts w:ascii="Calibri" w:eastAsia="Times New Roman" w:hAnsi="Calibri" w:cs="Calibri"/>
                <w:b/>
                <w:bCs/>
                <w:color w:val="000000"/>
                <w:sz w:val="20"/>
                <w:szCs w:val="20"/>
              </w:rPr>
            </w:pPr>
            <w:r w:rsidRPr="002B66B1">
              <w:rPr>
                <w:rFonts w:ascii="Calibri" w:eastAsia="Times New Roman" w:hAnsi="Calibri" w:cs="Calibri"/>
                <w:b/>
                <w:bCs/>
                <w:color w:val="000000"/>
                <w:sz w:val="20"/>
                <w:szCs w:val="20"/>
              </w:rPr>
              <w:t xml:space="preserve">106.322 </w:t>
            </w:r>
          </w:p>
        </w:tc>
      </w:tr>
    </w:tbl>
    <w:p w14:paraId="63AAA99A" w14:textId="45EB8156" w:rsidR="00335312" w:rsidRPr="00677A61" w:rsidRDefault="00335312" w:rsidP="00335312">
      <w:pPr>
        <w:pStyle w:val="Didascalia"/>
        <w:jc w:val="center"/>
        <w:rPr>
          <w:iCs w:val="0"/>
        </w:rPr>
      </w:pPr>
      <w:r>
        <w:t xml:space="preserve">Tabella </w:t>
      </w:r>
      <w:r>
        <w:fldChar w:fldCharType="begin"/>
      </w:r>
      <w:r>
        <w:instrText xml:space="preserve"> SEQ Tabella \* ARABIC </w:instrText>
      </w:r>
      <w:r>
        <w:fldChar w:fldCharType="separate"/>
      </w:r>
      <w:r w:rsidR="00670903">
        <w:rPr>
          <w:noProof/>
        </w:rPr>
        <w:t>33</w:t>
      </w:r>
      <w:r>
        <w:rPr>
          <w:noProof/>
        </w:rPr>
        <w:fldChar w:fldCharType="end"/>
      </w:r>
      <w:r>
        <w:rPr>
          <w:i w:val="0"/>
        </w:rPr>
        <w:t xml:space="preserve"> – </w:t>
      </w:r>
      <w:r w:rsidRPr="00677A61">
        <w:rPr>
          <w:iCs w:val="0"/>
        </w:rPr>
        <w:t xml:space="preserve">Quadro del servizio automobilistico erogato </w:t>
      </w:r>
      <w:r>
        <w:rPr>
          <w:iCs w:val="0"/>
        </w:rPr>
        <w:t>da Enti sottoscrittori di</w:t>
      </w:r>
      <w:r w:rsidRPr="00677A61">
        <w:rPr>
          <w:iCs w:val="0"/>
        </w:rPr>
        <w:t xml:space="preserve"> AdP</w:t>
      </w:r>
    </w:p>
    <w:p w14:paraId="24DBC72A" w14:textId="77777777" w:rsidR="00335312" w:rsidRPr="00616B66" w:rsidRDefault="00335312" w:rsidP="00335312">
      <w:pPr>
        <w:tabs>
          <w:tab w:val="left" w:pos="6804"/>
        </w:tabs>
        <w:spacing w:before="120" w:after="0" w:line="240" w:lineRule="auto"/>
      </w:pPr>
      <w:r w:rsidRPr="00616B66">
        <w:t>Di seguito si riportano i dati disponibili per gli Accordi di Programma del Bacino Sud Est ricavati in prima istanza dall’ONTPL o quando non presenti dai riscontri ottenuti dal AMP ai monitoraggi condotti nel periodo 2021-2023</w:t>
      </w:r>
    </w:p>
    <w:p w14:paraId="1E74672F" w14:textId="77777777" w:rsidR="00335312" w:rsidRDefault="00335312" w:rsidP="00335312">
      <w:pPr>
        <w:tabs>
          <w:tab w:val="left" w:pos="6804"/>
        </w:tabs>
        <w:spacing w:before="120" w:after="0" w:line="240" w:lineRule="auto"/>
      </w:pPr>
    </w:p>
    <w:tbl>
      <w:tblPr>
        <w:tblW w:w="7800" w:type="dxa"/>
        <w:jc w:val="center"/>
        <w:tblCellMar>
          <w:left w:w="70" w:type="dxa"/>
          <w:right w:w="70" w:type="dxa"/>
        </w:tblCellMar>
        <w:tblLook w:val="04A0" w:firstRow="1" w:lastRow="0" w:firstColumn="1" w:lastColumn="0" w:noHBand="0" w:noVBand="1"/>
      </w:tblPr>
      <w:tblGrid>
        <w:gridCol w:w="4980"/>
        <w:gridCol w:w="940"/>
        <w:gridCol w:w="940"/>
        <w:gridCol w:w="940"/>
      </w:tblGrid>
      <w:tr w:rsidR="00335312" w:rsidRPr="00463B9F" w14:paraId="507BD237" w14:textId="77777777" w:rsidTr="002A21C0">
        <w:trPr>
          <w:trHeight w:val="300"/>
          <w:jc w:val="center"/>
        </w:trPr>
        <w:tc>
          <w:tcPr>
            <w:tcW w:w="4980" w:type="dxa"/>
            <w:tcBorders>
              <w:top w:val="single" w:sz="8" w:space="0" w:color="A6A6A6"/>
              <w:left w:val="single" w:sz="8" w:space="0" w:color="A6A6A6"/>
              <w:bottom w:val="single" w:sz="8" w:space="0" w:color="A6A6A6"/>
              <w:right w:val="single" w:sz="8" w:space="0" w:color="A6A6A6"/>
            </w:tcBorders>
            <w:shd w:val="clear" w:color="000000" w:fill="A5C34C"/>
            <w:noWrap/>
            <w:vAlign w:val="center"/>
            <w:hideMark/>
          </w:tcPr>
          <w:p w14:paraId="72A73024" w14:textId="77777777" w:rsidR="00335312" w:rsidRPr="00463B9F" w:rsidRDefault="00335312" w:rsidP="002A21C0">
            <w:pPr>
              <w:spacing w:after="0" w:line="240" w:lineRule="auto"/>
              <w:rPr>
                <w:rFonts w:ascii="Calibri" w:eastAsia="Times New Roman" w:hAnsi="Calibri" w:cs="Calibri"/>
                <w:b/>
                <w:bCs/>
                <w:color w:val="000000"/>
                <w:sz w:val="20"/>
                <w:szCs w:val="20"/>
              </w:rPr>
            </w:pPr>
            <w:r w:rsidRPr="00463B9F">
              <w:rPr>
                <w:rFonts w:ascii="Calibri" w:eastAsia="Times New Roman" w:hAnsi="Calibri" w:cs="Calibri"/>
                <w:b/>
                <w:bCs/>
                <w:color w:val="000000"/>
                <w:sz w:val="20"/>
                <w:szCs w:val="20"/>
              </w:rPr>
              <w:t>Valori</w:t>
            </w:r>
          </w:p>
        </w:tc>
        <w:tc>
          <w:tcPr>
            <w:tcW w:w="940" w:type="dxa"/>
            <w:tcBorders>
              <w:top w:val="single" w:sz="8" w:space="0" w:color="A6A6A6"/>
              <w:left w:val="nil"/>
              <w:bottom w:val="single" w:sz="8" w:space="0" w:color="A6A6A6"/>
              <w:right w:val="single" w:sz="8" w:space="0" w:color="A6A6A6"/>
            </w:tcBorders>
            <w:shd w:val="clear" w:color="000000" w:fill="A5C34C"/>
            <w:noWrap/>
            <w:vAlign w:val="center"/>
            <w:hideMark/>
          </w:tcPr>
          <w:p w14:paraId="12EECC84"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2021</w:t>
            </w:r>
          </w:p>
        </w:tc>
        <w:tc>
          <w:tcPr>
            <w:tcW w:w="940" w:type="dxa"/>
            <w:tcBorders>
              <w:top w:val="single" w:sz="8" w:space="0" w:color="A6A6A6"/>
              <w:left w:val="nil"/>
              <w:bottom w:val="single" w:sz="8" w:space="0" w:color="A6A6A6"/>
              <w:right w:val="single" w:sz="8" w:space="0" w:color="A6A6A6"/>
            </w:tcBorders>
            <w:shd w:val="clear" w:color="000000" w:fill="A5C34C"/>
            <w:noWrap/>
            <w:vAlign w:val="center"/>
            <w:hideMark/>
          </w:tcPr>
          <w:p w14:paraId="6E28AC1B"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2022</w:t>
            </w:r>
          </w:p>
        </w:tc>
        <w:tc>
          <w:tcPr>
            <w:tcW w:w="940" w:type="dxa"/>
            <w:tcBorders>
              <w:top w:val="single" w:sz="8" w:space="0" w:color="A6A6A6"/>
              <w:left w:val="nil"/>
              <w:bottom w:val="single" w:sz="8" w:space="0" w:color="A6A6A6"/>
              <w:right w:val="single" w:sz="8" w:space="0" w:color="A6A6A6"/>
            </w:tcBorders>
            <w:shd w:val="clear" w:color="000000" w:fill="A5C34C"/>
            <w:noWrap/>
            <w:vAlign w:val="center"/>
            <w:hideMark/>
          </w:tcPr>
          <w:p w14:paraId="295F84F1"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2023</w:t>
            </w:r>
          </w:p>
        </w:tc>
      </w:tr>
      <w:tr w:rsidR="00335312" w:rsidRPr="00463B9F" w14:paraId="3CB28005"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393C5874"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AGLIANO TERME</w:t>
            </w:r>
          </w:p>
        </w:tc>
        <w:tc>
          <w:tcPr>
            <w:tcW w:w="940" w:type="dxa"/>
            <w:tcBorders>
              <w:top w:val="nil"/>
              <w:left w:val="nil"/>
              <w:bottom w:val="single" w:sz="8" w:space="0" w:color="A6A6A6"/>
              <w:right w:val="single" w:sz="8" w:space="0" w:color="A6A6A6"/>
            </w:tcBorders>
            <w:shd w:val="clear" w:color="000000" w:fill="CFE4AF"/>
            <w:noWrap/>
            <w:vAlign w:val="center"/>
            <w:hideMark/>
          </w:tcPr>
          <w:p w14:paraId="5B1A3720"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17C1B06D"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C9A0B5A"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59239F8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6E6114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6331223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1.500</w:t>
            </w:r>
          </w:p>
        </w:tc>
        <w:tc>
          <w:tcPr>
            <w:tcW w:w="940" w:type="dxa"/>
            <w:tcBorders>
              <w:top w:val="nil"/>
              <w:left w:val="nil"/>
              <w:bottom w:val="single" w:sz="8" w:space="0" w:color="A6A6A6"/>
              <w:right w:val="single" w:sz="8" w:space="0" w:color="A6A6A6"/>
            </w:tcBorders>
            <w:noWrap/>
            <w:vAlign w:val="center"/>
            <w:hideMark/>
          </w:tcPr>
          <w:p w14:paraId="6EF9660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1.590</w:t>
            </w:r>
          </w:p>
        </w:tc>
        <w:tc>
          <w:tcPr>
            <w:tcW w:w="940" w:type="dxa"/>
            <w:tcBorders>
              <w:top w:val="nil"/>
              <w:left w:val="nil"/>
              <w:bottom w:val="single" w:sz="8" w:space="0" w:color="A6A6A6"/>
              <w:right w:val="single" w:sz="8" w:space="0" w:color="A6A6A6"/>
            </w:tcBorders>
            <w:noWrap/>
            <w:vAlign w:val="center"/>
            <w:hideMark/>
          </w:tcPr>
          <w:p w14:paraId="70CBE52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1.590</w:t>
            </w:r>
          </w:p>
        </w:tc>
      </w:tr>
      <w:tr w:rsidR="00335312" w:rsidRPr="00463B9F" w14:paraId="6263FDD4"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6ABD01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485AD83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6025E2B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8766DE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91FDC9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10D9AF6"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71FEAD4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524960F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6418DE9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5FFD5FD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65E33E5"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26F9A40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3.120 €</w:t>
            </w:r>
          </w:p>
        </w:tc>
        <w:tc>
          <w:tcPr>
            <w:tcW w:w="940" w:type="dxa"/>
            <w:tcBorders>
              <w:top w:val="nil"/>
              <w:left w:val="nil"/>
              <w:bottom w:val="single" w:sz="8" w:space="0" w:color="A6A6A6"/>
              <w:right w:val="single" w:sz="8" w:space="0" w:color="A6A6A6"/>
            </w:tcBorders>
            <w:noWrap/>
            <w:vAlign w:val="center"/>
            <w:hideMark/>
          </w:tcPr>
          <w:p w14:paraId="521626C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3.120 €</w:t>
            </w:r>
          </w:p>
        </w:tc>
        <w:tc>
          <w:tcPr>
            <w:tcW w:w="940" w:type="dxa"/>
            <w:tcBorders>
              <w:top w:val="nil"/>
              <w:left w:val="nil"/>
              <w:bottom w:val="single" w:sz="8" w:space="0" w:color="A6A6A6"/>
              <w:right w:val="single" w:sz="8" w:space="0" w:color="A6A6A6"/>
            </w:tcBorders>
            <w:noWrap/>
            <w:vAlign w:val="center"/>
            <w:hideMark/>
          </w:tcPr>
          <w:p w14:paraId="36D9E39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3.120 €</w:t>
            </w:r>
          </w:p>
        </w:tc>
      </w:tr>
      <w:tr w:rsidR="00335312" w:rsidRPr="00463B9F" w14:paraId="303C5F01"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6528D3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7800C6E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50DB8E2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1E8EF9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380FA2F"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715797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2DE1846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390</w:t>
            </w:r>
          </w:p>
        </w:tc>
        <w:tc>
          <w:tcPr>
            <w:tcW w:w="940" w:type="dxa"/>
            <w:tcBorders>
              <w:top w:val="nil"/>
              <w:left w:val="nil"/>
              <w:bottom w:val="single" w:sz="8" w:space="0" w:color="A6A6A6"/>
              <w:right w:val="single" w:sz="8" w:space="0" w:color="A6A6A6"/>
            </w:tcBorders>
            <w:noWrap/>
            <w:vAlign w:val="center"/>
            <w:hideMark/>
          </w:tcPr>
          <w:p w14:paraId="3FA02EE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240</w:t>
            </w:r>
          </w:p>
        </w:tc>
        <w:tc>
          <w:tcPr>
            <w:tcW w:w="940" w:type="dxa"/>
            <w:tcBorders>
              <w:top w:val="nil"/>
              <w:left w:val="nil"/>
              <w:bottom w:val="single" w:sz="8" w:space="0" w:color="A6A6A6"/>
              <w:right w:val="single" w:sz="8" w:space="0" w:color="A6A6A6"/>
            </w:tcBorders>
            <w:noWrap/>
            <w:vAlign w:val="center"/>
            <w:hideMark/>
          </w:tcPr>
          <w:p w14:paraId="7F34B14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250</w:t>
            </w:r>
          </w:p>
        </w:tc>
      </w:tr>
      <w:tr w:rsidR="00335312" w:rsidRPr="00463B9F" w14:paraId="28C5522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60AA263"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0104641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2081969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2679C69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r>
      <w:tr w:rsidR="00335312" w:rsidRPr="00463B9F" w14:paraId="4B9448BF"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4ECC36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7A11D8F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9BE66C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87A6C2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3B33448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12B797CA"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ARAMENGO</w:t>
            </w:r>
          </w:p>
        </w:tc>
        <w:tc>
          <w:tcPr>
            <w:tcW w:w="940" w:type="dxa"/>
            <w:tcBorders>
              <w:top w:val="nil"/>
              <w:left w:val="nil"/>
              <w:bottom w:val="single" w:sz="8" w:space="0" w:color="A6A6A6"/>
              <w:right w:val="single" w:sz="8" w:space="0" w:color="A6A6A6"/>
            </w:tcBorders>
            <w:shd w:val="clear" w:color="000000" w:fill="CFE4AF"/>
            <w:noWrap/>
            <w:vAlign w:val="center"/>
            <w:hideMark/>
          </w:tcPr>
          <w:p w14:paraId="2846D00A"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3FA7D731"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24F73830"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7651DA18"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8D9E17D"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19AC537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16.172</w:t>
            </w:r>
          </w:p>
        </w:tc>
        <w:tc>
          <w:tcPr>
            <w:tcW w:w="940" w:type="dxa"/>
            <w:tcBorders>
              <w:top w:val="nil"/>
              <w:left w:val="nil"/>
              <w:bottom w:val="single" w:sz="8" w:space="0" w:color="A6A6A6"/>
              <w:right w:val="single" w:sz="8" w:space="0" w:color="A6A6A6"/>
            </w:tcBorders>
            <w:noWrap/>
            <w:vAlign w:val="center"/>
            <w:hideMark/>
          </w:tcPr>
          <w:p w14:paraId="030A30D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16.172</w:t>
            </w:r>
          </w:p>
        </w:tc>
        <w:tc>
          <w:tcPr>
            <w:tcW w:w="940" w:type="dxa"/>
            <w:tcBorders>
              <w:top w:val="nil"/>
              <w:left w:val="nil"/>
              <w:bottom w:val="single" w:sz="8" w:space="0" w:color="A6A6A6"/>
              <w:right w:val="single" w:sz="8" w:space="0" w:color="A6A6A6"/>
            </w:tcBorders>
            <w:noWrap/>
            <w:vAlign w:val="center"/>
            <w:hideMark/>
          </w:tcPr>
          <w:p w14:paraId="3900FF6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19.873</w:t>
            </w:r>
          </w:p>
        </w:tc>
      </w:tr>
      <w:tr w:rsidR="00335312" w:rsidRPr="00463B9F" w14:paraId="5059C22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D28C1D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5FA1C13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5B7DCF2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4807D7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767FAFF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E79308D"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2A484C6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2A86B6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22C3F2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53E0F4A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B8F10D9"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5A86052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11.960 €</w:t>
            </w:r>
          </w:p>
        </w:tc>
        <w:tc>
          <w:tcPr>
            <w:tcW w:w="940" w:type="dxa"/>
            <w:tcBorders>
              <w:top w:val="nil"/>
              <w:left w:val="nil"/>
              <w:bottom w:val="single" w:sz="8" w:space="0" w:color="A6A6A6"/>
              <w:right w:val="single" w:sz="8" w:space="0" w:color="A6A6A6"/>
            </w:tcBorders>
            <w:noWrap/>
            <w:vAlign w:val="center"/>
            <w:hideMark/>
          </w:tcPr>
          <w:p w14:paraId="6280D5C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11.960 €</w:t>
            </w:r>
          </w:p>
        </w:tc>
        <w:tc>
          <w:tcPr>
            <w:tcW w:w="940" w:type="dxa"/>
            <w:tcBorders>
              <w:top w:val="nil"/>
              <w:left w:val="nil"/>
              <w:bottom w:val="single" w:sz="8" w:space="0" w:color="A6A6A6"/>
              <w:right w:val="single" w:sz="8" w:space="0" w:color="A6A6A6"/>
            </w:tcBorders>
            <w:noWrap/>
            <w:vAlign w:val="center"/>
            <w:hideMark/>
          </w:tcPr>
          <w:p w14:paraId="0397067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21.758 €</w:t>
            </w:r>
          </w:p>
        </w:tc>
      </w:tr>
      <w:tr w:rsidR="00335312" w:rsidRPr="00463B9F" w14:paraId="6894D28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8158AB1"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6D76B01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7D4D817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16CDE3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77D24231"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05E090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228DD01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10.704</w:t>
            </w:r>
          </w:p>
        </w:tc>
        <w:tc>
          <w:tcPr>
            <w:tcW w:w="940" w:type="dxa"/>
            <w:tcBorders>
              <w:top w:val="nil"/>
              <w:left w:val="nil"/>
              <w:bottom w:val="single" w:sz="8" w:space="0" w:color="A6A6A6"/>
              <w:right w:val="single" w:sz="8" w:space="0" w:color="A6A6A6"/>
            </w:tcBorders>
            <w:noWrap/>
            <w:vAlign w:val="center"/>
            <w:hideMark/>
          </w:tcPr>
          <w:p w14:paraId="3574440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10.700</w:t>
            </w:r>
          </w:p>
        </w:tc>
        <w:tc>
          <w:tcPr>
            <w:tcW w:w="940" w:type="dxa"/>
            <w:tcBorders>
              <w:top w:val="nil"/>
              <w:left w:val="nil"/>
              <w:bottom w:val="single" w:sz="8" w:space="0" w:color="A6A6A6"/>
              <w:right w:val="single" w:sz="8" w:space="0" w:color="A6A6A6"/>
            </w:tcBorders>
            <w:noWrap/>
            <w:vAlign w:val="center"/>
            <w:hideMark/>
          </w:tcPr>
          <w:p w14:paraId="4862227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11.540</w:t>
            </w:r>
          </w:p>
        </w:tc>
      </w:tr>
      <w:tr w:rsidR="00335312" w:rsidRPr="00463B9F" w14:paraId="69692BE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8424CC2"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02878B2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24F2982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09C5195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w:t>
            </w:r>
          </w:p>
        </w:tc>
      </w:tr>
      <w:tr w:rsidR="00335312" w:rsidRPr="00463B9F" w14:paraId="0756882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2C5A026"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729D8ED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17EDC4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AD5637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3D026C6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1DB12C0A"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CASTELL’ALFERO *</w:t>
            </w:r>
          </w:p>
        </w:tc>
        <w:tc>
          <w:tcPr>
            <w:tcW w:w="940" w:type="dxa"/>
            <w:tcBorders>
              <w:top w:val="nil"/>
              <w:left w:val="nil"/>
              <w:bottom w:val="single" w:sz="8" w:space="0" w:color="A6A6A6"/>
              <w:right w:val="single" w:sz="8" w:space="0" w:color="A6A6A6"/>
            </w:tcBorders>
            <w:shd w:val="clear" w:color="000000" w:fill="CFE4AF"/>
            <w:noWrap/>
            <w:vAlign w:val="center"/>
            <w:hideMark/>
          </w:tcPr>
          <w:p w14:paraId="30F32B23"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BCABDB2"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2BDC49A8"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203B71C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1057201"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68F347E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10.751</w:t>
            </w:r>
          </w:p>
        </w:tc>
        <w:tc>
          <w:tcPr>
            <w:tcW w:w="940" w:type="dxa"/>
            <w:tcBorders>
              <w:top w:val="nil"/>
              <w:left w:val="nil"/>
              <w:bottom w:val="single" w:sz="8" w:space="0" w:color="A6A6A6"/>
              <w:right w:val="single" w:sz="8" w:space="0" w:color="A6A6A6"/>
            </w:tcBorders>
            <w:noWrap/>
            <w:vAlign w:val="center"/>
            <w:hideMark/>
          </w:tcPr>
          <w:p w14:paraId="581999C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10.751</w:t>
            </w:r>
          </w:p>
        </w:tc>
        <w:tc>
          <w:tcPr>
            <w:tcW w:w="940" w:type="dxa"/>
            <w:tcBorders>
              <w:top w:val="nil"/>
              <w:left w:val="nil"/>
              <w:bottom w:val="single" w:sz="8" w:space="0" w:color="A6A6A6"/>
              <w:right w:val="single" w:sz="8" w:space="0" w:color="A6A6A6"/>
            </w:tcBorders>
            <w:noWrap/>
            <w:vAlign w:val="center"/>
            <w:hideMark/>
          </w:tcPr>
          <w:p w14:paraId="692DE1C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10.751</w:t>
            </w:r>
          </w:p>
        </w:tc>
      </w:tr>
      <w:tr w:rsidR="00335312" w:rsidRPr="00463B9F" w14:paraId="729D4FB8"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387A02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2517C3F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BC6E09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7A290E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500DAB9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8083E55"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0F4BF95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0A9CD8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D3FB4F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63AA67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77B929F"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1AB4B96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3.000 €</w:t>
            </w:r>
          </w:p>
        </w:tc>
        <w:tc>
          <w:tcPr>
            <w:tcW w:w="940" w:type="dxa"/>
            <w:tcBorders>
              <w:top w:val="nil"/>
              <w:left w:val="nil"/>
              <w:bottom w:val="single" w:sz="8" w:space="0" w:color="A6A6A6"/>
              <w:right w:val="single" w:sz="8" w:space="0" w:color="A6A6A6"/>
            </w:tcBorders>
            <w:noWrap/>
            <w:vAlign w:val="center"/>
            <w:hideMark/>
          </w:tcPr>
          <w:p w14:paraId="22395D8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3.000 €</w:t>
            </w:r>
          </w:p>
        </w:tc>
        <w:tc>
          <w:tcPr>
            <w:tcW w:w="940" w:type="dxa"/>
            <w:tcBorders>
              <w:top w:val="nil"/>
              <w:left w:val="nil"/>
              <w:bottom w:val="single" w:sz="8" w:space="0" w:color="A6A6A6"/>
              <w:right w:val="single" w:sz="8" w:space="0" w:color="A6A6A6"/>
            </w:tcBorders>
            <w:noWrap/>
            <w:vAlign w:val="center"/>
            <w:hideMark/>
          </w:tcPr>
          <w:p w14:paraId="0DC5542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3.000 €</w:t>
            </w:r>
          </w:p>
        </w:tc>
      </w:tr>
      <w:tr w:rsidR="00335312" w:rsidRPr="00463B9F" w14:paraId="546B6B1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3115A4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7BC14C5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19A1A2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FE9B90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743C4FE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7F7A09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31D81E1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B07276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C7F8C7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26209C2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8D1297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1B30225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0A1CC8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A3032F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43302161" w14:textId="77777777" w:rsidTr="00185E37">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C135D6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1DF3456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8BB875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D43200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185E37" w:rsidRPr="00463B9F" w14:paraId="7DD869B2" w14:textId="77777777" w:rsidTr="00185E37">
        <w:trPr>
          <w:trHeight w:val="300"/>
          <w:jc w:val="center"/>
        </w:trPr>
        <w:tc>
          <w:tcPr>
            <w:tcW w:w="4980" w:type="dxa"/>
            <w:tcBorders>
              <w:top w:val="single" w:sz="8" w:space="0" w:color="A6A6A6"/>
              <w:bottom w:val="single" w:sz="8" w:space="0" w:color="A6A6A6"/>
            </w:tcBorders>
            <w:shd w:val="clear" w:color="auto" w:fill="auto"/>
            <w:noWrap/>
            <w:vAlign w:val="center"/>
          </w:tcPr>
          <w:p w14:paraId="718B8367" w14:textId="77777777" w:rsidR="00185E37" w:rsidRPr="00463B9F" w:rsidRDefault="00185E37" w:rsidP="002A21C0">
            <w:pPr>
              <w:spacing w:after="0" w:line="240" w:lineRule="auto"/>
              <w:rPr>
                <w:rFonts w:ascii="Calibri" w:eastAsia="Times New Roman" w:hAnsi="Calibri" w:cs="Calibri"/>
                <w:b/>
                <w:bCs/>
                <w:sz w:val="20"/>
                <w:szCs w:val="20"/>
              </w:rPr>
            </w:pPr>
          </w:p>
        </w:tc>
        <w:tc>
          <w:tcPr>
            <w:tcW w:w="940" w:type="dxa"/>
            <w:tcBorders>
              <w:top w:val="single" w:sz="8" w:space="0" w:color="A6A6A6"/>
              <w:bottom w:val="single" w:sz="8" w:space="0" w:color="A6A6A6"/>
            </w:tcBorders>
            <w:shd w:val="clear" w:color="auto" w:fill="auto"/>
            <w:noWrap/>
            <w:vAlign w:val="center"/>
          </w:tcPr>
          <w:p w14:paraId="103CF0D2" w14:textId="77777777" w:rsidR="00185E37" w:rsidRPr="00463B9F" w:rsidRDefault="00185E37" w:rsidP="002A21C0">
            <w:pPr>
              <w:spacing w:after="0" w:line="240" w:lineRule="auto"/>
              <w:jc w:val="left"/>
              <w:rPr>
                <w:rFonts w:ascii="Calibri" w:eastAsia="Times New Roman" w:hAnsi="Calibri" w:cs="Calibri"/>
              </w:rPr>
            </w:pPr>
          </w:p>
        </w:tc>
        <w:tc>
          <w:tcPr>
            <w:tcW w:w="940" w:type="dxa"/>
            <w:tcBorders>
              <w:top w:val="single" w:sz="8" w:space="0" w:color="A6A6A6"/>
              <w:bottom w:val="single" w:sz="8" w:space="0" w:color="A6A6A6"/>
            </w:tcBorders>
            <w:shd w:val="clear" w:color="auto" w:fill="auto"/>
            <w:noWrap/>
            <w:vAlign w:val="center"/>
          </w:tcPr>
          <w:p w14:paraId="0CEF5912" w14:textId="77777777" w:rsidR="00185E37" w:rsidRPr="00463B9F" w:rsidRDefault="00185E37" w:rsidP="002A21C0">
            <w:pPr>
              <w:spacing w:after="0" w:line="240" w:lineRule="auto"/>
              <w:jc w:val="left"/>
              <w:rPr>
                <w:rFonts w:ascii="Calibri" w:eastAsia="Times New Roman" w:hAnsi="Calibri" w:cs="Calibri"/>
              </w:rPr>
            </w:pPr>
          </w:p>
        </w:tc>
        <w:tc>
          <w:tcPr>
            <w:tcW w:w="940" w:type="dxa"/>
            <w:tcBorders>
              <w:top w:val="single" w:sz="8" w:space="0" w:color="A6A6A6"/>
              <w:bottom w:val="single" w:sz="8" w:space="0" w:color="A6A6A6"/>
            </w:tcBorders>
            <w:shd w:val="clear" w:color="auto" w:fill="auto"/>
            <w:noWrap/>
            <w:vAlign w:val="center"/>
          </w:tcPr>
          <w:p w14:paraId="5538C488" w14:textId="77777777" w:rsidR="00185E37" w:rsidRPr="00463B9F" w:rsidRDefault="00185E37" w:rsidP="002A21C0">
            <w:pPr>
              <w:spacing w:after="0" w:line="240" w:lineRule="auto"/>
              <w:jc w:val="left"/>
              <w:rPr>
                <w:rFonts w:ascii="Calibri" w:eastAsia="Times New Roman" w:hAnsi="Calibri" w:cs="Calibri"/>
              </w:rPr>
            </w:pPr>
          </w:p>
        </w:tc>
      </w:tr>
      <w:tr w:rsidR="00335312" w:rsidRPr="00463B9F" w14:paraId="38BFBF2A" w14:textId="77777777" w:rsidTr="00185E37">
        <w:trPr>
          <w:trHeight w:val="300"/>
          <w:jc w:val="center"/>
        </w:trPr>
        <w:tc>
          <w:tcPr>
            <w:tcW w:w="4980" w:type="dxa"/>
            <w:tcBorders>
              <w:top w:val="single" w:sz="8" w:space="0" w:color="A6A6A6"/>
              <w:left w:val="single" w:sz="8" w:space="0" w:color="A6A6A6"/>
              <w:bottom w:val="single" w:sz="8" w:space="0" w:color="A6A6A6"/>
              <w:right w:val="single" w:sz="8" w:space="0" w:color="A6A6A6"/>
            </w:tcBorders>
            <w:shd w:val="clear" w:color="000000" w:fill="CFE4AF"/>
            <w:noWrap/>
            <w:vAlign w:val="center"/>
            <w:hideMark/>
          </w:tcPr>
          <w:p w14:paraId="287D5DAE"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lastRenderedPageBreak/>
              <w:t>COMUNE DI CASTAGNOLE DELLE LANZE *</w:t>
            </w:r>
          </w:p>
        </w:tc>
        <w:tc>
          <w:tcPr>
            <w:tcW w:w="940" w:type="dxa"/>
            <w:tcBorders>
              <w:top w:val="single" w:sz="8" w:space="0" w:color="A6A6A6"/>
              <w:left w:val="nil"/>
              <w:bottom w:val="single" w:sz="8" w:space="0" w:color="A6A6A6"/>
              <w:right w:val="single" w:sz="8" w:space="0" w:color="A6A6A6"/>
            </w:tcBorders>
            <w:shd w:val="clear" w:color="000000" w:fill="CFE4AF"/>
            <w:noWrap/>
            <w:vAlign w:val="center"/>
            <w:hideMark/>
          </w:tcPr>
          <w:p w14:paraId="6C7FB513"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single" w:sz="8" w:space="0" w:color="A6A6A6"/>
              <w:left w:val="nil"/>
              <w:bottom w:val="single" w:sz="8" w:space="0" w:color="A6A6A6"/>
              <w:right w:val="single" w:sz="8" w:space="0" w:color="A6A6A6"/>
            </w:tcBorders>
            <w:shd w:val="clear" w:color="000000" w:fill="CFE4AF"/>
            <w:noWrap/>
            <w:vAlign w:val="center"/>
            <w:hideMark/>
          </w:tcPr>
          <w:p w14:paraId="7A528413"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single" w:sz="8" w:space="0" w:color="A6A6A6"/>
              <w:left w:val="nil"/>
              <w:bottom w:val="single" w:sz="8" w:space="0" w:color="A6A6A6"/>
              <w:right w:val="single" w:sz="8" w:space="0" w:color="A6A6A6"/>
            </w:tcBorders>
            <w:shd w:val="clear" w:color="000000" w:fill="CFE4AF"/>
            <w:noWrap/>
            <w:vAlign w:val="center"/>
            <w:hideMark/>
          </w:tcPr>
          <w:p w14:paraId="4AA1B594"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503F924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F15844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67805F5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750</w:t>
            </w:r>
          </w:p>
        </w:tc>
        <w:tc>
          <w:tcPr>
            <w:tcW w:w="940" w:type="dxa"/>
            <w:tcBorders>
              <w:top w:val="nil"/>
              <w:left w:val="nil"/>
              <w:bottom w:val="single" w:sz="8" w:space="0" w:color="A6A6A6"/>
              <w:right w:val="single" w:sz="8" w:space="0" w:color="A6A6A6"/>
            </w:tcBorders>
            <w:noWrap/>
            <w:vAlign w:val="center"/>
            <w:hideMark/>
          </w:tcPr>
          <w:p w14:paraId="42D6C51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750</w:t>
            </w:r>
          </w:p>
        </w:tc>
        <w:tc>
          <w:tcPr>
            <w:tcW w:w="940" w:type="dxa"/>
            <w:tcBorders>
              <w:top w:val="nil"/>
              <w:left w:val="nil"/>
              <w:bottom w:val="single" w:sz="8" w:space="0" w:color="A6A6A6"/>
              <w:right w:val="single" w:sz="8" w:space="0" w:color="A6A6A6"/>
            </w:tcBorders>
            <w:noWrap/>
            <w:vAlign w:val="center"/>
            <w:hideMark/>
          </w:tcPr>
          <w:p w14:paraId="445371B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750</w:t>
            </w:r>
          </w:p>
        </w:tc>
      </w:tr>
      <w:tr w:rsidR="00335312" w:rsidRPr="00463B9F" w14:paraId="4C79E4A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1DBFBE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5F5C5AC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5149B6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299AC7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511BCA8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B451CC6"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256DD6C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01D5A46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C11C76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FB82CA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234B305"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2AC49FD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2.200 €</w:t>
            </w:r>
          </w:p>
        </w:tc>
        <w:tc>
          <w:tcPr>
            <w:tcW w:w="940" w:type="dxa"/>
            <w:tcBorders>
              <w:top w:val="nil"/>
              <w:left w:val="nil"/>
              <w:bottom w:val="single" w:sz="8" w:space="0" w:color="A6A6A6"/>
              <w:right w:val="single" w:sz="8" w:space="0" w:color="A6A6A6"/>
            </w:tcBorders>
            <w:noWrap/>
            <w:vAlign w:val="center"/>
            <w:hideMark/>
          </w:tcPr>
          <w:p w14:paraId="5434802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2.200 €</w:t>
            </w:r>
          </w:p>
        </w:tc>
        <w:tc>
          <w:tcPr>
            <w:tcW w:w="940" w:type="dxa"/>
            <w:tcBorders>
              <w:top w:val="nil"/>
              <w:left w:val="nil"/>
              <w:bottom w:val="single" w:sz="8" w:space="0" w:color="A6A6A6"/>
              <w:right w:val="single" w:sz="8" w:space="0" w:color="A6A6A6"/>
            </w:tcBorders>
            <w:noWrap/>
            <w:vAlign w:val="center"/>
            <w:hideMark/>
          </w:tcPr>
          <w:p w14:paraId="7D242BF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2.200 €</w:t>
            </w:r>
          </w:p>
        </w:tc>
      </w:tr>
      <w:tr w:rsidR="00335312" w:rsidRPr="00463B9F" w14:paraId="6B98D5E0"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795CEE0"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192E108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73C40B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D8B7F1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54F5B65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151D7E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1BD4978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5C6E5D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A6D7A3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41C7074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16204B2"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585B049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6CD073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29B102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E35877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B6EEC50"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396C716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047936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4EE8A1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285FD02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169B2059"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CELLARENGO *</w:t>
            </w:r>
          </w:p>
        </w:tc>
        <w:tc>
          <w:tcPr>
            <w:tcW w:w="940" w:type="dxa"/>
            <w:tcBorders>
              <w:top w:val="nil"/>
              <w:left w:val="nil"/>
              <w:bottom w:val="single" w:sz="8" w:space="0" w:color="A6A6A6"/>
              <w:right w:val="single" w:sz="8" w:space="0" w:color="A6A6A6"/>
            </w:tcBorders>
            <w:shd w:val="clear" w:color="000000" w:fill="CFE4AF"/>
            <w:noWrap/>
            <w:vAlign w:val="center"/>
            <w:hideMark/>
          </w:tcPr>
          <w:p w14:paraId="5834C5AE"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B908BC2"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34E92BA"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266C3EAD"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EC10EE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4F65B09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19.030</w:t>
            </w:r>
          </w:p>
        </w:tc>
        <w:tc>
          <w:tcPr>
            <w:tcW w:w="940" w:type="dxa"/>
            <w:tcBorders>
              <w:top w:val="nil"/>
              <w:left w:val="nil"/>
              <w:bottom w:val="single" w:sz="8" w:space="0" w:color="A6A6A6"/>
              <w:right w:val="single" w:sz="8" w:space="0" w:color="A6A6A6"/>
            </w:tcBorders>
            <w:noWrap/>
            <w:vAlign w:val="center"/>
            <w:hideMark/>
          </w:tcPr>
          <w:p w14:paraId="0B34C10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19.030</w:t>
            </w:r>
          </w:p>
        </w:tc>
        <w:tc>
          <w:tcPr>
            <w:tcW w:w="940" w:type="dxa"/>
            <w:tcBorders>
              <w:top w:val="nil"/>
              <w:left w:val="nil"/>
              <w:bottom w:val="single" w:sz="8" w:space="0" w:color="A6A6A6"/>
              <w:right w:val="single" w:sz="8" w:space="0" w:color="A6A6A6"/>
            </w:tcBorders>
            <w:noWrap/>
            <w:vAlign w:val="center"/>
            <w:hideMark/>
          </w:tcPr>
          <w:p w14:paraId="01DD6B5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19.030</w:t>
            </w:r>
          </w:p>
        </w:tc>
      </w:tr>
      <w:tr w:rsidR="00335312" w:rsidRPr="00463B9F" w14:paraId="083831AD"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1AD4AA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1016481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1D9005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CEDC1F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254B39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ED66BBF"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32F07D8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F0CFA6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FEF81D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2393E525"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67AF203"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15A3397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19.462 €</w:t>
            </w:r>
          </w:p>
        </w:tc>
        <w:tc>
          <w:tcPr>
            <w:tcW w:w="940" w:type="dxa"/>
            <w:tcBorders>
              <w:top w:val="nil"/>
              <w:left w:val="nil"/>
              <w:bottom w:val="single" w:sz="8" w:space="0" w:color="A6A6A6"/>
              <w:right w:val="single" w:sz="8" w:space="0" w:color="A6A6A6"/>
            </w:tcBorders>
            <w:noWrap/>
            <w:vAlign w:val="center"/>
            <w:hideMark/>
          </w:tcPr>
          <w:p w14:paraId="31E0D5B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19.462 €</w:t>
            </w:r>
          </w:p>
        </w:tc>
        <w:tc>
          <w:tcPr>
            <w:tcW w:w="940" w:type="dxa"/>
            <w:tcBorders>
              <w:top w:val="nil"/>
              <w:left w:val="nil"/>
              <w:bottom w:val="single" w:sz="8" w:space="0" w:color="A6A6A6"/>
              <w:right w:val="single" w:sz="8" w:space="0" w:color="A6A6A6"/>
            </w:tcBorders>
            <w:noWrap/>
            <w:vAlign w:val="center"/>
            <w:hideMark/>
          </w:tcPr>
          <w:p w14:paraId="1974740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19.462 €</w:t>
            </w:r>
          </w:p>
        </w:tc>
      </w:tr>
      <w:tr w:rsidR="00335312" w:rsidRPr="00463B9F" w14:paraId="671DA561"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BCA838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23257A2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FCC4AB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0B5C185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16CC96A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75E5ECA"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7A67627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B387B0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0D42CE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35E801C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1BB752E"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4F8B459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CFAAB6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78F0CB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52A669B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09910B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2B2281F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5E0998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46E9DB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BF1A64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5532C708"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MOMBERCELLI</w:t>
            </w:r>
          </w:p>
        </w:tc>
        <w:tc>
          <w:tcPr>
            <w:tcW w:w="940" w:type="dxa"/>
            <w:tcBorders>
              <w:top w:val="nil"/>
              <w:left w:val="nil"/>
              <w:bottom w:val="single" w:sz="8" w:space="0" w:color="A6A6A6"/>
              <w:right w:val="single" w:sz="8" w:space="0" w:color="A6A6A6"/>
            </w:tcBorders>
            <w:shd w:val="clear" w:color="000000" w:fill="CFE4AF"/>
            <w:noWrap/>
            <w:vAlign w:val="center"/>
            <w:hideMark/>
          </w:tcPr>
          <w:p w14:paraId="180A5C2B"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607EA46D"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576DC63"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1052393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0856D7A"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09C5C04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2.007</w:t>
            </w:r>
          </w:p>
        </w:tc>
        <w:tc>
          <w:tcPr>
            <w:tcW w:w="940" w:type="dxa"/>
            <w:tcBorders>
              <w:top w:val="nil"/>
              <w:left w:val="nil"/>
              <w:bottom w:val="single" w:sz="8" w:space="0" w:color="A6A6A6"/>
              <w:right w:val="single" w:sz="8" w:space="0" w:color="A6A6A6"/>
            </w:tcBorders>
            <w:noWrap/>
            <w:vAlign w:val="center"/>
            <w:hideMark/>
          </w:tcPr>
          <w:p w14:paraId="026D5CC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1.536</w:t>
            </w:r>
          </w:p>
        </w:tc>
        <w:tc>
          <w:tcPr>
            <w:tcW w:w="940" w:type="dxa"/>
            <w:tcBorders>
              <w:top w:val="nil"/>
              <w:left w:val="nil"/>
              <w:bottom w:val="single" w:sz="8" w:space="0" w:color="A6A6A6"/>
              <w:right w:val="single" w:sz="8" w:space="0" w:color="A6A6A6"/>
            </w:tcBorders>
            <w:noWrap/>
            <w:vAlign w:val="center"/>
            <w:hideMark/>
          </w:tcPr>
          <w:p w14:paraId="388CE5A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1.568</w:t>
            </w:r>
          </w:p>
        </w:tc>
      </w:tr>
      <w:tr w:rsidR="00335312" w:rsidRPr="00463B9F" w14:paraId="5D2061B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D68E64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7C5693E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074A63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6184BC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8096B6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E529C4D"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02430D7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6169543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0D1B49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7E419EC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C694B5F"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3E7D3AE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3.850 €</w:t>
            </w:r>
          </w:p>
        </w:tc>
        <w:tc>
          <w:tcPr>
            <w:tcW w:w="940" w:type="dxa"/>
            <w:tcBorders>
              <w:top w:val="nil"/>
              <w:left w:val="nil"/>
              <w:bottom w:val="single" w:sz="8" w:space="0" w:color="A6A6A6"/>
              <w:right w:val="single" w:sz="8" w:space="0" w:color="A6A6A6"/>
            </w:tcBorders>
            <w:noWrap/>
            <w:vAlign w:val="center"/>
            <w:hideMark/>
          </w:tcPr>
          <w:p w14:paraId="65497D0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3.360 €</w:t>
            </w:r>
          </w:p>
        </w:tc>
        <w:tc>
          <w:tcPr>
            <w:tcW w:w="940" w:type="dxa"/>
            <w:tcBorders>
              <w:top w:val="nil"/>
              <w:left w:val="nil"/>
              <w:bottom w:val="single" w:sz="8" w:space="0" w:color="A6A6A6"/>
              <w:right w:val="single" w:sz="8" w:space="0" w:color="A6A6A6"/>
            </w:tcBorders>
            <w:noWrap/>
            <w:vAlign w:val="center"/>
            <w:hideMark/>
          </w:tcPr>
          <w:p w14:paraId="4F4DFF2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3.430 €</w:t>
            </w:r>
          </w:p>
        </w:tc>
      </w:tr>
      <w:tr w:rsidR="00335312" w:rsidRPr="00463B9F" w14:paraId="7BAB23DF"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67539E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4A3BCF8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394474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A7E55B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0354D7FD"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F8C0C6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6AC4EF4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01CA6F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576</w:t>
            </w:r>
          </w:p>
        </w:tc>
        <w:tc>
          <w:tcPr>
            <w:tcW w:w="940" w:type="dxa"/>
            <w:tcBorders>
              <w:top w:val="nil"/>
              <w:left w:val="nil"/>
              <w:bottom w:val="single" w:sz="8" w:space="0" w:color="A6A6A6"/>
              <w:right w:val="single" w:sz="8" w:space="0" w:color="A6A6A6"/>
            </w:tcBorders>
            <w:noWrap/>
            <w:vAlign w:val="center"/>
            <w:hideMark/>
          </w:tcPr>
          <w:p w14:paraId="063D939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490</w:t>
            </w:r>
          </w:p>
        </w:tc>
      </w:tr>
      <w:tr w:rsidR="00335312" w:rsidRPr="00463B9F" w14:paraId="7C34ACB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8EEB23D"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2838CA3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5B3959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757DF53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r>
      <w:tr w:rsidR="00335312" w:rsidRPr="00463B9F" w14:paraId="745B55B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BD21C95"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169F339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48B92F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992809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6844ADB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6EF3AD1C"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MONTIGLIO MONFERRATO</w:t>
            </w:r>
          </w:p>
        </w:tc>
        <w:tc>
          <w:tcPr>
            <w:tcW w:w="940" w:type="dxa"/>
            <w:tcBorders>
              <w:top w:val="nil"/>
              <w:left w:val="nil"/>
              <w:bottom w:val="single" w:sz="8" w:space="0" w:color="A6A6A6"/>
              <w:right w:val="single" w:sz="8" w:space="0" w:color="A6A6A6"/>
            </w:tcBorders>
            <w:shd w:val="clear" w:color="000000" w:fill="CFE4AF"/>
            <w:noWrap/>
            <w:vAlign w:val="center"/>
            <w:hideMark/>
          </w:tcPr>
          <w:p w14:paraId="1544F965"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122052AA"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7D0FF55B"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1F09009D"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DC89FC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04A6FA9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4.970</w:t>
            </w:r>
          </w:p>
        </w:tc>
        <w:tc>
          <w:tcPr>
            <w:tcW w:w="940" w:type="dxa"/>
            <w:tcBorders>
              <w:top w:val="nil"/>
              <w:left w:val="nil"/>
              <w:bottom w:val="single" w:sz="8" w:space="0" w:color="A6A6A6"/>
              <w:right w:val="single" w:sz="8" w:space="0" w:color="A6A6A6"/>
            </w:tcBorders>
            <w:noWrap/>
            <w:vAlign w:val="center"/>
            <w:hideMark/>
          </w:tcPr>
          <w:p w14:paraId="14E7AC5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5.069</w:t>
            </w:r>
          </w:p>
        </w:tc>
        <w:tc>
          <w:tcPr>
            <w:tcW w:w="940" w:type="dxa"/>
            <w:tcBorders>
              <w:top w:val="nil"/>
              <w:left w:val="nil"/>
              <w:bottom w:val="single" w:sz="8" w:space="0" w:color="A6A6A6"/>
              <w:right w:val="single" w:sz="8" w:space="0" w:color="A6A6A6"/>
            </w:tcBorders>
            <w:noWrap/>
            <w:vAlign w:val="center"/>
            <w:hideMark/>
          </w:tcPr>
          <w:p w14:paraId="16CBAF1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4.871</w:t>
            </w:r>
          </w:p>
        </w:tc>
      </w:tr>
      <w:tr w:rsidR="00335312" w:rsidRPr="00463B9F" w14:paraId="249FDEA5"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769592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5F8E305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417 €</w:t>
            </w:r>
          </w:p>
        </w:tc>
        <w:tc>
          <w:tcPr>
            <w:tcW w:w="940" w:type="dxa"/>
            <w:tcBorders>
              <w:top w:val="nil"/>
              <w:left w:val="nil"/>
              <w:bottom w:val="single" w:sz="8" w:space="0" w:color="A6A6A6"/>
              <w:right w:val="single" w:sz="8" w:space="0" w:color="A6A6A6"/>
            </w:tcBorders>
            <w:noWrap/>
            <w:vAlign w:val="center"/>
            <w:hideMark/>
          </w:tcPr>
          <w:p w14:paraId="6CE2620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403 €</w:t>
            </w:r>
          </w:p>
        </w:tc>
        <w:tc>
          <w:tcPr>
            <w:tcW w:w="940" w:type="dxa"/>
            <w:tcBorders>
              <w:top w:val="nil"/>
              <w:left w:val="nil"/>
              <w:bottom w:val="single" w:sz="8" w:space="0" w:color="A6A6A6"/>
              <w:right w:val="single" w:sz="8" w:space="0" w:color="A6A6A6"/>
            </w:tcBorders>
            <w:noWrap/>
            <w:vAlign w:val="center"/>
            <w:hideMark/>
          </w:tcPr>
          <w:p w14:paraId="43D6DB1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441 €</w:t>
            </w:r>
          </w:p>
        </w:tc>
      </w:tr>
      <w:tr w:rsidR="00335312" w:rsidRPr="00463B9F" w14:paraId="5AB45FB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42D18E4"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7120981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417 €</w:t>
            </w:r>
          </w:p>
        </w:tc>
        <w:tc>
          <w:tcPr>
            <w:tcW w:w="940" w:type="dxa"/>
            <w:tcBorders>
              <w:top w:val="nil"/>
              <w:left w:val="nil"/>
              <w:bottom w:val="single" w:sz="8" w:space="0" w:color="A6A6A6"/>
              <w:right w:val="single" w:sz="8" w:space="0" w:color="A6A6A6"/>
            </w:tcBorders>
            <w:noWrap/>
            <w:vAlign w:val="center"/>
            <w:hideMark/>
          </w:tcPr>
          <w:p w14:paraId="0A77FCE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403 €</w:t>
            </w:r>
          </w:p>
        </w:tc>
        <w:tc>
          <w:tcPr>
            <w:tcW w:w="940" w:type="dxa"/>
            <w:tcBorders>
              <w:top w:val="nil"/>
              <w:left w:val="nil"/>
              <w:bottom w:val="single" w:sz="8" w:space="0" w:color="A6A6A6"/>
              <w:right w:val="single" w:sz="8" w:space="0" w:color="A6A6A6"/>
            </w:tcBorders>
            <w:noWrap/>
            <w:vAlign w:val="center"/>
            <w:hideMark/>
          </w:tcPr>
          <w:p w14:paraId="382E13A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441 €</w:t>
            </w:r>
          </w:p>
        </w:tc>
      </w:tr>
      <w:tr w:rsidR="00335312" w:rsidRPr="00463B9F" w14:paraId="045826F1"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4C96B0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4E1B496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5.898 €</w:t>
            </w:r>
          </w:p>
        </w:tc>
        <w:tc>
          <w:tcPr>
            <w:tcW w:w="940" w:type="dxa"/>
            <w:tcBorders>
              <w:top w:val="nil"/>
              <w:left w:val="nil"/>
              <w:bottom w:val="single" w:sz="8" w:space="0" w:color="A6A6A6"/>
              <w:right w:val="single" w:sz="8" w:space="0" w:color="A6A6A6"/>
            </w:tcBorders>
            <w:noWrap/>
            <w:vAlign w:val="center"/>
            <w:hideMark/>
          </w:tcPr>
          <w:p w14:paraId="07DAC85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5.555 €</w:t>
            </w:r>
          </w:p>
        </w:tc>
        <w:tc>
          <w:tcPr>
            <w:tcW w:w="940" w:type="dxa"/>
            <w:tcBorders>
              <w:top w:val="nil"/>
              <w:left w:val="nil"/>
              <w:bottom w:val="single" w:sz="8" w:space="0" w:color="A6A6A6"/>
              <w:right w:val="single" w:sz="8" w:space="0" w:color="A6A6A6"/>
            </w:tcBorders>
            <w:noWrap/>
            <w:vAlign w:val="center"/>
            <w:hideMark/>
          </w:tcPr>
          <w:p w14:paraId="6F434FC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6.733 €</w:t>
            </w:r>
          </w:p>
        </w:tc>
      </w:tr>
      <w:tr w:rsidR="00335312" w:rsidRPr="00463B9F" w14:paraId="7F2DD304"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4DA8E1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0F89FE7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BF3191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781600E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6B9C73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C0541B5"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10B67CF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418</w:t>
            </w:r>
          </w:p>
        </w:tc>
        <w:tc>
          <w:tcPr>
            <w:tcW w:w="940" w:type="dxa"/>
            <w:tcBorders>
              <w:top w:val="nil"/>
              <w:left w:val="nil"/>
              <w:bottom w:val="single" w:sz="8" w:space="0" w:color="A6A6A6"/>
              <w:right w:val="single" w:sz="8" w:space="0" w:color="A6A6A6"/>
            </w:tcBorders>
            <w:noWrap/>
            <w:vAlign w:val="center"/>
            <w:hideMark/>
          </w:tcPr>
          <w:p w14:paraId="43E5031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415</w:t>
            </w:r>
          </w:p>
        </w:tc>
        <w:tc>
          <w:tcPr>
            <w:tcW w:w="940" w:type="dxa"/>
            <w:tcBorders>
              <w:top w:val="nil"/>
              <w:left w:val="nil"/>
              <w:bottom w:val="single" w:sz="8" w:space="0" w:color="A6A6A6"/>
              <w:right w:val="single" w:sz="8" w:space="0" w:color="A6A6A6"/>
            </w:tcBorders>
            <w:noWrap/>
            <w:vAlign w:val="center"/>
            <w:hideMark/>
          </w:tcPr>
          <w:p w14:paraId="43B58B9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422</w:t>
            </w:r>
          </w:p>
        </w:tc>
      </w:tr>
      <w:tr w:rsidR="00335312" w:rsidRPr="00463B9F" w14:paraId="36ACBB2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01CB09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27AF9DB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1742884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w:t>
            </w:r>
          </w:p>
        </w:tc>
        <w:tc>
          <w:tcPr>
            <w:tcW w:w="940" w:type="dxa"/>
            <w:tcBorders>
              <w:top w:val="nil"/>
              <w:left w:val="nil"/>
              <w:bottom w:val="single" w:sz="8" w:space="0" w:color="A6A6A6"/>
              <w:right w:val="single" w:sz="8" w:space="0" w:color="A6A6A6"/>
            </w:tcBorders>
            <w:noWrap/>
            <w:vAlign w:val="center"/>
            <w:hideMark/>
          </w:tcPr>
          <w:p w14:paraId="6E726C2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r>
      <w:tr w:rsidR="00335312" w:rsidRPr="00463B9F" w14:paraId="6105320F"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B94F262"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3C234EF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198A6B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48402CD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24D9D5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1F5E5041"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MONTEGROSSO D’ASTI</w:t>
            </w:r>
          </w:p>
        </w:tc>
        <w:tc>
          <w:tcPr>
            <w:tcW w:w="940" w:type="dxa"/>
            <w:tcBorders>
              <w:top w:val="nil"/>
              <w:left w:val="nil"/>
              <w:bottom w:val="single" w:sz="8" w:space="0" w:color="A6A6A6"/>
              <w:right w:val="single" w:sz="8" w:space="0" w:color="A6A6A6"/>
            </w:tcBorders>
            <w:shd w:val="clear" w:color="000000" w:fill="CFE4AF"/>
            <w:noWrap/>
            <w:vAlign w:val="center"/>
            <w:hideMark/>
          </w:tcPr>
          <w:p w14:paraId="0039892F"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3A509310"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40268F20"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55027C1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699B680"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21FB003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2.952</w:t>
            </w:r>
          </w:p>
        </w:tc>
        <w:tc>
          <w:tcPr>
            <w:tcW w:w="940" w:type="dxa"/>
            <w:tcBorders>
              <w:top w:val="nil"/>
              <w:left w:val="nil"/>
              <w:bottom w:val="single" w:sz="8" w:space="0" w:color="A6A6A6"/>
              <w:right w:val="single" w:sz="8" w:space="0" w:color="A6A6A6"/>
            </w:tcBorders>
            <w:noWrap/>
            <w:vAlign w:val="center"/>
            <w:hideMark/>
          </w:tcPr>
          <w:p w14:paraId="35438B1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2.953</w:t>
            </w:r>
          </w:p>
        </w:tc>
        <w:tc>
          <w:tcPr>
            <w:tcW w:w="940" w:type="dxa"/>
            <w:tcBorders>
              <w:top w:val="nil"/>
              <w:left w:val="nil"/>
              <w:bottom w:val="single" w:sz="8" w:space="0" w:color="A6A6A6"/>
              <w:right w:val="single" w:sz="8" w:space="0" w:color="A6A6A6"/>
            </w:tcBorders>
            <w:noWrap/>
            <w:vAlign w:val="center"/>
            <w:hideMark/>
          </w:tcPr>
          <w:p w14:paraId="7B3C57D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2.951</w:t>
            </w:r>
          </w:p>
        </w:tc>
      </w:tr>
      <w:tr w:rsidR="00335312" w:rsidRPr="00463B9F" w14:paraId="2885194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B5F65F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75D8300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1B7D20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400A9F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1D38F20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527EAF7"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376DCE1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A8783E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0BDC4B1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6B58558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CAA572E"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1DDF489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5.720 €</w:t>
            </w:r>
          </w:p>
        </w:tc>
        <w:tc>
          <w:tcPr>
            <w:tcW w:w="940" w:type="dxa"/>
            <w:tcBorders>
              <w:top w:val="nil"/>
              <w:left w:val="nil"/>
              <w:bottom w:val="single" w:sz="8" w:space="0" w:color="A6A6A6"/>
              <w:right w:val="single" w:sz="8" w:space="0" w:color="A6A6A6"/>
            </w:tcBorders>
            <w:noWrap/>
            <w:vAlign w:val="center"/>
            <w:hideMark/>
          </w:tcPr>
          <w:p w14:paraId="19F1A52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5.720 €</w:t>
            </w:r>
          </w:p>
        </w:tc>
        <w:tc>
          <w:tcPr>
            <w:tcW w:w="940" w:type="dxa"/>
            <w:tcBorders>
              <w:top w:val="nil"/>
              <w:left w:val="nil"/>
              <w:bottom w:val="single" w:sz="8" w:space="0" w:color="A6A6A6"/>
              <w:right w:val="single" w:sz="8" w:space="0" w:color="A6A6A6"/>
            </w:tcBorders>
            <w:noWrap/>
            <w:vAlign w:val="center"/>
            <w:hideMark/>
          </w:tcPr>
          <w:p w14:paraId="66587A4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5.720 €</w:t>
            </w:r>
          </w:p>
        </w:tc>
      </w:tr>
      <w:tr w:rsidR="00335312" w:rsidRPr="00463B9F" w14:paraId="615F7FF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6D6046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4B7457C2"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495793F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FD4CA3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0FB96E0F"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7BE1A7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lastRenderedPageBreak/>
              <w:t>Passeggeri trasportati</w:t>
            </w:r>
          </w:p>
        </w:tc>
        <w:tc>
          <w:tcPr>
            <w:tcW w:w="940" w:type="dxa"/>
            <w:tcBorders>
              <w:top w:val="nil"/>
              <w:left w:val="nil"/>
              <w:bottom w:val="single" w:sz="8" w:space="0" w:color="A6A6A6"/>
              <w:right w:val="single" w:sz="8" w:space="0" w:color="A6A6A6"/>
            </w:tcBorders>
            <w:noWrap/>
            <w:vAlign w:val="center"/>
            <w:hideMark/>
          </w:tcPr>
          <w:p w14:paraId="43098C3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956</w:t>
            </w:r>
          </w:p>
        </w:tc>
        <w:tc>
          <w:tcPr>
            <w:tcW w:w="940" w:type="dxa"/>
            <w:tcBorders>
              <w:top w:val="nil"/>
              <w:left w:val="nil"/>
              <w:bottom w:val="single" w:sz="8" w:space="0" w:color="A6A6A6"/>
              <w:right w:val="single" w:sz="8" w:space="0" w:color="A6A6A6"/>
            </w:tcBorders>
            <w:noWrap/>
            <w:vAlign w:val="center"/>
            <w:hideMark/>
          </w:tcPr>
          <w:p w14:paraId="6053E22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955</w:t>
            </w:r>
          </w:p>
        </w:tc>
        <w:tc>
          <w:tcPr>
            <w:tcW w:w="940" w:type="dxa"/>
            <w:tcBorders>
              <w:top w:val="nil"/>
              <w:left w:val="nil"/>
              <w:bottom w:val="single" w:sz="8" w:space="0" w:color="A6A6A6"/>
              <w:right w:val="single" w:sz="8" w:space="0" w:color="A6A6A6"/>
            </w:tcBorders>
            <w:noWrap/>
            <w:vAlign w:val="center"/>
            <w:hideMark/>
          </w:tcPr>
          <w:p w14:paraId="0D18E94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951</w:t>
            </w:r>
          </w:p>
        </w:tc>
      </w:tr>
      <w:tr w:rsidR="00335312" w:rsidRPr="00463B9F" w14:paraId="378CE034"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7BFEA33"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78887B9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26F9701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c>
          <w:tcPr>
            <w:tcW w:w="940" w:type="dxa"/>
            <w:tcBorders>
              <w:top w:val="nil"/>
              <w:left w:val="nil"/>
              <w:bottom w:val="single" w:sz="8" w:space="0" w:color="A6A6A6"/>
              <w:right w:val="single" w:sz="8" w:space="0" w:color="A6A6A6"/>
            </w:tcBorders>
            <w:noWrap/>
            <w:vAlign w:val="center"/>
            <w:hideMark/>
          </w:tcPr>
          <w:p w14:paraId="4A4E43D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w:t>
            </w:r>
          </w:p>
        </w:tc>
      </w:tr>
      <w:tr w:rsidR="00335312" w:rsidRPr="00463B9F" w14:paraId="49D0DCC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281E99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3CEBBA6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3A5B964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66A101D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2729F1C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6CB30DFE"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COMUNE DI PARETO *</w:t>
            </w:r>
          </w:p>
        </w:tc>
        <w:tc>
          <w:tcPr>
            <w:tcW w:w="940" w:type="dxa"/>
            <w:tcBorders>
              <w:top w:val="nil"/>
              <w:left w:val="nil"/>
              <w:bottom w:val="single" w:sz="8" w:space="0" w:color="A6A6A6"/>
              <w:right w:val="single" w:sz="8" w:space="0" w:color="A6A6A6"/>
            </w:tcBorders>
            <w:shd w:val="clear" w:color="000000" w:fill="CFE4AF"/>
            <w:noWrap/>
            <w:vAlign w:val="center"/>
            <w:hideMark/>
          </w:tcPr>
          <w:p w14:paraId="2C2CB698"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4A65BFA8"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3C767316"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213BE20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0F2D3085"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53AB0DE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27.782</w:t>
            </w:r>
          </w:p>
        </w:tc>
        <w:tc>
          <w:tcPr>
            <w:tcW w:w="940" w:type="dxa"/>
            <w:tcBorders>
              <w:top w:val="nil"/>
              <w:left w:val="nil"/>
              <w:bottom w:val="single" w:sz="8" w:space="0" w:color="A6A6A6"/>
              <w:right w:val="single" w:sz="8" w:space="0" w:color="A6A6A6"/>
            </w:tcBorders>
            <w:noWrap/>
            <w:vAlign w:val="center"/>
            <w:hideMark/>
          </w:tcPr>
          <w:p w14:paraId="6440F12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27.782</w:t>
            </w:r>
          </w:p>
        </w:tc>
        <w:tc>
          <w:tcPr>
            <w:tcW w:w="940" w:type="dxa"/>
            <w:tcBorders>
              <w:top w:val="nil"/>
              <w:left w:val="nil"/>
              <w:bottom w:val="single" w:sz="8" w:space="0" w:color="A6A6A6"/>
              <w:right w:val="single" w:sz="8" w:space="0" w:color="A6A6A6"/>
            </w:tcBorders>
            <w:noWrap/>
            <w:vAlign w:val="center"/>
            <w:hideMark/>
          </w:tcPr>
          <w:p w14:paraId="2A6FE1F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27.782</w:t>
            </w:r>
          </w:p>
        </w:tc>
      </w:tr>
      <w:tr w:rsidR="00335312" w:rsidRPr="00463B9F" w14:paraId="35588F9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15AC33E"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6200EAC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583CAD0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AC7280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02E1F0AC"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18A0414"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46CB33C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C8E423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88E370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7328B972"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0DAA3F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4ED11E6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10.000 €</w:t>
            </w:r>
          </w:p>
        </w:tc>
        <w:tc>
          <w:tcPr>
            <w:tcW w:w="940" w:type="dxa"/>
            <w:tcBorders>
              <w:top w:val="nil"/>
              <w:left w:val="nil"/>
              <w:bottom w:val="single" w:sz="8" w:space="0" w:color="A6A6A6"/>
              <w:right w:val="single" w:sz="8" w:space="0" w:color="A6A6A6"/>
            </w:tcBorders>
            <w:noWrap/>
            <w:vAlign w:val="center"/>
            <w:hideMark/>
          </w:tcPr>
          <w:p w14:paraId="47879CC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10.000 €</w:t>
            </w:r>
          </w:p>
        </w:tc>
        <w:tc>
          <w:tcPr>
            <w:tcW w:w="940" w:type="dxa"/>
            <w:tcBorders>
              <w:top w:val="nil"/>
              <w:left w:val="nil"/>
              <w:bottom w:val="single" w:sz="8" w:space="0" w:color="A6A6A6"/>
              <w:right w:val="single" w:sz="8" w:space="0" w:color="A6A6A6"/>
            </w:tcBorders>
            <w:noWrap/>
            <w:vAlign w:val="center"/>
            <w:hideMark/>
          </w:tcPr>
          <w:p w14:paraId="3896257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10.000 €</w:t>
            </w:r>
          </w:p>
        </w:tc>
      </w:tr>
      <w:tr w:rsidR="00335312" w:rsidRPr="00463B9F" w14:paraId="2A91751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C5F3B7A"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6C79BB4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5121AF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2A1219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694F8EA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946D7A4"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1DCB7CF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285765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5195E9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3F745805"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C2103A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0996B74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600DCF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A295A2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3F469BB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D618717"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51885DF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7889F4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F53072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78764198"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CFE4AF"/>
            <w:noWrap/>
            <w:vAlign w:val="center"/>
            <w:hideMark/>
          </w:tcPr>
          <w:p w14:paraId="12D0A3EF" w14:textId="77777777" w:rsidR="00335312" w:rsidRPr="00463B9F" w:rsidRDefault="00335312" w:rsidP="002A21C0">
            <w:pPr>
              <w:spacing w:after="0" w:line="240" w:lineRule="auto"/>
              <w:rPr>
                <w:rFonts w:ascii="Calibri" w:eastAsia="Times New Roman" w:hAnsi="Calibri" w:cs="Calibri"/>
                <w:b/>
                <w:bCs/>
                <w:sz w:val="20"/>
                <w:szCs w:val="20"/>
              </w:rPr>
            </w:pPr>
            <w:r w:rsidRPr="00463B9F">
              <w:rPr>
                <w:rFonts w:ascii="Calibri" w:eastAsia="Times New Roman" w:hAnsi="Calibri" w:cs="Calibri"/>
                <w:b/>
                <w:bCs/>
                <w:sz w:val="20"/>
                <w:szCs w:val="20"/>
              </w:rPr>
              <w:t>UNIONE MONTANA LANGA ASTIGIANA VALLE BORMIDA</w:t>
            </w:r>
          </w:p>
        </w:tc>
        <w:tc>
          <w:tcPr>
            <w:tcW w:w="940" w:type="dxa"/>
            <w:tcBorders>
              <w:top w:val="nil"/>
              <w:left w:val="nil"/>
              <w:bottom w:val="single" w:sz="8" w:space="0" w:color="A6A6A6"/>
              <w:right w:val="single" w:sz="8" w:space="0" w:color="A6A6A6"/>
            </w:tcBorders>
            <w:shd w:val="clear" w:color="000000" w:fill="CFE4AF"/>
            <w:noWrap/>
            <w:vAlign w:val="center"/>
            <w:hideMark/>
          </w:tcPr>
          <w:p w14:paraId="692DC33D"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1BA7FCF0"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c>
          <w:tcPr>
            <w:tcW w:w="940" w:type="dxa"/>
            <w:tcBorders>
              <w:top w:val="nil"/>
              <w:left w:val="nil"/>
              <w:bottom w:val="single" w:sz="8" w:space="0" w:color="A6A6A6"/>
              <w:right w:val="single" w:sz="8" w:space="0" w:color="A6A6A6"/>
            </w:tcBorders>
            <w:shd w:val="clear" w:color="000000" w:fill="CFE4AF"/>
            <w:noWrap/>
            <w:vAlign w:val="center"/>
            <w:hideMark/>
          </w:tcPr>
          <w:p w14:paraId="169F4DBE" w14:textId="77777777" w:rsidR="00335312" w:rsidRPr="00463B9F" w:rsidRDefault="00335312" w:rsidP="002A21C0">
            <w:pPr>
              <w:spacing w:after="0" w:line="240" w:lineRule="auto"/>
              <w:jc w:val="left"/>
              <w:rPr>
                <w:rFonts w:ascii="Calibri" w:eastAsia="Times New Roman" w:hAnsi="Calibri" w:cs="Calibri"/>
              </w:rPr>
            </w:pPr>
            <w:r w:rsidRPr="00463B9F">
              <w:rPr>
                <w:rFonts w:ascii="Calibri" w:eastAsia="Times New Roman" w:hAnsi="Calibri" w:cs="Calibri"/>
              </w:rPr>
              <w:t> </w:t>
            </w:r>
          </w:p>
        </w:tc>
      </w:tr>
      <w:tr w:rsidR="00335312" w:rsidRPr="00463B9F" w14:paraId="22A56884"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BBF60A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27EC9B7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38.060</w:t>
            </w:r>
          </w:p>
        </w:tc>
        <w:tc>
          <w:tcPr>
            <w:tcW w:w="940" w:type="dxa"/>
            <w:tcBorders>
              <w:top w:val="nil"/>
              <w:left w:val="nil"/>
              <w:bottom w:val="single" w:sz="8" w:space="0" w:color="A6A6A6"/>
              <w:right w:val="single" w:sz="8" w:space="0" w:color="A6A6A6"/>
            </w:tcBorders>
            <w:noWrap/>
            <w:vAlign w:val="center"/>
            <w:hideMark/>
          </w:tcPr>
          <w:p w14:paraId="3B145315"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38.755</w:t>
            </w:r>
          </w:p>
        </w:tc>
        <w:tc>
          <w:tcPr>
            <w:tcW w:w="940" w:type="dxa"/>
            <w:tcBorders>
              <w:top w:val="nil"/>
              <w:left w:val="nil"/>
              <w:bottom w:val="single" w:sz="8" w:space="0" w:color="A6A6A6"/>
              <w:right w:val="single" w:sz="8" w:space="0" w:color="A6A6A6"/>
            </w:tcBorders>
            <w:noWrap/>
            <w:vAlign w:val="center"/>
            <w:hideMark/>
          </w:tcPr>
          <w:p w14:paraId="15C4315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40.412</w:t>
            </w:r>
          </w:p>
        </w:tc>
      </w:tr>
      <w:tr w:rsidR="00335312" w:rsidRPr="00463B9F" w14:paraId="7E55205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EA7533D"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3431295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9.303 €</w:t>
            </w:r>
          </w:p>
        </w:tc>
        <w:tc>
          <w:tcPr>
            <w:tcW w:w="940" w:type="dxa"/>
            <w:tcBorders>
              <w:top w:val="nil"/>
              <w:left w:val="nil"/>
              <w:bottom w:val="single" w:sz="8" w:space="0" w:color="A6A6A6"/>
              <w:right w:val="single" w:sz="8" w:space="0" w:color="A6A6A6"/>
            </w:tcBorders>
            <w:noWrap/>
            <w:vAlign w:val="center"/>
            <w:hideMark/>
          </w:tcPr>
          <w:p w14:paraId="5D0BFB2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9.216 €</w:t>
            </w:r>
          </w:p>
        </w:tc>
        <w:tc>
          <w:tcPr>
            <w:tcW w:w="940" w:type="dxa"/>
            <w:tcBorders>
              <w:top w:val="nil"/>
              <w:left w:val="nil"/>
              <w:bottom w:val="single" w:sz="8" w:space="0" w:color="A6A6A6"/>
              <w:right w:val="single" w:sz="8" w:space="0" w:color="A6A6A6"/>
            </w:tcBorders>
            <w:noWrap/>
            <w:vAlign w:val="center"/>
            <w:hideMark/>
          </w:tcPr>
          <w:p w14:paraId="2FAF978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8.479 €</w:t>
            </w:r>
          </w:p>
        </w:tc>
      </w:tr>
      <w:tr w:rsidR="00335312" w:rsidRPr="00463B9F" w14:paraId="1D8369E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2C74F1A"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53325EA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9.303 €</w:t>
            </w:r>
          </w:p>
        </w:tc>
        <w:tc>
          <w:tcPr>
            <w:tcW w:w="940" w:type="dxa"/>
            <w:tcBorders>
              <w:top w:val="nil"/>
              <w:left w:val="nil"/>
              <w:bottom w:val="single" w:sz="8" w:space="0" w:color="A6A6A6"/>
              <w:right w:val="single" w:sz="8" w:space="0" w:color="A6A6A6"/>
            </w:tcBorders>
            <w:noWrap/>
            <w:vAlign w:val="center"/>
            <w:hideMark/>
          </w:tcPr>
          <w:p w14:paraId="4E660E1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9.216 €</w:t>
            </w:r>
          </w:p>
        </w:tc>
        <w:tc>
          <w:tcPr>
            <w:tcW w:w="940" w:type="dxa"/>
            <w:tcBorders>
              <w:top w:val="nil"/>
              <w:left w:val="nil"/>
              <w:bottom w:val="single" w:sz="8" w:space="0" w:color="A6A6A6"/>
              <w:right w:val="single" w:sz="8" w:space="0" w:color="A6A6A6"/>
            </w:tcBorders>
            <w:noWrap/>
            <w:vAlign w:val="center"/>
            <w:hideMark/>
          </w:tcPr>
          <w:p w14:paraId="3C36CDD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8.479 €</w:t>
            </w:r>
          </w:p>
        </w:tc>
      </w:tr>
      <w:tr w:rsidR="00335312" w:rsidRPr="00463B9F" w14:paraId="74800D4D"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582909E"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0CF2E51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49.412 €</w:t>
            </w:r>
          </w:p>
        </w:tc>
        <w:tc>
          <w:tcPr>
            <w:tcW w:w="940" w:type="dxa"/>
            <w:tcBorders>
              <w:top w:val="nil"/>
              <w:left w:val="nil"/>
              <w:bottom w:val="single" w:sz="8" w:space="0" w:color="A6A6A6"/>
              <w:right w:val="single" w:sz="8" w:space="0" w:color="A6A6A6"/>
            </w:tcBorders>
            <w:noWrap/>
            <w:vAlign w:val="center"/>
            <w:hideMark/>
          </w:tcPr>
          <w:p w14:paraId="5D4BD8E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52.253 €</w:t>
            </w:r>
          </w:p>
        </w:tc>
        <w:tc>
          <w:tcPr>
            <w:tcW w:w="940" w:type="dxa"/>
            <w:tcBorders>
              <w:top w:val="nil"/>
              <w:left w:val="nil"/>
              <w:bottom w:val="single" w:sz="8" w:space="0" w:color="A6A6A6"/>
              <w:right w:val="single" w:sz="8" w:space="0" w:color="A6A6A6"/>
            </w:tcBorders>
            <w:noWrap/>
            <w:vAlign w:val="center"/>
            <w:hideMark/>
          </w:tcPr>
          <w:p w14:paraId="41CD1A8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58.442 €</w:t>
            </w:r>
          </w:p>
        </w:tc>
      </w:tr>
      <w:tr w:rsidR="00335312" w:rsidRPr="00463B9F" w14:paraId="38FD1447"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F8B35C3"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4A9A5E2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F1B79D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7C1E7F0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5DB344B6"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FFFB9B0"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7083833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9.365</w:t>
            </w:r>
          </w:p>
        </w:tc>
        <w:tc>
          <w:tcPr>
            <w:tcW w:w="940" w:type="dxa"/>
            <w:tcBorders>
              <w:top w:val="nil"/>
              <w:left w:val="nil"/>
              <w:bottom w:val="single" w:sz="8" w:space="0" w:color="A6A6A6"/>
              <w:right w:val="single" w:sz="8" w:space="0" w:color="A6A6A6"/>
            </w:tcBorders>
            <w:noWrap/>
            <w:vAlign w:val="center"/>
            <w:hideMark/>
          </w:tcPr>
          <w:p w14:paraId="004E56A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8.703</w:t>
            </w:r>
          </w:p>
        </w:tc>
        <w:tc>
          <w:tcPr>
            <w:tcW w:w="940" w:type="dxa"/>
            <w:tcBorders>
              <w:top w:val="nil"/>
              <w:left w:val="nil"/>
              <w:bottom w:val="single" w:sz="8" w:space="0" w:color="A6A6A6"/>
              <w:right w:val="single" w:sz="8" w:space="0" w:color="A6A6A6"/>
            </w:tcBorders>
            <w:noWrap/>
            <w:vAlign w:val="center"/>
            <w:hideMark/>
          </w:tcPr>
          <w:p w14:paraId="585F5E5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9.719</w:t>
            </w:r>
          </w:p>
        </w:tc>
      </w:tr>
      <w:tr w:rsidR="00335312" w:rsidRPr="00463B9F" w14:paraId="2121AD6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415FF42D"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1927381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w:t>
            </w:r>
          </w:p>
        </w:tc>
        <w:tc>
          <w:tcPr>
            <w:tcW w:w="940" w:type="dxa"/>
            <w:tcBorders>
              <w:top w:val="nil"/>
              <w:left w:val="nil"/>
              <w:bottom w:val="single" w:sz="8" w:space="0" w:color="A6A6A6"/>
              <w:right w:val="single" w:sz="8" w:space="0" w:color="A6A6A6"/>
            </w:tcBorders>
            <w:noWrap/>
            <w:vAlign w:val="center"/>
            <w:hideMark/>
          </w:tcPr>
          <w:p w14:paraId="109EB63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w:t>
            </w:r>
          </w:p>
        </w:tc>
        <w:tc>
          <w:tcPr>
            <w:tcW w:w="940" w:type="dxa"/>
            <w:tcBorders>
              <w:top w:val="nil"/>
              <w:left w:val="nil"/>
              <w:bottom w:val="single" w:sz="8" w:space="0" w:color="A6A6A6"/>
              <w:right w:val="single" w:sz="8" w:space="0" w:color="A6A6A6"/>
            </w:tcBorders>
            <w:noWrap/>
            <w:vAlign w:val="center"/>
            <w:hideMark/>
          </w:tcPr>
          <w:p w14:paraId="33C17E9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3</w:t>
            </w:r>
          </w:p>
        </w:tc>
      </w:tr>
      <w:tr w:rsidR="00335312" w:rsidRPr="00463B9F" w14:paraId="5B3ACB3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4057C98"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01898D9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1509A07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c>
          <w:tcPr>
            <w:tcW w:w="940" w:type="dxa"/>
            <w:tcBorders>
              <w:top w:val="nil"/>
              <w:left w:val="nil"/>
              <w:bottom w:val="single" w:sz="8" w:space="0" w:color="A6A6A6"/>
              <w:right w:val="single" w:sz="8" w:space="0" w:color="A6A6A6"/>
            </w:tcBorders>
            <w:noWrap/>
            <w:vAlign w:val="center"/>
            <w:hideMark/>
          </w:tcPr>
          <w:p w14:paraId="2D5CC693"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0</w:t>
            </w:r>
          </w:p>
        </w:tc>
      </w:tr>
      <w:tr w:rsidR="00335312" w:rsidRPr="00463B9F" w14:paraId="3D6A860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shd w:val="clear" w:color="000000" w:fill="A5C34C"/>
            <w:noWrap/>
            <w:vAlign w:val="center"/>
            <w:hideMark/>
          </w:tcPr>
          <w:p w14:paraId="7993861C" w14:textId="77777777" w:rsidR="00335312" w:rsidRPr="00463B9F" w:rsidRDefault="00335312" w:rsidP="002A21C0">
            <w:pPr>
              <w:spacing w:after="0" w:line="240" w:lineRule="auto"/>
              <w:rPr>
                <w:rFonts w:ascii="Calibri" w:eastAsia="Times New Roman" w:hAnsi="Calibri" w:cs="Calibri"/>
                <w:b/>
                <w:bCs/>
                <w:color w:val="000000"/>
                <w:sz w:val="20"/>
                <w:szCs w:val="20"/>
              </w:rPr>
            </w:pPr>
            <w:r w:rsidRPr="00463B9F">
              <w:rPr>
                <w:rFonts w:ascii="Calibri" w:eastAsia="Times New Roman" w:hAnsi="Calibri" w:cs="Calibri"/>
                <w:b/>
                <w:bCs/>
                <w:color w:val="000000"/>
                <w:sz w:val="20"/>
                <w:szCs w:val="20"/>
              </w:rPr>
              <w:t>Totali Bacino Sud Est</w:t>
            </w:r>
          </w:p>
        </w:tc>
        <w:tc>
          <w:tcPr>
            <w:tcW w:w="940" w:type="dxa"/>
            <w:tcBorders>
              <w:top w:val="nil"/>
              <w:left w:val="nil"/>
              <w:bottom w:val="single" w:sz="8" w:space="0" w:color="A6A6A6"/>
              <w:right w:val="single" w:sz="8" w:space="0" w:color="A6A6A6"/>
            </w:tcBorders>
            <w:shd w:val="clear" w:color="000000" w:fill="A5C34C"/>
            <w:noWrap/>
            <w:vAlign w:val="center"/>
            <w:hideMark/>
          </w:tcPr>
          <w:p w14:paraId="2B8CE971"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2021</w:t>
            </w:r>
          </w:p>
        </w:tc>
        <w:tc>
          <w:tcPr>
            <w:tcW w:w="940" w:type="dxa"/>
            <w:tcBorders>
              <w:top w:val="nil"/>
              <w:left w:val="nil"/>
              <w:bottom w:val="single" w:sz="8" w:space="0" w:color="A6A6A6"/>
              <w:right w:val="single" w:sz="8" w:space="0" w:color="A6A6A6"/>
            </w:tcBorders>
            <w:shd w:val="clear" w:color="000000" w:fill="A5C34C"/>
            <w:noWrap/>
            <w:vAlign w:val="center"/>
            <w:hideMark/>
          </w:tcPr>
          <w:p w14:paraId="57E464E6"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2022</w:t>
            </w:r>
          </w:p>
        </w:tc>
        <w:tc>
          <w:tcPr>
            <w:tcW w:w="940" w:type="dxa"/>
            <w:tcBorders>
              <w:top w:val="nil"/>
              <w:left w:val="nil"/>
              <w:bottom w:val="single" w:sz="8" w:space="0" w:color="A6A6A6"/>
              <w:right w:val="single" w:sz="8" w:space="0" w:color="A6A6A6"/>
            </w:tcBorders>
            <w:shd w:val="clear" w:color="000000" w:fill="A5C34C"/>
            <w:noWrap/>
            <w:vAlign w:val="center"/>
            <w:hideMark/>
          </w:tcPr>
          <w:p w14:paraId="6FFFA504" w14:textId="77777777" w:rsidR="00335312" w:rsidRPr="00463B9F" w:rsidRDefault="00335312" w:rsidP="002A21C0">
            <w:pPr>
              <w:spacing w:after="0" w:line="240" w:lineRule="auto"/>
              <w:jc w:val="center"/>
              <w:rPr>
                <w:rFonts w:ascii="Calibri" w:eastAsia="Times New Roman" w:hAnsi="Calibri" w:cs="Calibri"/>
                <w:b/>
                <w:bCs/>
                <w:sz w:val="20"/>
                <w:szCs w:val="20"/>
              </w:rPr>
            </w:pPr>
            <w:r w:rsidRPr="00463B9F">
              <w:rPr>
                <w:rFonts w:ascii="Calibri" w:eastAsia="Times New Roman" w:hAnsi="Calibri" w:cs="Calibri"/>
                <w:b/>
                <w:bCs/>
                <w:sz w:val="20"/>
                <w:szCs w:val="20"/>
              </w:rPr>
              <w:t>2023</w:t>
            </w:r>
          </w:p>
        </w:tc>
      </w:tr>
      <w:tr w:rsidR="00335312" w:rsidRPr="00463B9F" w14:paraId="5ADE55B4"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3AA3E8C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Produzione chilometrica</w:t>
            </w:r>
          </w:p>
        </w:tc>
        <w:tc>
          <w:tcPr>
            <w:tcW w:w="940" w:type="dxa"/>
            <w:tcBorders>
              <w:top w:val="nil"/>
              <w:left w:val="nil"/>
              <w:bottom w:val="single" w:sz="8" w:space="0" w:color="A6A6A6"/>
              <w:right w:val="single" w:sz="8" w:space="0" w:color="A6A6A6"/>
            </w:tcBorders>
            <w:noWrap/>
            <w:vAlign w:val="center"/>
            <w:hideMark/>
          </w:tcPr>
          <w:p w14:paraId="3D26AD6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123.974</w:t>
            </w:r>
          </w:p>
        </w:tc>
        <w:tc>
          <w:tcPr>
            <w:tcW w:w="940" w:type="dxa"/>
            <w:tcBorders>
              <w:top w:val="nil"/>
              <w:left w:val="nil"/>
              <w:bottom w:val="single" w:sz="8" w:space="0" w:color="A6A6A6"/>
              <w:right w:val="single" w:sz="8" w:space="0" w:color="A6A6A6"/>
            </w:tcBorders>
            <w:noWrap/>
            <w:vAlign w:val="center"/>
            <w:hideMark/>
          </w:tcPr>
          <w:p w14:paraId="0FD82E3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124.388</w:t>
            </w:r>
          </w:p>
        </w:tc>
        <w:tc>
          <w:tcPr>
            <w:tcW w:w="940" w:type="dxa"/>
            <w:tcBorders>
              <w:top w:val="nil"/>
              <w:left w:val="nil"/>
              <w:bottom w:val="single" w:sz="8" w:space="0" w:color="A6A6A6"/>
              <w:right w:val="single" w:sz="8" w:space="0" w:color="A6A6A6"/>
            </w:tcBorders>
            <w:noWrap/>
            <w:vAlign w:val="center"/>
            <w:hideMark/>
          </w:tcPr>
          <w:p w14:paraId="7371412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129.578</w:t>
            </w:r>
          </w:p>
        </w:tc>
      </w:tr>
      <w:tr w:rsidR="00335312" w:rsidRPr="00463B9F" w14:paraId="46C0B735"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1E8ACC0F"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Ricavi totali</w:t>
            </w:r>
          </w:p>
        </w:tc>
        <w:tc>
          <w:tcPr>
            <w:tcW w:w="940" w:type="dxa"/>
            <w:tcBorders>
              <w:top w:val="nil"/>
              <w:left w:val="nil"/>
              <w:bottom w:val="single" w:sz="8" w:space="0" w:color="A6A6A6"/>
              <w:right w:val="single" w:sz="8" w:space="0" w:color="A6A6A6"/>
            </w:tcBorders>
            <w:noWrap/>
            <w:vAlign w:val="center"/>
            <w:hideMark/>
          </w:tcPr>
          <w:p w14:paraId="4DC323FB"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5248276E"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51D793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0BAC5CBE"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A413FDF" w14:textId="77777777" w:rsidR="00335312" w:rsidRPr="00463B9F" w:rsidRDefault="00335312" w:rsidP="002A21C0">
            <w:pPr>
              <w:spacing w:after="0" w:line="240" w:lineRule="auto"/>
              <w:rPr>
                <w:rFonts w:ascii="Calibri" w:eastAsia="Times New Roman" w:hAnsi="Calibri" w:cs="Calibri"/>
                <w:i/>
                <w:iCs/>
                <w:color w:val="000000"/>
                <w:sz w:val="20"/>
                <w:szCs w:val="20"/>
              </w:rPr>
            </w:pPr>
            <w:r w:rsidRPr="00463B9F">
              <w:rPr>
                <w:rFonts w:ascii="Calibri" w:eastAsia="Times New Roman" w:hAnsi="Calibri" w:cs="Calibri"/>
                <w:i/>
                <w:iCs/>
                <w:color w:val="000000"/>
                <w:sz w:val="20"/>
                <w:szCs w:val="20"/>
              </w:rPr>
              <w:t xml:space="preserve"> di cui Ricavi da traffico</w:t>
            </w:r>
          </w:p>
        </w:tc>
        <w:tc>
          <w:tcPr>
            <w:tcW w:w="940" w:type="dxa"/>
            <w:tcBorders>
              <w:top w:val="nil"/>
              <w:left w:val="nil"/>
              <w:bottom w:val="single" w:sz="8" w:space="0" w:color="A6A6A6"/>
              <w:right w:val="single" w:sz="8" w:space="0" w:color="A6A6A6"/>
            </w:tcBorders>
            <w:noWrap/>
            <w:vAlign w:val="center"/>
            <w:hideMark/>
          </w:tcPr>
          <w:p w14:paraId="643C431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76E7F8C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C40593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550D2FBB"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6E6EA7D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Corrispettivi</w:t>
            </w:r>
          </w:p>
        </w:tc>
        <w:tc>
          <w:tcPr>
            <w:tcW w:w="940" w:type="dxa"/>
            <w:tcBorders>
              <w:top w:val="nil"/>
              <w:left w:val="nil"/>
              <w:bottom w:val="single" w:sz="8" w:space="0" w:color="A6A6A6"/>
              <w:right w:val="single" w:sz="8" w:space="0" w:color="A6A6A6"/>
            </w:tcBorders>
            <w:noWrap/>
            <w:vAlign w:val="center"/>
            <w:hideMark/>
          </w:tcPr>
          <w:p w14:paraId="262A7DA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114.622</w:t>
            </w:r>
          </w:p>
        </w:tc>
        <w:tc>
          <w:tcPr>
            <w:tcW w:w="940" w:type="dxa"/>
            <w:tcBorders>
              <w:top w:val="nil"/>
              <w:left w:val="nil"/>
              <w:bottom w:val="single" w:sz="8" w:space="0" w:color="A6A6A6"/>
              <w:right w:val="single" w:sz="8" w:space="0" w:color="A6A6A6"/>
            </w:tcBorders>
            <w:noWrap/>
            <w:vAlign w:val="center"/>
            <w:hideMark/>
          </w:tcPr>
          <w:p w14:paraId="47239509"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116.630</w:t>
            </w:r>
          </w:p>
        </w:tc>
        <w:tc>
          <w:tcPr>
            <w:tcW w:w="940" w:type="dxa"/>
            <w:tcBorders>
              <w:top w:val="nil"/>
              <w:left w:val="nil"/>
              <w:bottom w:val="single" w:sz="8" w:space="0" w:color="A6A6A6"/>
              <w:right w:val="single" w:sz="8" w:space="0" w:color="A6A6A6"/>
            </w:tcBorders>
            <w:noWrap/>
            <w:vAlign w:val="center"/>
            <w:hideMark/>
          </w:tcPr>
          <w:p w14:paraId="3B194F8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133.865</w:t>
            </w:r>
          </w:p>
        </w:tc>
      </w:tr>
      <w:tr w:rsidR="00335312" w:rsidRPr="00463B9F" w14:paraId="22839F73"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75ED0786"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Costo Infrastruttura</w:t>
            </w:r>
          </w:p>
        </w:tc>
        <w:tc>
          <w:tcPr>
            <w:tcW w:w="940" w:type="dxa"/>
            <w:tcBorders>
              <w:top w:val="nil"/>
              <w:left w:val="nil"/>
              <w:bottom w:val="single" w:sz="8" w:space="0" w:color="A6A6A6"/>
              <w:right w:val="single" w:sz="8" w:space="0" w:color="A6A6A6"/>
            </w:tcBorders>
            <w:noWrap/>
            <w:vAlign w:val="center"/>
            <w:hideMark/>
          </w:tcPr>
          <w:p w14:paraId="2146A3C8"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2E05EC20"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440518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23DC5BF8"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E88D399"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Passeggeri trasportati</w:t>
            </w:r>
          </w:p>
        </w:tc>
        <w:tc>
          <w:tcPr>
            <w:tcW w:w="940" w:type="dxa"/>
            <w:tcBorders>
              <w:top w:val="nil"/>
              <w:left w:val="nil"/>
              <w:bottom w:val="single" w:sz="8" w:space="0" w:color="A6A6A6"/>
              <w:right w:val="single" w:sz="8" w:space="0" w:color="A6A6A6"/>
            </w:tcBorders>
            <w:noWrap/>
            <w:vAlign w:val="center"/>
            <w:hideMark/>
          </w:tcPr>
          <w:p w14:paraId="522A5FBC"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EA79041"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D55E91A"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385165F9"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57C1048C"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Addetti</w:t>
            </w:r>
          </w:p>
        </w:tc>
        <w:tc>
          <w:tcPr>
            <w:tcW w:w="940" w:type="dxa"/>
            <w:tcBorders>
              <w:top w:val="nil"/>
              <w:left w:val="nil"/>
              <w:bottom w:val="single" w:sz="8" w:space="0" w:color="A6A6A6"/>
              <w:right w:val="single" w:sz="8" w:space="0" w:color="A6A6A6"/>
            </w:tcBorders>
            <w:noWrap/>
            <w:vAlign w:val="center"/>
            <w:hideMark/>
          </w:tcPr>
          <w:p w14:paraId="22D8455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5DE87284"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397E2B56"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004E201A" w14:textId="77777777" w:rsidTr="002A21C0">
        <w:trPr>
          <w:trHeight w:val="300"/>
          <w:jc w:val="center"/>
        </w:trPr>
        <w:tc>
          <w:tcPr>
            <w:tcW w:w="4980" w:type="dxa"/>
            <w:tcBorders>
              <w:top w:val="nil"/>
              <w:left w:val="single" w:sz="8" w:space="0" w:color="A6A6A6"/>
              <w:bottom w:val="single" w:sz="8" w:space="0" w:color="A6A6A6"/>
              <w:right w:val="single" w:sz="8" w:space="0" w:color="A6A6A6"/>
            </w:tcBorders>
            <w:noWrap/>
            <w:vAlign w:val="center"/>
            <w:hideMark/>
          </w:tcPr>
          <w:p w14:paraId="25C1D23B" w14:textId="77777777" w:rsidR="00335312" w:rsidRPr="00463B9F" w:rsidRDefault="00335312" w:rsidP="002A21C0">
            <w:pPr>
              <w:spacing w:after="0" w:line="240" w:lineRule="auto"/>
              <w:rPr>
                <w:rFonts w:ascii="Calibri" w:eastAsia="Times New Roman" w:hAnsi="Calibri" w:cs="Calibri"/>
                <w:color w:val="000000"/>
                <w:sz w:val="20"/>
                <w:szCs w:val="20"/>
              </w:rPr>
            </w:pPr>
            <w:r w:rsidRPr="00463B9F">
              <w:rPr>
                <w:rFonts w:ascii="Calibri" w:eastAsia="Times New Roman" w:hAnsi="Calibri" w:cs="Calibri"/>
                <w:color w:val="000000"/>
                <w:sz w:val="20"/>
                <w:szCs w:val="20"/>
              </w:rPr>
              <w:t>Contributi CCNL</w:t>
            </w:r>
          </w:p>
        </w:tc>
        <w:tc>
          <w:tcPr>
            <w:tcW w:w="940" w:type="dxa"/>
            <w:tcBorders>
              <w:top w:val="nil"/>
              <w:left w:val="nil"/>
              <w:bottom w:val="single" w:sz="8" w:space="0" w:color="A6A6A6"/>
              <w:right w:val="single" w:sz="8" w:space="0" w:color="A6A6A6"/>
            </w:tcBorders>
            <w:noWrap/>
            <w:vAlign w:val="center"/>
            <w:hideMark/>
          </w:tcPr>
          <w:p w14:paraId="17AAF3EF"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145CCAC7"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c>
          <w:tcPr>
            <w:tcW w:w="940" w:type="dxa"/>
            <w:tcBorders>
              <w:top w:val="nil"/>
              <w:left w:val="nil"/>
              <w:bottom w:val="single" w:sz="8" w:space="0" w:color="A6A6A6"/>
              <w:right w:val="single" w:sz="8" w:space="0" w:color="A6A6A6"/>
            </w:tcBorders>
            <w:noWrap/>
            <w:vAlign w:val="center"/>
            <w:hideMark/>
          </w:tcPr>
          <w:p w14:paraId="46DBFB8D" w14:textId="77777777" w:rsidR="00335312" w:rsidRPr="00463B9F" w:rsidRDefault="00335312" w:rsidP="002A21C0">
            <w:pPr>
              <w:spacing w:after="0" w:line="240" w:lineRule="auto"/>
              <w:jc w:val="right"/>
              <w:rPr>
                <w:rFonts w:ascii="Calibri" w:eastAsia="Times New Roman" w:hAnsi="Calibri" w:cs="Calibri"/>
                <w:sz w:val="20"/>
                <w:szCs w:val="20"/>
              </w:rPr>
            </w:pPr>
            <w:r w:rsidRPr="00463B9F">
              <w:rPr>
                <w:rFonts w:ascii="Calibri" w:eastAsia="Times New Roman" w:hAnsi="Calibri" w:cs="Calibri"/>
                <w:sz w:val="20"/>
                <w:szCs w:val="20"/>
              </w:rPr>
              <w:t>n.d.</w:t>
            </w:r>
          </w:p>
        </w:tc>
      </w:tr>
      <w:tr w:rsidR="00335312" w:rsidRPr="00463B9F" w14:paraId="2F9C5FFB" w14:textId="77777777" w:rsidTr="002A21C0">
        <w:trPr>
          <w:trHeight w:val="300"/>
          <w:jc w:val="center"/>
        </w:trPr>
        <w:tc>
          <w:tcPr>
            <w:tcW w:w="7800" w:type="dxa"/>
            <w:gridSpan w:val="4"/>
            <w:tcBorders>
              <w:top w:val="single" w:sz="8" w:space="0" w:color="A6A6A6"/>
              <w:left w:val="single" w:sz="8" w:space="0" w:color="A6A6A6"/>
              <w:bottom w:val="single" w:sz="8" w:space="0" w:color="A6A6A6"/>
              <w:right w:val="single" w:sz="8" w:space="0" w:color="A6A6A6"/>
            </w:tcBorders>
            <w:noWrap/>
            <w:vAlign w:val="center"/>
            <w:hideMark/>
          </w:tcPr>
          <w:p w14:paraId="50322AAF" w14:textId="77777777" w:rsidR="00335312" w:rsidRPr="00463B9F" w:rsidRDefault="00335312" w:rsidP="002A21C0">
            <w:pPr>
              <w:spacing w:after="0" w:line="240" w:lineRule="auto"/>
              <w:rPr>
                <w:rFonts w:ascii="Calibri" w:eastAsia="Times New Roman" w:hAnsi="Calibri" w:cs="Calibri"/>
                <w:sz w:val="18"/>
                <w:szCs w:val="18"/>
              </w:rPr>
            </w:pPr>
            <w:r w:rsidRPr="00463B9F">
              <w:rPr>
                <w:rFonts w:ascii="Calibri" w:eastAsia="Times New Roman" w:hAnsi="Calibri" w:cs="Calibri"/>
                <w:sz w:val="18"/>
                <w:szCs w:val="18"/>
              </w:rPr>
              <w:t>* Accordi di Programma per i quali sono stati inseriti dati ricavati da monitoraggi diretti di AMP</w:t>
            </w:r>
          </w:p>
        </w:tc>
      </w:tr>
    </w:tbl>
    <w:p w14:paraId="1D1AF155" w14:textId="64B64F1D" w:rsidR="00335312" w:rsidRPr="002568A7" w:rsidRDefault="00335312" w:rsidP="00335312">
      <w:pPr>
        <w:pStyle w:val="Didascalia"/>
        <w:jc w:val="center"/>
      </w:pPr>
      <w:r>
        <w:t xml:space="preserve">Tabella </w:t>
      </w:r>
      <w:r>
        <w:fldChar w:fldCharType="begin"/>
      </w:r>
      <w:r>
        <w:instrText xml:space="preserve"> SEQ Tabella \* ARABIC </w:instrText>
      </w:r>
      <w:r>
        <w:fldChar w:fldCharType="separate"/>
      </w:r>
      <w:r w:rsidR="00670903">
        <w:rPr>
          <w:noProof/>
        </w:rPr>
        <w:t>34</w:t>
      </w:r>
      <w:r>
        <w:rPr>
          <w:noProof/>
        </w:rPr>
        <w:fldChar w:fldCharType="end"/>
      </w:r>
      <w:r>
        <w:t xml:space="preserve"> – Dati di sintesi AdP (rielaborazione dati Osservatorio Nazionale TPL)</w:t>
      </w:r>
    </w:p>
    <w:p w14:paraId="2DA918DB" w14:textId="77777777" w:rsidR="00335312" w:rsidRDefault="00335312" w:rsidP="00335312">
      <w:pPr>
        <w:pStyle w:val="Titolo2"/>
        <w:ind w:left="567"/>
      </w:pPr>
      <w:bookmarkStart w:id="212" w:name="_Toc193195709"/>
      <w:bookmarkStart w:id="213" w:name="_Toc1034240282"/>
      <w:bookmarkStart w:id="214" w:name="_Toc197695687"/>
      <w:bookmarkStart w:id="215" w:name="_Toc204328728"/>
      <w:bookmarkStart w:id="216" w:name="_Toc205213728"/>
      <w:r>
        <w:t>Infrastrutture a servizio del trasporto pubblico locale</w:t>
      </w:r>
      <w:bookmarkEnd w:id="212"/>
      <w:bookmarkEnd w:id="213"/>
      <w:bookmarkEnd w:id="214"/>
      <w:bookmarkEnd w:id="215"/>
      <w:bookmarkEnd w:id="216"/>
    </w:p>
    <w:p w14:paraId="4B2B4E44" w14:textId="77777777" w:rsidR="00335312" w:rsidRDefault="00335312" w:rsidP="00335312">
      <w:pPr>
        <w:pStyle w:val="Titolo3"/>
        <w:ind w:left="720"/>
        <w:rPr>
          <w:shd w:val="clear" w:color="auto" w:fill="FAFAFA"/>
        </w:rPr>
      </w:pPr>
      <w:bookmarkStart w:id="217" w:name="_Toc193195710"/>
      <w:bookmarkStart w:id="218" w:name="_Toc1315509451"/>
      <w:bookmarkStart w:id="219" w:name="_Toc197695688"/>
      <w:bookmarkStart w:id="220" w:name="_Toc204328729"/>
      <w:bookmarkStart w:id="221" w:name="_Toc205213729"/>
      <w:r>
        <w:rPr>
          <w:shd w:val="clear" w:color="auto" w:fill="FAFAFA"/>
        </w:rPr>
        <w:t>Nodi d’interscambio</w:t>
      </w:r>
      <w:bookmarkEnd w:id="217"/>
      <w:bookmarkEnd w:id="218"/>
      <w:bookmarkEnd w:id="219"/>
      <w:bookmarkEnd w:id="220"/>
      <w:bookmarkEnd w:id="221"/>
    </w:p>
    <w:p w14:paraId="57667632" w14:textId="77777777" w:rsidR="00335312" w:rsidRPr="0051632C" w:rsidRDefault="00335312" w:rsidP="00335312">
      <w:pPr>
        <w:shd w:val="clear" w:color="auto" w:fill="FAFAFA"/>
        <w:spacing w:before="120" w:after="0" w:line="240" w:lineRule="auto"/>
        <w:rPr>
          <w:rFonts w:cstheme="minorHAnsi"/>
          <w:color w:val="242424"/>
          <w:shd w:val="clear" w:color="auto" w:fill="FAFAFA"/>
        </w:rPr>
      </w:pPr>
      <w:r w:rsidRPr="0051632C">
        <w:rPr>
          <w:rFonts w:cstheme="minorHAnsi"/>
          <w:color w:val="242424"/>
          <w:shd w:val="clear" w:color="auto" w:fill="FAFAFA"/>
        </w:rPr>
        <w:t>A servizio del sistema di mobilità sono stati da tempo individuati in Regione Piemonte dei nodi strategici denominati “</w:t>
      </w:r>
      <w:r w:rsidRPr="0051632C">
        <w:rPr>
          <w:rFonts w:cstheme="minorHAnsi"/>
          <w:b/>
          <w:bCs/>
          <w:color w:val="242424"/>
          <w:shd w:val="clear" w:color="auto" w:fill="FAFAFA"/>
        </w:rPr>
        <w:t>Movicentro</w:t>
      </w:r>
      <w:r w:rsidRPr="0051632C">
        <w:rPr>
          <w:rFonts w:cstheme="minorHAnsi"/>
          <w:color w:val="242424"/>
          <w:shd w:val="clear" w:color="auto" w:fill="FAFAFA"/>
        </w:rPr>
        <w:t>”, infrastrutturati per garantire l’interscambio fra più modi di trasporto, con particolare attenzione allo scambio tra i servizi di trasporto pubblico ferroviario e automobilistico, ma anche tra diversi sistemi modali (auto, bici, sharing). Per tale ragione trovano collocazione presso le stazioni ferroviarie e sono variamente infrastrutturati a seconda del contesto territoriale e di servizio.</w:t>
      </w:r>
    </w:p>
    <w:p w14:paraId="10D140CC" w14:textId="77777777" w:rsidR="00335312" w:rsidRDefault="00335312" w:rsidP="00335312">
      <w:pPr>
        <w:shd w:val="clear" w:color="auto" w:fill="FAFAFA"/>
        <w:spacing w:before="120" w:after="0" w:line="240" w:lineRule="auto"/>
        <w:rPr>
          <w:color w:val="242424"/>
          <w:shd w:val="clear" w:color="auto" w:fill="FAFAFA"/>
        </w:rPr>
      </w:pPr>
      <w:r w:rsidRPr="0A3010E0">
        <w:rPr>
          <w:color w:val="242424"/>
          <w:shd w:val="clear" w:color="auto" w:fill="FAFAFA"/>
        </w:rPr>
        <w:lastRenderedPageBreak/>
        <w:t xml:space="preserve">Nel Bacino </w:t>
      </w:r>
      <w:r>
        <w:rPr>
          <w:color w:val="242424"/>
          <w:shd w:val="clear" w:color="auto" w:fill="FAFAFA"/>
        </w:rPr>
        <w:t xml:space="preserve">Sud Est </w:t>
      </w:r>
      <w:r w:rsidRPr="0A3010E0">
        <w:rPr>
          <w:color w:val="242424"/>
          <w:shd w:val="clear" w:color="auto" w:fill="FAFAFA"/>
        </w:rPr>
        <w:t xml:space="preserve">sono presenti </w:t>
      </w:r>
      <w:r>
        <w:rPr>
          <w:rFonts w:ascii="Calibri" w:eastAsia="Calibri" w:hAnsi="Calibri" w:cs="Arial"/>
          <w:color w:val="242424"/>
          <w:shd w:val="clear" w:color="auto" w:fill="FAFAFA"/>
        </w:rPr>
        <w:t>6</w:t>
      </w:r>
      <w:r w:rsidRPr="00A470BD">
        <w:rPr>
          <w:rFonts w:ascii="Calibri" w:eastAsia="Calibri" w:hAnsi="Calibri" w:cs="Arial"/>
          <w:color w:val="242424"/>
          <w:shd w:val="clear" w:color="auto" w:fill="FAFAFA"/>
        </w:rPr>
        <w:t xml:space="preserve"> punti di interscambio classificati come Movicentro, ubicati nelle città di </w:t>
      </w:r>
      <w:r>
        <w:rPr>
          <w:rFonts w:ascii="Calibri" w:eastAsia="Calibri" w:hAnsi="Calibri" w:cs="Arial"/>
          <w:color w:val="242424"/>
          <w:shd w:val="clear" w:color="auto" w:fill="FAFAFA"/>
        </w:rPr>
        <w:t xml:space="preserve">Acqui Terme, Alessandria, Arquata, Asti, Novi Ligure, Tortona, </w:t>
      </w:r>
      <w:r w:rsidRPr="0A3010E0">
        <w:rPr>
          <w:color w:val="242424"/>
          <w:shd w:val="clear" w:color="auto" w:fill="FAFAFA"/>
        </w:rPr>
        <w:t>rappresentati nella mappa seguente. Tali punti sono definibili “Nodi rilevanti di primo livello” ai sensi della Delibera ART n. 53/2024</w:t>
      </w:r>
      <w:r w:rsidRPr="0A3010E0">
        <w:rPr>
          <w:rStyle w:val="Rimandonotaapidipagina"/>
          <w:color w:val="242424"/>
          <w:shd w:val="clear" w:color="auto" w:fill="FAFAFA"/>
        </w:rPr>
        <w:footnoteReference w:id="28"/>
      </w:r>
      <w:r w:rsidRPr="0A3010E0">
        <w:rPr>
          <w:color w:val="242424"/>
          <w:shd w:val="clear" w:color="auto" w:fill="FAFAFA"/>
        </w:rPr>
        <w:t xml:space="preserve"> e quindi sono da ritenersi </w:t>
      </w:r>
      <w:r>
        <w:rPr>
          <w:color w:val="242424"/>
          <w:shd w:val="clear" w:color="auto" w:fill="FAFAFA"/>
        </w:rPr>
        <w:t>essenziali</w:t>
      </w:r>
      <w:r w:rsidRPr="0A3010E0">
        <w:rPr>
          <w:color w:val="242424"/>
          <w:shd w:val="clear" w:color="auto" w:fill="FAFAFA"/>
        </w:rPr>
        <w:t xml:space="preserve"> nella programmazione dei servizi di trasporto automobilistico.</w:t>
      </w:r>
    </w:p>
    <w:p w14:paraId="46AF836A" w14:textId="77777777" w:rsidR="00335312" w:rsidRPr="00790DDF" w:rsidRDefault="00335312" w:rsidP="00335312">
      <w:pPr>
        <w:shd w:val="clear" w:color="auto" w:fill="FAFAFA"/>
        <w:spacing w:before="120" w:after="0" w:line="240" w:lineRule="auto"/>
        <w:rPr>
          <w:shd w:val="clear" w:color="auto" w:fill="FAFAFA"/>
        </w:rPr>
      </w:pPr>
    </w:p>
    <w:p w14:paraId="565140EA" w14:textId="77777777" w:rsidR="00335312" w:rsidRPr="00790DDF" w:rsidRDefault="00335312" w:rsidP="00335312">
      <w:pPr>
        <w:shd w:val="clear" w:color="auto" w:fill="FAFAFA"/>
        <w:spacing w:before="120" w:after="0" w:line="240" w:lineRule="auto"/>
        <w:jc w:val="left"/>
        <w:rPr>
          <w:rFonts w:eastAsia="Times New Roman" w:cstheme="minorHAnsi"/>
        </w:rPr>
      </w:pPr>
      <w:r w:rsidRPr="00790DDF">
        <w:rPr>
          <w:rFonts w:eastAsia="Times New Roman" w:cstheme="minorHAnsi"/>
          <w:noProof/>
        </w:rPr>
        <w:drawing>
          <wp:inline distT="0" distB="0" distL="0" distR="0" wp14:anchorId="7B210A89" wp14:editId="3D9E251A">
            <wp:extent cx="5759450" cy="4072255"/>
            <wp:effectExtent l="19050" t="19050" r="12700" b="23495"/>
            <wp:docPr id="4" name="Immagine 4" descr="Z:\RELAZIONI LOTTI\materiale lavoro\BACINO SUD-EST\Fig 27 - Nodi Interscamb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RELAZIONI LOTTI\materiale lavoro\BACINO SUD-EST\Fig 27 - Nodi Interscambio.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9450" cy="4072255"/>
                    </a:xfrm>
                    <a:prstGeom prst="rect">
                      <a:avLst/>
                    </a:prstGeom>
                    <a:noFill/>
                    <a:ln>
                      <a:solidFill>
                        <a:schemeClr val="accent6">
                          <a:lumMod val="50000"/>
                        </a:schemeClr>
                      </a:solidFill>
                    </a:ln>
                  </pic:spPr>
                </pic:pic>
              </a:graphicData>
            </a:graphic>
          </wp:inline>
        </w:drawing>
      </w:r>
    </w:p>
    <w:p w14:paraId="06342ED2" w14:textId="54249E41" w:rsidR="00335312" w:rsidRPr="001D5603" w:rsidRDefault="00335312" w:rsidP="00335312">
      <w:pPr>
        <w:pStyle w:val="Didascalia"/>
        <w:spacing w:before="120"/>
        <w:jc w:val="center"/>
        <w:rPr>
          <w:rFonts w:cstheme="minorHAnsi"/>
        </w:rPr>
      </w:pPr>
      <w:r w:rsidRPr="001D5603">
        <w:rPr>
          <w:rFonts w:cstheme="minorHAnsi"/>
        </w:rPr>
        <w:t xml:space="preserve">Figura </w:t>
      </w:r>
      <w:r w:rsidRPr="001D5603">
        <w:rPr>
          <w:rFonts w:cstheme="minorHAnsi"/>
        </w:rPr>
        <w:fldChar w:fldCharType="begin"/>
      </w:r>
      <w:r w:rsidRPr="001D5603">
        <w:instrText xml:space="preserve"> SEQ Figura \* ARABIC </w:instrText>
      </w:r>
      <w:r w:rsidRPr="001D5603">
        <w:rPr>
          <w:rFonts w:cstheme="minorHAnsi"/>
        </w:rPr>
        <w:fldChar w:fldCharType="separate"/>
      </w:r>
      <w:r w:rsidR="00670903">
        <w:rPr>
          <w:noProof/>
        </w:rPr>
        <w:t>22</w:t>
      </w:r>
      <w:r w:rsidRPr="001D5603">
        <w:rPr>
          <w:rFonts w:cstheme="minorHAnsi"/>
          <w:noProof/>
        </w:rPr>
        <w:fldChar w:fldCharType="end"/>
      </w:r>
      <w:r w:rsidRPr="001D5603">
        <w:rPr>
          <w:rFonts w:cstheme="minorHAnsi"/>
        </w:rPr>
        <w:t xml:space="preserve"> –Nodi di interscambio di I livello del Bacino Sud Est</w:t>
      </w:r>
    </w:p>
    <w:p w14:paraId="1AF4F1A7" w14:textId="7629946B" w:rsidR="00185E37" w:rsidRDefault="00185E37" w:rsidP="00335312">
      <w:r>
        <w:br w:type="page"/>
      </w:r>
    </w:p>
    <w:p w14:paraId="342FBB64" w14:textId="77777777" w:rsidR="00335312" w:rsidRDefault="00335312" w:rsidP="00335312"/>
    <w:tbl>
      <w:tblPr>
        <w:tblW w:w="9062"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1304"/>
        <w:gridCol w:w="1458"/>
        <w:gridCol w:w="1203"/>
        <w:gridCol w:w="1270"/>
        <w:gridCol w:w="1276"/>
        <w:gridCol w:w="2551"/>
      </w:tblGrid>
      <w:tr w:rsidR="00335312" w:rsidRPr="00482536" w14:paraId="10AD622F" w14:textId="77777777" w:rsidTr="002A21C0">
        <w:trPr>
          <w:trHeight w:val="879"/>
        </w:trPr>
        <w:tc>
          <w:tcPr>
            <w:tcW w:w="1304" w:type="dxa"/>
            <w:shd w:val="clear" w:color="auto" w:fill="A5C34C" w:themeFill="accent6" w:themeFillShade="BF"/>
            <w:vAlign w:val="center"/>
            <w:hideMark/>
          </w:tcPr>
          <w:p w14:paraId="41E75275"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Movicentro</w:t>
            </w:r>
          </w:p>
        </w:tc>
        <w:tc>
          <w:tcPr>
            <w:tcW w:w="1458" w:type="dxa"/>
            <w:shd w:val="clear" w:color="auto" w:fill="A5C34C" w:themeFill="accent6" w:themeFillShade="BF"/>
            <w:vAlign w:val="center"/>
            <w:hideMark/>
          </w:tcPr>
          <w:p w14:paraId="62533495"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Modi di trasporto</w:t>
            </w:r>
          </w:p>
        </w:tc>
        <w:tc>
          <w:tcPr>
            <w:tcW w:w="1203" w:type="dxa"/>
            <w:shd w:val="clear" w:color="auto" w:fill="A5C34C" w:themeFill="accent6" w:themeFillShade="BF"/>
            <w:vAlign w:val="center"/>
            <w:hideMark/>
          </w:tcPr>
          <w:p w14:paraId="2D152F6B"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Tipologia nodo di I livello</w:t>
            </w:r>
          </w:p>
        </w:tc>
        <w:tc>
          <w:tcPr>
            <w:tcW w:w="1270" w:type="dxa"/>
            <w:shd w:val="clear" w:color="auto" w:fill="A5C34C" w:themeFill="accent6" w:themeFillShade="BF"/>
            <w:vAlign w:val="center"/>
            <w:hideMark/>
          </w:tcPr>
          <w:p w14:paraId="20C8D5F1"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Convenzioni e Accordi</w:t>
            </w:r>
          </w:p>
        </w:tc>
        <w:tc>
          <w:tcPr>
            <w:tcW w:w="1276" w:type="dxa"/>
            <w:shd w:val="clear" w:color="auto" w:fill="A5C34C" w:themeFill="accent6" w:themeFillShade="BF"/>
            <w:vAlign w:val="center"/>
            <w:hideMark/>
          </w:tcPr>
          <w:p w14:paraId="53C44F9F"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Costi</w:t>
            </w:r>
          </w:p>
        </w:tc>
        <w:tc>
          <w:tcPr>
            <w:tcW w:w="2551" w:type="dxa"/>
            <w:shd w:val="clear" w:color="auto" w:fill="A5C34C" w:themeFill="accent6" w:themeFillShade="BF"/>
            <w:vAlign w:val="center"/>
            <w:hideMark/>
          </w:tcPr>
          <w:p w14:paraId="2D2F7522" w14:textId="77777777" w:rsidR="00335312" w:rsidRPr="00482536" w:rsidRDefault="00335312" w:rsidP="002A21C0">
            <w:pPr>
              <w:spacing w:after="0" w:line="240" w:lineRule="auto"/>
              <w:jc w:val="left"/>
              <w:rPr>
                <w:rFonts w:ascii="Calibri" w:eastAsia="Times New Roman" w:hAnsi="Calibri" w:cs="Calibri"/>
                <w:b/>
                <w:bCs/>
                <w:color w:val="000000"/>
                <w:sz w:val="20"/>
                <w:szCs w:val="20"/>
              </w:rPr>
            </w:pPr>
            <w:r w:rsidRPr="00482536">
              <w:rPr>
                <w:rFonts w:ascii="Calibri" w:eastAsia="Times New Roman" w:hAnsi="Calibri" w:cs="Calibri"/>
                <w:b/>
                <w:bCs/>
                <w:color w:val="000000"/>
                <w:sz w:val="20"/>
                <w:szCs w:val="20"/>
              </w:rPr>
              <w:t>Note</w:t>
            </w:r>
          </w:p>
        </w:tc>
      </w:tr>
      <w:tr w:rsidR="00335312" w:rsidRPr="00482536" w14:paraId="39CC819E" w14:textId="77777777" w:rsidTr="002A21C0">
        <w:trPr>
          <w:trHeight w:val="1709"/>
        </w:trPr>
        <w:tc>
          <w:tcPr>
            <w:tcW w:w="1304" w:type="dxa"/>
            <w:vAlign w:val="center"/>
            <w:hideMark/>
          </w:tcPr>
          <w:p w14:paraId="669C6DD4"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MOVICENTRO DI ACQUI TERME</w:t>
            </w:r>
          </w:p>
        </w:tc>
        <w:tc>
          <w:tcPr>
            <w:tcW w:w="1458" w:type="dxa"/>
            <w:vAlign w:val="center"/>
            <w:hideMark/>
          </w:tcPr>
          <w:p w14:paraId="1A2E462B"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 e urbane;</w:t>
            </w:r>
          </w:p>
          <w:p w14:paraId="7C46A58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3D4917F1"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Bicicletta;</w:t>
            </w:r>
          </w:p>
          <w:p w14:paraId="3828419B"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p>
          <w:p w14:paraId="7B69B4F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Pr>
                <w:rFonts w:ascii="Calibri" w:eastAsia="Times New Roman" w:hAnsi="Calibri" w:cs="Calibri"/>
                <w:color w:val="242424"/>
                <w:sz w:val="20"/>
                <w:szCs w:val="20"/>
              </w:rPr>
              <w:t>Parcheggio d’interscambio</w:t>
            </w:r>
          </w:p>
        </w:tc>
        <w:tc>
          <w:tcPr>
            <w:tcW w:w="1203" w:type="dxa"/>
            <w:vAlign w:val="center"/>
            <w:hideMark/>
          </w:tcPr>
          <w:p w14:paraId="215069E2"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Nodo di interscambio multimodale diretto</w:t>
            </w:r>
          </w:p>
        </w:tc>
        <w:tc>
          <w:tcPr>
            <w:tcW w:w="1270" w:type="dxa"/>
            <w:vAlign w:val="center"/>
            <w:hideMark/>
          </w:tcPr>
          <w:p w14:paraId="24FACA36"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Necessità di definizione di accordi gestione</w:t>
            </w:r>
          </w:p>
        </w:tc>
        <w:tc>
          <w:tcPr>
            <w:tcW w:w="1276" w:type="dxa"/>
            <w:vAlign w:val="center"/>
            <w:hideMark/>
          </w:tcPr>
          <w:p w14:paraId="442C3B8E"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Costi di gestione</w:t>
            </w:r>
          </w:p>
        </w:tc>
        <w:tc>
          <w:tcPr>
            <w:tcW w:w="2551" w:type="dxa"/>
            <w:vAlign w:val="center"/>
            <w:hideMark/>
          </w:tcPr>
          <w:p w14:paraId="6FF58A6E"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L'immobile denominato "Movicentro" di proprietà del comune è stato concesso in uso all'operatore di TPL che ha in carico i costi di gestione.</w:t>
            </w:r>
          </w:p>
        </w:tc>
      </w:tr>
      <w:tr w:rsidR="00335312" w:rsidRPr="00482536" w14:paraId="6DEDDB73" w14:textId="77777777" w:rsidTr="002A21C0">
        <w:trPr>
          <w:trHeight w:val="1623"/>
        </w:trPr>
        <w:tc>
          <w:tcPr>
            <w:tcW w:w="1304" w:type="dxa"/>
            <w:shd w:val="clear" w:color="000000" w:fill="FFFFFF"/>
            <w:vAlign w:val="center"/>
            <w:hideMark/>
          </w:tcPr>
          <w:p w14:paraId="7595545A"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MOVICENTRO DI ALESSANDRIA</w:t>
            </w:r>
          </w:p>
        </w:tc>
        <w:tc>
          <w:tcPr>
            <w:tcW w:w="1458" w:type="dxa"/>
            <w:vAlign w:val="center"/>
            <w:hideMark/>
          </w:tcPr>
          <w:p w14:paraId="7CD1E53F"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 e urbane;</w:t>
            </w:r>
          </w:p>
          <w:p w14:paraId="1B54991A" w14:textId="77777777" w:rsidR="00335312" w:rsidRPr="000A2922" w:rsidRDefault="00335312" w:rsidP="002A21C0">
            <w:pPr>
              <w:shd w:val="clear" w:color="auto" w:fill="FAFAFA"/>
              <w:spacing w:after="0" w:line="240" w:lineRule="auto"/>
              <w:jc w:val="left"/>
              <w:rPr>
                <w:rFonts w:cstheme="minorHAnsi"/>
                <w:sz w:val="20"/>
                <w:szCs w:val="20"/>
                <w:shd w:val="clear" w:color="auto" w:fill="FAFAFA"/>
              </w:rPr>
            </w:pPr>
            <w:r w:rsidRPr="008475F9">
              <w:rPr>
                <w:rFonts w:cstheme="minorHAnsi"/>
                <w:sz w:val="20"/>
                <w:szCs w:val="20"/>
                <w:shd w:val="clear" w:color="auto" w:fill="FAFAFA"/>
              </w:rPr>
              <w:t>Autolinee lunga percorrenza;</w:t>
            </w:r>
          </w:p>
          <w:p w14:paraId="17822DA0"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781D08EC"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Bicicletta;</w:t>
            </w:r>
          </w:p>
          <w:p w14:paraId="0CEC2F9D"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p>
          <w:p w14:paraId="5BEB4079"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Pr>
                <w:rFonts w:ascii="Calibri" w:eastAsia="Times New Roman" w:hAnsi="Calibri" w:cs="Calibri"/>
                <w:color w:val="242424"/>
                <w:sz w:val="20"/>
                <w:szCs w:val="20"/>
              </w:rPr>
              <w:t>Parcheggio d’interscambio</w:t>
            </w:r>
          </w:p>
        </w:tc>
        <w:tc>
          <w:tcPr>
            <w:tcW w:w="1203" w:type="dxa"/>
            <w:vAlign w:val="center"/>
            <w:hideMark/>
          </w:tcPr>
          <w:p w14:paraId="6B1542C3"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 xml:space="preserve">Nodo di interscambio multimodale </w:t>
            </w:r>
          </w:p>
        </w:tc>
        <w:tc>
          <w:tcPr>
            <w:tcW w:w="1270" w:type="dxa"/>
            <w:vAlign w:val="center"/>
            <w:hideMark/>
          </w:tcPr>
          <w:p w14:paraId="29AF26C1" w14:textId="77777777" w:rsidR="00335312" w:rsidRPr="00482536" w:rsidRDefault="00335312" w:rsidP="002A21C0">
            <w:pPr>
              <w:spacing w:after="0" w:line="240" w:lineRule="auto"/>
              <w:jc w:val="center"/>
              <w:rPr>
                <w:rFonts w:ascii="Calibri" w:eastAsia="Times New Roman" w:hAnsi="Calibri" w:cs="Calibri"/>
                <w:color w:val="242424"/>
                <w:sz w:val="20"/>
                <w:szCs w:val="20"/>
              </w:rPr>
            </w:pPr>
          </w:p>
        </w:tc>
        <w:tc>
          <w:tcPr>
            <w:tcW w:w="1276" w:type="dxa"/>
            <w:vAlign w:val="center"/>
            <w:hideMark/>
          </w:tcPr>
          <w:p w14:paraId="3F6E93F4" w14:textId="77777777" w:rsidR="00335312" w:rsidRPr="00482536" w:rsidRDefault="00335312" w:rsidP="002A21C0">
            <w:pPr>
              <w:spacing w:after="0" w:line="240" w:lineRule="auto"/>
              <w:jc w:val="center"/>
              <w:rPr>
                <w:rFonts w:ascii="Calibri" w:eastAsia="Times New Roman" w:hAnsi="Calibri" w:cs="Calibri"/>
                <w:b/>
                <w:bCs/>
                <w:color w:val="242424"/>
                <w:sz w:val="20"/>
                <w:szCs w:val="20"/>
              </w:rPr>
            </w:pPr>
          </w:p>
        </w:tc>
        <w:tc>
          <w:tcPr>
            <w:tcW w:w="2551" w:type="dxa"/>
            <w:vAlign w:val="center"/>
            <w:hideMark/>
          </w:tcPr>
          <w:p w14:paraId="102EC951"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 </w:t>
            </w:r>
            <w:r w:rsidRPr="00C44197">
              <w:rPr>
                <w:rFonts w:ascii="Calibri" w:eastAsia="Times New Roman" w:hAnsi="Calibri" w:cs="Calibri"/>
                <w:color w:val="242424"/>
                <w:sz w:val="20"/>
                <w:szCs w:val="20"/>
              </w:rPr>
              <w:t xml:space="preserve">Il </w:t>
            </w:r>
            <w:r>
              <w:rPr>
                <w:rFonts w:ascii="Calibri" w:eastAsia="Times New Roman" w:hAnsi="Calibri" w:cs="Calibri"/>
                <w:color w:val="242424"/>
                <w:sz w:val="20"/>
                <w:szCs w:val="20"/>
              </w:rPr>
              <w:t>“M</w:t>
            </w:r>
            <w:r w:rsidRPr="00C44197">
              <w:rPr>
                <w:rFonts w:ascii="Calibri" w:eastAsia="Times New Roman" w:hAnsi="Calibri" w:cs="Calibri"/>
                <w:color w:val="242424"/>
                <w:sz w:val="20"/>
                <w:szCs w:val="20"/>
              </w:rPr>
              <w:t>ovicentro</w:t>
            </w:r>
            <w:r>
              <w:rPr>
                <w:rFonts w:ascii="Calibri" w:eastAsia="Times New Roman" w:hAnsi="Calibri" w:cs="Calibri"/>
                <w:color w:val="242424"/>
                <w:sz w:val="20"/>
                <w:szCs w:val="20"/>
              </w:rPr>
              <w:t>”</w:t>
            </w:r>
            <w:r w:rsidRPr="00C44197">
              <w:rPr>
                <w:rFonts w:ascii="Calibri" w:eastAsia="Times New Roman" w:hAnsi="Calibri" w:cs="Calibri"/>
                <w:color w:val="242424"/>
                <w:sz w:val="20"/>
                <w:szCs w:val="20"/>
              </w:rPr>
              <w:t xml:space="preserve"> non è caratterizzato da edifici e/o infrastrutture pesanti, è identificabile come punto fisico antistante la stazione ferroviaria dove confluiscono i differenti servizi di mobilità</w:t>
            </w:r>
            <w:r>
              <w:rPr>
                <w:rFonts w:ascii="Calibri" w:eastAsia="Times New Roman" w:hAnsi="Calibri" w:cs="Calibri"/>
                <w:b/>
                <w:bCs/>
                <w:color w:val="242424"/>
                <w:sz w:val="20"/>
                <w:szCs w:val="20"/>
              </w:rPr>
              <w:t xml:space="preserve"> </w:t>
            </w:r>
          </w:p>
        </w:tc>
      </w:tr>
      <w:tr w:rsidR="00335312" w:rsidRPr="00482536" w14:paraId="01E58B6C" w14:textId="77777777" w:rsidTr="002A21C0">
        <w:trPr>
          <w:trHeight w:val="1319"/>
        </w:trPr>
        <w:tc>
          <w:tcPr>
            <w:tcW w:w="1304" w:type="dxa"/>
            <w:vAlign w:val="center"/>
            <w:hideMark/>
          </w:tcPr>
          <w:p w14:paraId="5908BF5D"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MOVICENTRO DI ARQUATA</w:t>
            </w:r>
          </w:p>
        </w:tc>
        <w:tc>
          <w:tcPr>
            <w:tcW w:w="1458" w:type="dxa"/>
            <w:vAlign w:val="center"/>
            <w:hideMark/>
          </w:tcPr>
          <w:p w14:paraId="3FA244E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w:t>
            </w:r>
          </w:p>
          <w:p w14:paraId="4F3A1DE5"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0399BB14"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p>
          <w:p w14:paraId="3BAA9C6C"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Pr>
                <w:rFonts w:ascii="Calibri" w:eastAsia="Times New Roman" w:hAnsi="Calibri" w:cs="Calibri"/>
                <w:color w:val="242424"/>
                <w:sz w:val="20"/>
                <w:szCs w:val="20"/>
              </w:rPr>
              <w:t>Parcheggio d’interscambio</w:t>
            </w:r>
          </w:p>
        </w:tc>
        <w:tc>
          <w:tcPr>
            <w:tcW w:w="1203" w:type="dxa"/>
            <w:vAlign w:val="center"/>
            <w:hideMark/>
          </w:tcPr>
          <w:p w14:paraId="1B3FB0E1" w14:textId="77777777" w:rsidR="00335312" w:rsidRPr="00482536" w:rsidRDefault="00335312" w:rsidP="002A21C0">
            <w:pPr>
              <w:spacing w:after="0" w:line="240" w:lineRule="auto"/>
              <w:jc w:val="left"/>
              <w:rPr>
                <w:rFonts w:ascii="Calibri" w:eastAsia="Times New Roman" w:hAnsi="Calibri" w:cs="Calibri"/>
                <w:color w:val="000000"/>
                <w:sz w:val="20"/>
                <w:szCs w:val="20"/>
              </w:rPr>
            </w:pPr>
            <w:r w:rsidRPr="00482536">
              <w:rPr>
                <w:rFonts w:ascii="Calibri" w:eastAsia="Times New Roman" w:hAnsi="Calibri" w:cs="Calibri"/>
                <w:color w:val="000000"/>
                <w:sz w:val="20"/>
                <w:szCs w:val="20"/>
              </w:rPr>
              <w:t>Nodo di interscambio multimodale diretto</w:t>
            </w:r>
          </w:p>
        </w:tc>
        <w:tc>
          <w:tcPr>
            <w:tcW w:w="1270" w:type="dxa"/>
            <w:vAlign w:val="center"/>
            <w:hideMark/>
          </w:tcPr>
          <w:p w14:paraId="757172D0" w14:textId="77777777" w:rsidR="00335312" w:rsidRPr="00482536" w:rsidRDefault="00335312" w:rsidP="002A21C0">
            <w:pPr>
              <w:spacing w:after="0" w:line="240" w:lineRule="auto"/>
              <w:jc w:val="center"/>
              <w:rPr>
                <w:rFonts w:ascii="Calibri" w:eastAsia="Times New Roman" w:hAnsi="Calibri" w:cs="Calibri"/>
                <w:color w:val="242424"/>
                <w:sz w:val="20"/>
                <w:szCs w:val="20"/>
              </w:rPr>
            </w:pPr>
            <w:r w:rsidRPr="00482536">
              <w:rPr>
                <w:rFonts w:ascii="Calibri" w:eastAsia="Times New Roman" w:hAnsi="Calibri" w:cs="Calibri"/>
                <w:color w:val="242424"/>
                <w:sz w:val="20"/>
                <w:szCs w:val="20"/>
              </w:rPr>
              <w:t> </w:t>
            </w:r>
          </w:p>
        </w:tc>
        <w:tc>
          <w:tcPr>
            <w:tcW w:w="1276" w:type="dxa"/>
            <w:vAlign w:val="center"/>
            <w:hideMark/>
          </w:tcPr>
          <w:p w14:paraId="1C4E95EB" w14:textId="77777777" w:rsidR="00335312" w:rsidRPr="00482536" w:rsidRDefault="00335312" w:rsidP="002A21C0">
            <w:pPr>
              <w:spacing w:after="0" w:line="240" w:lineRule="auto"/>
              <w:jc w:val="center"/>
              <w:rPr>
                <w:rFonts w:ascii="Calibri" w:eastAsia="Times New Roman" w:hAnsi="Calibri" w:cs="Calibri"/>
                <w:color w:val="242424"/>
                <w:sz w:val="20"/>
                <w:szCs w:val="20"/>
              </w:rPr>
            </w:pPr>
            <w:r w:rsidRPr="00482536">
              <w:rPr>
                <w:rFonts w:ascii="Calibri" w:eastAsia="Times New Roman" w:hAnsi="Calibri" w:cs="Calibri"/>
                <w:color w:val="242424"/>
                <w:sz w:val="20"/>
                <w:szCs w:val="20"/>
              </w:rPr>
              <w:t> </w:t>
            </w:r>
          </w:p>
        </w:tc>
        <w:tc>
          <w:tcPr>
            <w:tcW w:w="2551" w:type="dxa"/>
            <w:vAlign w:val="center"/>
            <w:hideMark/>
          </w:tcPr>
          <w:p w14:paraId="0DDA11B2"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b/>
                <w:bCs/>
                <w:color w:val="242424"/>
                <w:sz w:val="20"/>
                <w:szCs w:val="20"/>
              </w:rPr>
              <w:t> </w:t>
            </w:r>
            <w:r w:rsidRPr="00C44197">
              <w:rPr>
                <w:rFonts w:ascii="Calibri" w:eastAsia="Times New Roman" w:hAnsi="Calibri" w:cs="Calibri"/>
                <w:color w:val="242424"/>
                <w:sz w:val="20"/>
                <w:szCs w:val="20"/>
              </w:rPr>
              <w:t xml:space="preserve">Il </w:t>
            </w:r>
            <w:r>
              <w:rPr>
                <w:rFonts w:ascii="Calibri" w:eastAsia="Times New Roman" w:hAnsi="Calibri" w:cs="Calibri"/>
                <w:color w:val="242424"/>
                <w:sz w:val="20"/>
                <w:szCs w:val="20"/>
              </w:rPr>
              <w:t>“M</w:t>
            </w:r>
            <w:r w:rsidRPr="00C44197">
              <w:rPr>
                <w:rFonts w:ascii="Calibri" w:eastAsia="Times New Roman" w:hAnsi="Calibri" w:cs="Calibri"/>
                <w:color w:val="242424"/>
                <w:sz w:val="20"/>
                <w:szCs w:val="20"/>
              </w:rPr>
              <w:t>ovicentro</w:t>
            </w:r>
            <w:r>
              <w:rPr>
                <w:rFonts w:ascii="Calibri" w:eastAsia="Times New Roman" w:hAnsi="Calibri" w:cs="Calibri"/>
                <w:color w:val="242424"/>
                <w:sz w:val="20"/>
                <w:szCs w:val="20"/>
              </w:rPr>
              <w:t>”</w:t>
            </w:r>
            <w:r w:rsidRPr="00C44197">
              <w:rPr>
                <w:rFonts w:ascii="Calibri" w:eastAsia="Times New Roman" w:hAnsi="Calibri" w:cs="Calibri"/>
                <w:color w:val="242424"/>
                <w:sz w:val="20"/>
                <w:szCs w:val="20"/>
              </w:rPr>
              <w:t xml:space="preserve"> non è caratterizzato da edifici e/o infrastrutture pesanti, è identificabile come punto fisico antistante la stazione ferroviaria dove confluiscono i differenti servizi di mobilità</w:t>
            </w:r>
            <w:r w:rsidRPr="00482536">
              <w:rPr>
                <w:rFonts w:ascii="Calibri" w:eastAsia="Times New Roman" w:hAnsi="Calibri" w:cs="Calibri"/>
                <w:color w:val="242424"/>
                <w:sz w:val="20"/>
                <w:szCs w:val="20"/>
              </w:rPr>
              <w:t> </w:t>
            </w:r>
          </w:p>
        </w:tc>
      </w:tr>
      <w:tr w:rsidR="00335312" w:rsidRPr="00482536" w14:paraId="40701998" w14:textId="77777777" w:rsidTr="002A21C0">
        <w:trPr>
          <w:trHeight w:val="2930"/>
        </w:trPr>
        <w:tc>
          <w:tcPr>
            <w:tcW w:w="1304" w:type="dxa"/>
            <w:vAlign w:val="center"/>
            <w:hideMark/>
          </w:tcPr>
          <w:p w14:paraId="5E2252B9"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MOVICENTRO DI ASTI</w:t>
            </w:r>
          </w:p>
        </w:tc>
        <w:tc>
          <w:tcPr>
            <w:tcW w:w="1458" w:type="dxa"/>
            <w:vAlign w:val="center"/>
            <w:hideMark/>
          </w:tcPr>
          <w:p w14:paraId="65CC6EA8"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 e urbane;</w:t>
            </w:r>
          </w:p>
          <w:p w14:paraId="6EBDFFA4" w14:textId="77777777" w:rsidR="00335312" w:rsidRPr="000A2922" w:rsidRDefault="00335312" w:rsidP="002A21C0">
            <w:pPr>
              <w:shd w:val="clear" w:color="auto" w:fill="FAFAFA"/>
              <w:spacing w:after="0" w:line="240" w:lineRule="auto"/>
              <w:jc w:val="left"/>
              <w:rPr>
                <w:rFonts w:cstheme="minorHAnsi"/>
                <w:sz w:val="20"/>
                <w:szCs w:val="20"/>
                <w:shd w:val="clear" w:color="auto" w:fill="FAFAFA"/>
              </w:rPr>
            </w:pPr>
            <w:r w:rsidRPr="008475F9">
              <w:rPr>
                <w:rFonts w:cstheme="minorHAnsi"/>
                <w:sz w:val="20"/>
                <w:szCs w:val="20"/>
                <w:shd w:val="clear" w:color="auto" w:fill="FAFAFA"/>
              </w:rPr>
              <w:t>Autolinee lunga percorrenza;</w:t>
            </w:r>
          </w:p>
          <w:p w14:paraId="0A0523E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023F08FF"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Bicicletta;</w:t>
            </w:r>
          </w:p>
          <w:p w14:paraId="4748DB54"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p>
        </w:tc>
        <w:tc>
          <w:tcPr>
            <w:tcW w:w="1203" w:type="dxa"/>
            <w:vAlign w:val="center"/>
            <w:hideMark/>
          </w:tcPr>
          <w:p w14:paraId="5113044D" w14:textId="77777777" w:rsidR="00335312" w:rsidRPr="00482536" w:rsidRDefault="00335312" w:rsidP="002A21C0">
            <w:pPr>
              <w:spacing w:after="0" w:line="240" w:lineRule="auto"/>
              <w:jc w:val="left"/>
              <w:rPr>
                <w:rFonts w:ascii="Calibri" w:eastAsia="Times New Roman" w:hAnsi="Calibri" w:cs="Calibri"/>
                <w:color w:val="000000"/>
                <w:sz w:val="20"/>
                <w:szCs w:val="20"/>
              </w:rPr>
            </w:pPr>
            <w:r w:rsidRPr="00482536">
              <w:rPr>
                <w:rFonts w:ascii="Calibri" w:eastAsia="Times New Roman" w:hAnsi="Calibri" w:cs="Calibri"/>
                <w:color w:val="000000"/>
                <w:sz w:val="20"/>
                <w:szCs w:val="20"/>
              </w:rPr>
              <w:t xml:space="preserve">Nodo di interscambio multimodale </w:t>
            </w:r>
            <w:r>
              <w:rPr>
                <w:rFonts w:ascii="Calibri" w:eastAsia="Times New Roman" w:hAnsi="Calibri" w:cs="Calibri"/>
                <w:color w:val="000000"/>
                <w:sz w:val="20"/>
                <w:szCs w:val="20"/>
              </w:rPr>
              <w:t>in</w:t>
            </w:r>
            <w:r w:rsidRPr="00482536">
              <w:rPr>
                <w:rFonts w:ascii="Calibri" w:eastAsia="Times New Roman" w:hAnsi="Calibri" w:cs="Calibri"/>
                <w:color w:val="000000"/>
                <w:sz w:val="20"/>
                <w:szCs w:val="20"/>
              </w:rPr>
              <w:t>diretto</w:t>
            </w:r>
          </w:p>
        </w:tc>
        <w:tc>
          <w:tcPr>
            <w:tcW w:w="1270" w:type="dxa"/>
            <w:vAlign w:val="center"/>
            <w:hideMark/>
          </w:tcPr>
          <w:p w14:paraId="6198E632"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Necessità di definizione di accordi gestione</w:t>
            </w:r>
          </w:p>
        </w:tc>
        <w:tc>
          <w:tcPr>
            <w:tcW w:w="1276" w:type="dxa"/>
            <w:vAlign w:val="center"/>
            <w:hideMark/>
          </w:tcPr>
          <w:p w14:paraId="41C3FF6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Canone di locazione/</w:t>
            </w:r>
            <w:r>
              <w:rPr>
                <w:rFonts w:ascii="Calibri" w:eastAsia="Times New Roman" w:hAnsi="Calibri" w:cs="Calibri"/>
                <w:color w:val="242424"/>
                <w:sz w:val="20"/>
                <w:szCs w:val="20"/>
              </w:rPr>
              <w:t xml:space="preserve"> </w:t>
            </w:r>
            <w:r w:rsidRPr="00482536">
              <w:rPr>
                <w:rFonts w:ascii="Calibri" w:eastAsia="Times New Roman" w:hAnsi="Calibri" w:cs="Calibri"/>
                <w:color w:val="242424"/>
                <w:sz w:val="20"/>
                <w:szCs w:val="20"/>
              </w:rPr>
              <w:t>Eventuali costi di investimento-gestione</w:t>
            </w:r>
          </w:p>
        </w:tc>
        <w:tc>
          <w:tcPr>
            <w:tcW w:w="2551" w:type="dxa"/>
            <w:vAlign w:val="center"/>
            <w:hideMark/>
          </w:tcPr>
          <w:p w14:paraId="1729FA32"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L'immobile è in concessione all'operatore di TPL, con gestione amministrativa convenzionata con il comune di Asti. Sono in corso valutazioni su possibili interventi infrastrutturali, per i quali bisognerà definire a chi sarà imputato il relativo costo.</w:t>
            </w:r>
          </w:p>
        </w:tc>
      </w:tr>
      <w:tr w:rsidR="00335312" w:rsidRPr="00482536" w14:paraId="4CA1E837" w14:textId="77777777" w:rsidTr="002A21C0">
        <w:trPr>
          <w:trHeight w:val="1685"/>
        </w:trPr>
        <w:tc>
          <w:tcPr>
            <w:tcW w:w="1304" w:type="dxa"/>
            <w:vAlign w:val="center"/>
            <w:hideMark/>
          </w:tcPr>
          <w:p w14:paraId="2792B65C"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t>MOVICENTRO DI NOVI LIGURE</w:t>
            </w:r>
          </w:p>
        </w:tc>
        <w:tc>
          <w:tcPr>
            <w:tcW w:w="1458" w:type="dxa"/>
            <w:vAlign w:val="center"/>
            <w:hideMark/>
          </w:tcPr>
          <w:p w14:paraId="426AAE9B"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 e urbane;</w:t>
            </w:r>
          </w:p>
          <w:p w14:paraId="11B93938"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09D4C2B5"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Bicicletta;</w:t>
            </w:r>
          </w:p>
          <w:p w14:paraId="423E576C"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p>
          <w:p w14:paraId="6CAC9084"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Pr>
                <w:rFonts w:ascii="Calibri" w:eastAsia="Times New Roman" w:hAnsi="Calibri" w:cs="Calibri"/>
                <w:color w:val="242424"/>
                <w:sz w:val="20"/>
                <w:szCs w:val="20"/>
              </w:rPr>
              <w:t>Parcheggio d’interscambio</w:t>
            </w:r>
          </w:p>
        </w:tc>
        <w:tc>
          <w:tcPr>
            <w:tcW w:w="1203" w:type="dxa"/>
            <w:vAlign w:val="center"/>
            <w:hideMark/>
          </w:tcPr>
          <w:p w14:paraId="33310054" w14:textId="77777777" w:rsidR="00335312" w:rsidRPr="00482536" w:rsidRDefault="00335312" w:rsidP="002A21C0">
            <w:pPr>
              <w:spacing w:after="0" w:line="240" w:lineRule="auto"/>
              <w:jc w:val="left"/>
              <w:rPr>
                <w:rFonts w:ascii="Calibri" w:eastAsia="Times New Roman" w:hAnsi="Calibri" w:cs="Calibri"/>
                <w:color w:val="000000"/>
                <w:sz w:val="20"/>
                <w:szCs w:val="20"/>
              </w:rPr>
            </w:pPr>
            <w:r w:rsidRPr="00482536">
              <w:rPr>
                <w:rFonts w:ascii="Calibri" w:eastAsia="Times New Roman" w:hAnsi="Calibri" w:cs="Calibri"/>
                <w:color w:val="000000"/>
                <w:sz w:val="20"/>
                <w:szCs w:val="20"/>
              </w:rPr>
              <w:t>Nodo di interscambio multimodale diretto</w:t>
            </w:r>
          </w:p>
        </w:tc>
        <w:tc>
          <w:tcPr>
            <w:tcW w:w="1270" w:type="dxa"/>
            <w:vAlign w:val="center"/>
            <w:hideMark/>
          </w:tcPr>
          <w:p w14:paraId="79E6716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 </w:t>
            </w:r>
          </w:p>
        </w:tc>
        <w:tc>
          <w:tcPr>
            <w:tcW w:w="1276" w:type="dxa"/>
            <w:vAlign w:val="center"/>
            <w:hideMark/>
          </w:tcPr>
          <w:p w14:paraId="189962EC"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 </w:t>
            </w:r>
          </w:p>
        </w:tc>
        <w:tc>
          <w:tcPr>
            <w:tcW w:w="2551" w:type="dxa"/>
            <w:vAlign w:val="center"/>
            <w:hideMark/>
          </w:tcPr>
          <w:p w14:paraId="4F74BDCB"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b/>
                <w:bCs/>
                <w:color w:val="242424"/>
                <w:sz w:val="20"/>
                <w:szCs w:val="20"/>
              </w:rPr>
              <w:t> </w:t>
            </w:r>
            <w:r w:rsidRPr="00C44197">
              <w:rPr>
                <w:rFonts w:ascii="Calibri" w:eastAsia="Times New Roman" w:hAnsi="Calibri" w:cs="Calibri"/>
                <w:color w:val="242424"/>
                <w:sz w:val="20"/>
                <w:szCs w:val="20"/>
              </w:rPr>
              <w:t xml:space="preserve">Il </w:t>
            </w:r>
            <w:r>
              <w:rPr>
                <w:rFonts w:ascii="Calibri" w:eastAsia="Times New Roman" w:hAnsi="Calibri" w:cs="Calibri"/>
                <w:color w:val="242424"/>
                <w:sz w:val="20"/>
                <w:szCs w:val="20"/>
              </w:rPr>
              <w:t>“M</w:t>
            </w:r>
            <w:r w:rsidRPr="00C44197">
              <w:rPr>
                <w:rFonts w:ascii="Calibri" w:eastAsia="Times New Roman" w:hAnsi="Calibri" w:cs="Calibri"/>
                <w:color w:val="242424"/>
                <w:sz w:val="20"/>
                <w:szCs w:val="20"/>
              </w:rPr>
              <w:t>ovicentro</w:t>
            </w:r>
            <w:r>
              <w:rPr>
                <w:rFonts w:ascii="Calibri" w:eastAsia="Times New Roman" w:hAnsi="Calibri" w:cs="Calibri"/>
                <w:color w:val="242424"/>
                <w:sz w:val="20"/>
                <w:szCs w:val="20"/>
              </w:rPr>
              <w:t>”</w:t>
            </w:r>
            <w:r w:rsidRPr="00C44197">
              <w:rPr>
                <w:rFonts w:ascii="Calibri" w:eastAsia="Times New Roman" w:hAnsi="Calibri" w:cs="Calibri"/>
                <w:color w:val="242424"/>
                <w:sz w:val="20"/>
                <w:szCs w:val="20"/>
              </w:rPr>
              <w:t xml:space="preserve"> è caratterizzato </w:t>
            </w:r>
            <w:r>
              <w:rPr>
                <w:rFonts w:ascii="Calibri" w:eastAsia="Times New Roman" w:hAnsi="Calibri" w:cs="Calibri"/>
                <w:color w:val="242424"/>
                <w:sz w:val="20"/>
                <w:szCs w:val="20"/>
              </w:rPr>
              <w:t>da un parcheggio auto d’interscambio interrato, e un sistema di fermate TPL antistante la stazione ferroviaria. Non vi è un edificio destinato ai servizi su gomma.</w:t>
            </w:r>
          </w:p>
        </w:tc>
      </w:tr>
      <w:tr w:rsidR="00335312" w:rsidRPr="00482536" w14:paraId="36150CE9" w14:textId="77777777" w:rsidTr="002A21C0">
        <w:trPr>
          <w:trHeight w:val="2822"/>
        </w:trPr>
        <w:tc>
          <w:tcPr>
            <w:tcW w:w="1304" w:type="dxa"/>
            <w:vAlign w:val="center"/>
            <w:hideMark/>
          </w:tcPr>
          <w:p w14:paraId="7A566D27" w14:textId="77777777" w:rsidR="00335312" w:rsidRPr="00482536" w:rsidRDefault="00335312" w:rsidP="002A21C0">
            <w:pPr>
              <w:spacing w:after="0" w:line="240" w:lineRule="auto"/>
              <w:jc w:val="left"/>
              <w:rPr>
                <w:rFonts w:ascii="Calibri" w:eastAsia="Times New Roman" w:hAnsi="Calibri" w:cs="Calibri"/>
                <w:b/>
                <w:bCs/>
                <w:color w:val="242424"/>
                <w:sz w:val="20"/>
                <w:szCs w:val="20"/>
              </w:rPr>
            </w:pPr>
            <w:r w:rsidRPr="00482536">
              <w:rPr>
                <w:rFonts w:ascii="Calibri" w:eastAsia="Times New Roman" w:hAnsi="Calibri" w:cs="Calibri"/>
                <w:b/>
                <w:bCs/>
                <w:color w:val="242424"/>
                <w:sz w:val="20"/>
                <w:szCs w:val="20"/>
              </w:rPr>
              <w:lastRenderedPageBreak/>
              <w:t>MOVICENTRO DI TORTONA</w:t>
            </w:r>
          </w:p>
        </w:tc>
        <w:tc>
          <w:tcPr>
            <w:tcW w:w="1458" w:type="dxa"/>
            <w:vAlign w:val="center"/>
            <w:hideMark/>
          </w:tcPr>
          <w:p w14:paraId="60A675F0"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Autolinee extraurbane e urbane;</w:t>
            </w:r>
          </w:p>
          <w:p w14:paraId="6D07734B" w14:textId="77777777" w:rsidR="00335312" w:rsidRPr="000A2922" w:rsidRDefault="00335312" w:rsidP="002A21C0">
            <w:pPr>
              <w:shd w:val="clear" w:color="auto" w:fill="FAFAFA"/>
              <w:spacing w:after="0" w:line="240" w:lineRule="auto"/>
              <w:jc w:val="left"/>
              <w:rPr>
                <w:rFonts w:cstheme="minorHAnsi"/>
                <w:sz w:val="20"/>
                <w:szCs w:val="20"/>
                <w:shd w:val="clear" w:color="auto" w:fill="FAFAFA"/>
              </w:rPr>
            </w:pPr>
            <w:r w:rsidRPr="008475F9">
              <w:rPr>
                <w:rFonts w:cstheme="minorHAnsi"/>
                <w:sz w:val="20"/>
                <w:szCs w:val="20"/>
                <w:shd w:val="clear" w:color="auto" w:fill="FAFAFA"/>
              </w:rPr>
              <w:t>Autolinee lunga percorrenza;</w:t>
            </w:r>
          </w:p>
          <w:p w14:paraId="51DEEECB"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Servizi ferroviari;</w:t>
            </w:r>
          </w:p>
          <w:p w14:paraId="707BC6F9"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Bicicletta;</w:t>
            </w:r>
          </w:p>
          <w:p w14:paraId="578D2781" w14:textId="77777777" w:rsidR="00335312"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Taxi</w:t>
            </w:r>
            <w:r>
              <w:rPr>
                <w:rFonts w:ascii="Calibri" w:eastAsia="Times New Roman" w:hAnsi="Calibri" w:cs="Calibri"/>
                <w:color w:val="242424"/>
                <w:sz w:val="20"/>
                <w:szCs w:val="20"/>
              </w:rPr>
              <w:t>;</w:t>
            </w:r>
          </w:p>
          <w:p w14:paraId="5D31732D"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Pr>
                <w:rFonts w:ascii="Calibri" w:eastAsia="Times New Roman" w:hAnsi="Calibri" w:cs="Calibri"/>
                <w:color w:val="242424"/>
                <w:sz w:val="20"/>
                <w:szCs w:val="20"/>
              </w:rPr>
              <w:t>Parcheggio d’interscambio.</w:t>
            </w:r>
          </w:p>
        </w:tc>
        <w:tc>
          <w:tcPr>
            <w:tcW w:w="1203" w:type="dxa"/>
            <w:vAlign w:val="center"/>
            <w:hideMark/>
          </w:tcPr>
          <w:p w14:paraId="4D1C741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Nodo di interscambio multimodale diretto</w:t>
            </w:r>
          </w:p>
        </w:tc>
        <w:tc>
          <w:tcPr>
            <w:tcW w:w="1270" w:type="dxa"/>
            <w:vAlign w:val="center"/>
            <w:hideMark/>
          </w:tcPr>
          <w:p w14:paraId="579E8207"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Necessità di definizione di accordi gestione</w:t>
            </w:r>
          </w:p>
        </w:tc>
        <w:tc>
          <w:tcPr>
            <w:tcW w:w="1276" w:type="dxa"/>
            <w:vAlign w:val="center"/>
            <w:hideMark/>
          </w:tcPr>
          <w:p w14:paraId="76EF210E"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Costi di gestione</w:t>
            </w:r>
          </w:p>
        </w:tc>
        <w:tc>
          <w:tcPr>
            <w:tcW w:w="2551" w:type="dxa"/>
            <w:vAlign w:val="center"/>
            <w:hideMark/>
          </w:tcPr>
          <w:p w14:paraId="4ED4001C" w14:textId="77777777" w:rsidR="00335312" w:rsidRPr="00482536" w:rsidRDefault="00335312" w:rsidP="002A21C0">
            <w:pPr>
              <w:spacing w:after="0" w:line="240" w:lineRule="auto"/>
              <w:jc w:val="left"/>
              <w:rPr>
                <w:rFonts w:ascii="Calibri" w:eastAsia="Times New Roman" w:hAnsi="Calibri" w:cs="Calibri"/>
                <w:color w:val="242424"/>
                <w:sz w:val="20"/>
                <w:szCs w:val="20"/>
              </w:rPr>
            </w:pPr>
            <w:r w:rsidRPr="00482536">
              <w:rPr>
                <w:rFonts w:ascii="Calibri" w:eastAsia="Times New Roman" w:hAnsi="Calibri" w:cs="Calibri"/>
                <w:color w:val="242424"/>
                <w:sz w:val="20"/>
                <w:szCs w:val="20"/>
              </w:rPr>
              <w:t>L'immobile denominato "Movicentro" sorge su area di proprietà RFI con diritto di superficie in capo al comune.</w:t>
            </w:r>
            <w:r>
              <w:rPr>
                <w:rFonts w:ascii="Calibri" w:eastAsia="Times New Roman" w:hAnsi="Calibri" w:cs="Calibri"/>
                <w:color w:val="242424"/>
                <w:sz w:val="20"/>
                <w:szCs w:val="20"/>
              </w:rPr>
              <w:t xml:space="preserve"> È </w:t>
            </w:r>
            <w:r w:rsidRPr="00482536">
              <w:rPr>
                <w:rFonts w:ascii="Calibri" w:eastAsia="Times New Roman" w:hAnsi="Calibri" w:cs="Calibri"/>
                <w:color w:val="242424"/>
                <w:sz w:val="20"/>
                <w:szCs w:val="20"/>
              </w:rPr>
              <w:t xml:space="preserve">stato concesso in uso all'operatore di TPL che ha in carico i costi di gestione. </w:t>
            </w:r>
            <w:r>
              <w:rPr>
                <w:rFonts w:ascii="Calibri" w:eastAsia="Times New Roman" w:hAnsi="Calibri" w:cs="Calibri"/>
                <w:color w:val="242424"/>
                <w:sz w:val="20"/>
                <w:szCs w:val="20"/>
              </w:rPr>
              <w:t>È</w:t>
            </w:r>
            <w:r w:rsidRPr="00482536">
              <w:rPr>
                <w:rFonts w:ascii="Calibri" w:eastAsia="Times New Roman" w:hAnsi="Calibri" w:cs="Calibri"/>
                <w:color w:val="242424"/>
                <w:sz w:val="20"/>
                <w:szCs w:val="20"/>
              </w:rPr>
              <w:t xml:space="preserve"> in fase di valutazione una proposta di interventi atti alla riqualificazione del Movicentro</w:t>
            </w:r>
          </w:p>
        </w:tc>
      </w:tr>
    </w:tbl>
    <w:p w14:paraId="609D1F35" w14:textId="5CE1BD0F" w:rsidR="00335312" w:rsidRDefault="00335312" w:rsidP="00335312">
      <w:pPr>
        <w:pStyle w:val="Didascalia"/>
        <w:jc w:val="center"/>
        <w:rPr>
          <w:i w:val="0"/>
        </w:rPr>
      </w:pPr>
      <w:r>
        <w:t xml:space="preserve">Tabella </w:t>
      </w:r>
      <w:r>
        <w:fldChar w:fldCharType="begin"/>
      </w:r>
      <w:r>
        <w:instrText xml:space="preserve"> SEQ Tabella \* ARABIC </w:instrText>
      </w:r>
      <w:r>
        <w:fldChar w:fldCharType="separate"/>
      </w:r>
      <w:r w:rsidR="00670903">
        <w:rPr>
          <w:noProof/>
        </w:rPr>
        <w:t>35</w:t>
      </w:r>
      <w:r>
        <w:rPr>
          <w:noProof/>
        </w:rPr>
        <w:fldChar w:fldCharType="end"/>
      </w:r>
      <w:r>
        <w:rPr>
          <w:i w:val="0"/>
        </w:rPr>
        <w:t xml:space="preserve"> – </w:t>
      </w:r>
      <w:r w:rsidRPr="00446884">
        <w:rPr>
          <w:iCs w:val="0"/>
        </w:rPr>
        <w:t>Quadro di sintesi delle caratteristiche dei nodi d’interscambio di I livello</w:t>
      </w:r>
    </w:p>
    <w:p w14:paraId="08059218" w14:textId="77777777" w:rsidR="00335312" w:rsidRDefault="00335312" w:rsidP="00335312">
      <w:pPr>
        <w:spacing w:before="120" w:after="0" w:line="240" w:lineRule="auto"/>
      </w:pPr>
      <w:bookmarkStart w:id="222" w:name="_Toc193195713"/>
      <w:bookmarkStart w:id="223" w:name="_Toc214278525"/>
      <w:bookmarkStart w:id="224" w:name="_Ref197352178"/>
      <w:bookmarkStart w:id="225" w:name="_Toc197695689"/>
      <w:bookmarkStart w:id="226" w:name="_Toc204616499"/>
      <w:r w:rsidRPr="00790DDF">
        <w:t>A valle della definizione del Piano integrato della mobilità pubblica e dell'accessibilità del Bacino Sud Est potrebbero essere evidenziati altri nodi rilevanti di primo livello. In particolare per il nodo di Alessandria è attivo un tavolo di lavoro con RFI e Regione Piemonte per definire le funzioni del nodo e la loro distribuzione spaziale.</w:t>
      </w:r>
    </w:p>
    <w:p w14:paraId="58C26A93" w14:textId="77777777" w:rsidR="00335312" w:rsidRDefault="00335312" w:rsidP="00335312">
      <w:pPr>
        <w:pStyle w:val="Titolo2"/>
        <w:ind w:left="567"/>
      </w:pPr>
      <w:bookmarkStart w:id="227" w:name="_Toc204328730"/>
      <w:bookmarkStart w:id="228" w:name="_Toc205213730"/>
      <w:bookmarkEnd w:id="222"/>
      <w:bookmarkEnd w:id="223"/>
      <w:bookmarkEnd w:id="224"/>
      <w:bookmarkEnd w:id="225"/>
      <w:bookmarkEnd w:id="226"/>
      <w:r>
        <w:t>Offerta di trasporto - Sviluppi</w:t>
      </w:r>
      <w:bookmarkEnd w:id="227"/>
      <w:bookmarkEnd w:id="228"/>
    </w:p>
    <w:p w14:paraId="357F6AA9" w14:textId="77777777" w:rsidR="00335312" w:rsidRPr="00DE098B" w:rsidRDefault="00335312" w:rsidP="00335312">
      <w:pPr>
        <w:spacing w:before="120" w:after="0" w:line="240" w:lineRule="auto"/>
        <w:rPr>
          <w:rFonts w:eastAsiaTheme="minorEastAsia"/>
          <w:color w:val="242424"/>
          <w:shd w:val="clear" w:color="auto" w:fill="FAFAFA"/>
        </w:rPr>
      </w:pPr>
      <w:r w:rsidRPr="00DE098B">
        <w:rPr>
          <w:rFonts w:eastAsiaTheme="minorEastAsia"/>
          <w:color w:val="242424"/>
          <w:shd w:val="clear" w:color="auto" w:fill="FAFAFA"/>
        </w:rPr>
        <w:t>L</w:t>
      </w:r>
      <w:r>
        <w:rPr>
          <w:rFonts w:eastAsiaTheme="minorEastAsia"/>
          <w:color w:val="242424"/>
          <w:shd w:val="clear" w:color="auto" w:fill="FAFAFA"/>
        </w:rPr>
        <w:t>o</w:t>
      </w:r>
      <w:r w:rsidRPr="00DE098B">
        <w:rPr>
          <w:rFonts w:eastAsiaTheme="minorEastAsia"/>
          <w:color w:val="242424"/>
          <w:shd w:val="clear" w:color="auto" w:fill="FAFAFA"/>
        </w:rPr>
        <w:t xml:space="preserve"> sviluppo nella programmazione dei servizi di TPL sarà affrontata seguendo gli indirizzi che saranno forniti dagli Enti Territoriali nel Piano Integrato della Mobilità Pubblica ed Accessibilità di Bacino. Tale strumento di programmazione è sviluppato dai singoli Bacini su impulso di AMP</w:t>
      </w:r>
      <w:r w:rsidRPr="00DE098B">
        <w:rPr>
          <w:rStyle w:val="Rimandonotaapidipagina"/>
          <w:rFonts w:eastAsiaTheme="minorEastAsia"/>
          <w:color w:val="242424"/>
          <w:shd w:val="clear" w:color="auto" w:fill="FAFAFA"/>
        </w:rPr>
        <w:footnoteReference w:id="29"/>
      </w:r>
      <w:r w:rsidRPr="00DE098B">
        <w:rPr>
          <w:rFonts w:eastAsiaTheme="minorEastAsia"/>
          <w:color w:val="242424"/>
          <w:shd w:val="clear" w:color="auto" w:fill="FAFAFA"/>
        </w:rPr>
        <w:t>.</w:t>
      </w:r>
    </w:p>
    <w:p w14:paraId="742BA664" w14:textId="77777777" w:rsidR="00335312" w:rsidRPr="00DE098B" w:rsidRDefault="00335312" w:rsidP="00335312">
      <w:pPr>
        <w:spacing w:before="120" w:after="0" w:line="240" w:lineRule="auto"/>
        <w:rPr>
          <w:rFonts w:eastAsiaTheme="minorEastAsia"/>
          <w:color w:val="242424"/>
          <w:shd w:val="clear" w:color="auto" w:fill="FAFAFA"/>
        </w:rPr>
      </w:pPr>
      <w:r w:rsidRPr="00DE098B">
        <w:rPr>
          <w:rFonts w:eastAsiaTheme="minorEastAsia"/>
          <w:color w:val="242424"/>
          <w:shd w:val="clear" w:color="auto" w:fill="FAFAFA"/>
        </w:rPr>
        <w:t>In sede di gara le aziende dovranno anche sviluppare proposte progettuali che rispondano adeguatamente alla domanda di trasporto che origina nel Bacino Sud e che ha destinazione verso i principali poli extra bacino</w:t>
      </w:r>
      <w:r>
        <w:rPr>
          <w:rFonts w:eastAsiaTheme="minorEastAsia"/>
          <w:color w:val="242424"/>
          <w:shd w:val="clear" w:color="auto" w:fill="FAFAFA"/>
        </w:rPr>
        <w:t xml:space="preserve"> come ad esempio Vercelli e Chivasso sulla direttrice Torino - Milano</w:t>
      </w:r>
      <w:r w:rsidRPr="00DE098B">
        <w:rPr>
          <w:rFonts w:eastAsiaTheme="minorEastAsia"/>
          <w:color w:val="242424"/>
          <w:shd w:val="clear" w:color="auto" w:fill="FAFAFA"/>
        </w:rPr>
        <w:t>. La programmazione dei servizi deve quindi eccedere i confini amministrativi del bacino, con particolare riguardo a queste destinazioni rilevanti.</w:t>
      </w:r>
    </w:p>
    <w:p w14:paraId="499B31BB" w14:textId="77777777" w:rsidR="00335312" w:rsidRPr="00592C38" w:rsidRDefault="00335312" w:rsidP="00335312">
      <w:pPr>
        <w:spacing w:before="120" w:after="0" w:line="240" w:lineRule="auto"/>
        <w:rPr>
          <w:rFonts w:eastAsiaTheme="minorEastAsia"/>
          <w:color w:val="242424"/>
          <w:shd w:val="clear" w:color="auto" w:fill="FAFAFA"/>
        </w:rPr>
      </w:pPr>
      <w:r w:rsidRPr="00DE098B">
        <w:rPr>
          <w:rFonts w:eastAsiaTheme="minorEastAsia"/>
          <w:color w:val="242424"/>
          <w:shd w:val="clear" w:color="auto" w:fill="FAFAFA"/>
        </w:rPr>
        <w:t>La penetrazione all’interno di altro ambito di gara sarà coordinata dall'Agenzia della Mobilità Piemontese (AMP) nell'ambito dei processi di integrazione dei servizi fra gli operatori presenti in ciascun territorio. Questo significa che AMP avrà un ruolo centrale nel garantire che i servizi di</w:t>
      </w:r>
      <w:r w:rsidRPr="0A3010E0">
        <w:rPr>
          <w:rFonts w:eastAsiaTheme="minorEastAsia"/>
          <w:color w:val="242424"/>
          <w:shd w:val="clear" w:color="auto" w:fill="FAFAFA"/>
        </w:rPr>
        <w:t xml:space="preserve"> trasporto pubblico siano integrati e coordinati tra i diversi operatori, facilitando la mobilità interregionale e migliorando l'efficienza complessiva del sistema di trasporto.</w:t>
      </w:r>
    </w:p>
    <w:p w14:paraId="61CF9FE2" w14:textId="77777777" w:rsidR="00335312" w:rsidRPr="00770D1D" w:rsidRDefault="00335312" w:rsidP="00335312">
      <w:pPr>
        <w:spacing w:before="120" w:after="0" w:line="240" w:lineRule="auto"/>
        <w:rPr>
          <w:rFonts w:eastAsiaTheme="minorEastAsia"/>
          <w:color w:val="242424"/>
        </w:rPr>
      </w:pPr>
      <w:r w:rsidRPr="0A3010E0">
        <w:rPr>
          <w:rFonts w:eastAsiaTheme="minorEastAsia"/>
        </w:rPr>
        <w:t>La valutazione delle proposte di programmazione s</w:t>
      </w:r>
      <w:r>
        <w:rPr>
          <w:rFonts w:eastAsiaTheme="minorEastAsia"/>
        </w:rPr>
        <w:t>arà</w:t>
      </w:r>
      <w:r w:rsidRPr="0A3010E0">
        <w:rPr>
          <w:rFonts w:eastAsiaTheme="minorEastAsia"/>
        </w:rPr>
        <w:t xml:space="preserve"> supportat</w:t>
      </w:r>
      <w:r>
        <w:rPr>
          <w:rFonts w:eastAsiaTheme="minorEastAsia"/>
        </w:rPr>
        <w:t>a</w:t>
      </w:r>
      <w:r w:rsidRPr="0A3010E0">
        <w:rPr>
          <w:rFonts w:eastAsiaTheme="minorEastAsia"/>
        </w:rPr>
        <w:t xml:space="preserve"> con gli strumenti di analisi in possesso dell’Agenzia quali Visum</w:t>
      </w:r>
      <w:r w:rsidRPr="0A3010E0">
        <w:rPr>
          <w:rStyle w:val="Rimandonotaapidipagina"/>
          <w:rFonts w:eastAsiaTheme="minorEastAsia"/>
        </w:rPr>
        <w:footnoteReference w:id="30"/>
      </w:r>
      <w:r w:rsidRPr="0A3010E0">
        <w:rPr>
          <w:rFonts w:eastAsiaTheme="minorEastAsia"/>
        </w:rPr>
        <w:t xml:space="preserve"> e Remix</w:t>
      </w:r>
      <w:r w:rsidRPr="0A3010E0">
        <w:rPr>
          <w:rStyle w:val="Rimandonotaapidipagina"/>
          <w:rFonts w:eastAsiaTheme="minorEastAsia"/>
        </w:rPr>
        <w:footnoteReference w:id="31"/>
      </w:r>
      <w:r w:rsidRPr="0A3010E0">
        <w:rPr>
          <w:rFonts w:eastAsiaTheme="minorEastAsia"/>
        </w:rPr>
        <w:t xml:space="preserve">. </w:t>
      </w:r>
      <w:r w:rsidRPr="0A3010E0">
        <w:rPr>
          <w:rFonts w:eastAsiaTheme="minorEastAsia"/>
          <w:color w:val="242424"/>
          <w:shd w:val="clear" w:color="auto" w:fill="FAFAFA"/>
        </w:rPr>
        <w:t xml:space="preserve">Questi strumenti di analisi permetteranno di valutare l'efficacia delle proposte progettuali, garantendo che i servizi di trasporto pubblico siano adeguati alle esigenze della popolazione e che siano in grado di migliorare la mobilità nel Bacino Sud </w:t>
      </w:r>
      <w:r>
        <w:rPr>
          <w:rFonts w:eastAsiaTheme="minorEastAsia"/>
          <w:color w:val="242424"/>
          <w:shd w:val="clear" w:color="auto" w:fill="FAFAFA"/>
        </w:rPr>
        <w:t xml:space="preserve">Est </w:t>
      </w:r>
      <w:r w:rsidRPr="0A3010E0">
        <w:rPr>
          <w:rFonts w:eastAsiaTheme="minorEastAsia"/>
          <w:color w:val="242424"/>
          <w:shd w:val="clear" w:color="auto" w:fill="FAFAFA"/>
        </w:rPr>
        <w:t>e nelle aree limitrofe.</w:t>
      </w:r>
    </w:p>
    <w:p w14:paraId="75358FD8" w14:textId="77777777" w:rsidR="00335312" w:rsidRPr="00C128A7" w:rsidRDefault="00335312" w:rsidP="00335312">
      <w:pPr>
        <w:spacing w:before="120" w:after="0" w:line="240" w:lineRule="auto"/>
        <w:rPr>
          <w:rFonts w:eastAsiaTheme="minorEastAsia"/>
        </w:rPr>
      </w:pPr>
      <w:r w:rsidRPr="00C128A7">
        <w:rPr>
          <w:rFonts w:eastAsiaTheme="minorEastAsia"/>
        </w:rPr>
        <w:lastRenderedPageBreak/>
        <w:t>Nella relazione di affidamento sarà descritta nel dettaglio la procedura di gara e i criteri di valutazione, inclusa la modalità di presentazione delle offerte, e saranno specificati i contenuti tecnici che ogni offerta dovrà includere, garantendo la trasparenza dei dati e la ripercorribilità di modelli e metodi per il raggiungimento dei risultati proposti.  Si può qui sintetizzare la progettualità che sarà richiesta all’interno della procedura di gara:</w:t>
      </w:r>
    </w:p>
    <w:p w14:paraId="22DC3D25" w14:textId="77777777" w:rsidR="00335312" w:rsidRPr="00C128A7" w:rsidRDefault="00335312" w:rsidP="00335312">
      <w:pPr>
        <w:pStyle w:val="Paragrafoelenco"/>
        <w:numPr>
          <w:ilvl w:val="0"/>
          <w:numId w:val="35"/>
        </w:numPr>
        <w:spacing w:before="120" w:after="0" w:line="240" w:lineRule="auto"/>
        <w:rPr>
          <w:rFonts w:eastAsiaTheme="minorEastAsia"/>
        </w:rPr>
      </w:pPr>
      <w:r w:rsidRPr="00C128A7">
        <w:rPr>
          <w:rFonts w:eastAsiaTheme="minorEastAsia"/>
        </w:rPr>
        <w:t>Scenario Attuale – una proposta progettuale che attraverso modifiche organizzative e limitate variazioni sulla programmazione oraria fornisca la massima efficienza organizzativa dell’attuale servizio di trasporto</w:t>
      </w:r>
    </w:p>
    <w:p w14:paraId="762268AA" w14:textId="77777777" w:rsidR="00335312" w:rsidRPr="00C128A7" w:rsidRDefault="00335312" w:rsidP="00335312">
      <w:pPr>
        <w:pStyle w:val="Paragrafoelenco"/>
        <w:numPr>
          <w:ilvl w:val="0"/>
          <w:numId w:val="35"/>
        </w:numPr>
        <w:spacing w:before="120" w:after="0" w:line="240" w:lineRule="auto"/>
        <w:rPr>
          <w:rFonts w:eastAsiaTheme="minorEastAsia"/>
        </w:rPr>
      </w:pPr>
      <w:r w:rsidRPr="00C128A7">
        <w:rPr>
          <w:rFonts w:eastAsiaTheme="minorEastAsia"/>
        </w:rPr>
        <w:t>Scenario Base – una proposta progettuale che attraverso una revisione della programmazione del servizio, a parità di risorse messe a base di gara fornisca un servizio efficiente ed efficace, rispondente maggiormente alle esigenze di mobilità.</w:t>
      </w:r>
    </w:p>
    <w:p w14:paraId="211632C0" w14:textId="77777777" w:rsidR="00335312" w:rsidRPr="00C128A7" w:rsidRDefault="00335312" w:rsidP="00335312">
      <w:pPr>
        <w:pStyle w:val="Paragrafoelenco"/>
        <w:numPr>
          <w:ilvl w:val="0"/>
          <w:numId w:val="35"/>
        </w:numPr>
        <w:spacing w:before="120" w:after="0" w:line="240" w:lineRule="auto"/>
        <w:rPr>
          <w:rFonts w:eastAsiaTheme="minorEastAsia"/>
        </w:rPr>
      </w:pPr>
      <w:r w:rsidRPr="00C128A7">
        <w:rPr>
          <w:rFonts w:eastAsiaTheme="minorEastAsia"/>
        </w:rPr>
        <w:t>Scenario Evolutivo – una proposta progettuale che indipendentemente dalle risorse necessarie proponga un’evoluzione del servizio anche con la previsione d’investimenti, identificando specifici piani economico-finanziari per ciascuna proposta.</w:t>
      </w:r>
    </w:p>
    <w:p w14:paraId="6BA5C64A" w14:textId="77777777" w:rsidR="00335312" w:rsidRPr="00C128A7" w:rsidRDefault="00335312" w:rsidP="00335312">
      <w:pPr>
        <w:spacing w:before="120" w:after="0" w:line="240" w:lineRule="auto"/>
        <w:rPr>
          <w:rFonts w:eastAsiaTheme="minorEastAsia"/>
        </w:rPr>
      </w:pPr>
      <w:r w:rsidRPr="00C128A7">
        <w:rPr>
          <w:rFonts w:eastAsiaTheme="minorEastAsia"/>
        </w:rPr>
        <w:t>Sia nello scenario Base sia nello scenario Evolutivo la progettualità dell’impresa dovrà migliorare la cooperazione con i servizi ferroviari presenti sul territorio attraverso:</w:t>
      </w:r>
    </w:p>
    <w:p w14:paraId="51B4FD38" w14:textId="77777777" w:rsidR="00335312" w:rsidRPr="00C128A7" w:rsidRDefault="00335312" w:rsidP="00335312">
      <w:pPr>
        <w:pStyle w:val="Paragrafoelenco"/>
        <w:numPr>
          <w:ilvl w:val="0"/>
          <w:numId w:val="37"/>
        </w:numPr>
        <w:spacing w:before="120" w:after="0" w:line="240" w:lineRule="auto"/>
        <w:rPr>
          <w:rFonts w:eastAsiaTheme="minorEastAsia"/>
        </w:rPr>
      </w:pPr>
      <w:r w:rsidRPr="00C128A7">
        <w:rPr>
          <w:rFonts w:eastAsiaTheme="minorEastAsia"/>
        </w:rPr>
        <w:t xml:space="preserve">La strutturazione delle coincidenze nelle stazioni ferroviarie, con una particolare attenzione nei principali nodi, come ad esempio, le stazioni di </w:t>
      </w:r>
      <w:r>
        <w:rPr>
          <w:rFonts w:eastAsiaTheme="minorEastAsia"/>
        </w:rPr>
        <w:t>Asti, Alessandria, Casale Monferrato, Novi Ligure, Tortona</w:t>
      </w:r>
      <w:r w:rsidRPr="00C128A7">
        <w:rPr>
          <w:rFonts w:eastAsiaTheme="minorEastAsia"/>
        </w:rPr>
        <w:t>).</w:t>
      </w:r>
    </w:p>
    <w:p w14:paraId="27631C65" w14:textId="77777777" w:rsidR="00335312" w:rsidRPr="00C128A7" w:rsidRDefault="00335312" w:rsidP="00335312">
      <w:pPr>
        <w:pStyle w:val="Paragrafoelenco"/>
        <w:numPr>
          <w:ilvl w:val="0"/>
          <w:numId w:val="37"/>
        </w:numPr>
        <w:spacing w:before="120" w:after="0" w:line="240" w:lineRule="auto"/>
        <w:rPr>
          <w:rFonts w:eastAsiaTheme="minorEastAsia"/>
        </w:rPr>
      </w:pPr>
      <w:r w:rsidRPr="00C128A7">
        <w:rPr>
          <w:rFonts w:eastAsiaTheme="minorEastAsia"/>
        </w:rPr>
        <w:t>L‘integrazione degli orari nelle relazioni comuni con le linee ferroviarie, in cui il servizio bus deve integrare e completare il servizio ferroviario</w:t>
      </w:r>
      <w:r w:rsidRPr="00C128A7">
        <w:rPr>
          <w:rStyle w:val="Rimandonotaapidipagina"/>
          <w:rFonts w:eastAsiaTheme="minorEastAsia"/>
        </w:rPr>
        <w:footnoteReference w:id="32"/>
      </w:r>
      <w:r w:rsidRPr="00C128A7">
        <w:rPr>
          <w:rFonts w:eastAsiaTheme="minorEastAsia"/>
        </w:rPr>
        <w:t>,</w:t>
      </w:r>
    </w:p>
    <w:p w14:paraId="20451A5F" w14:textId="77777777" w:rsidR="00335312" w:rsidRPr="00C128A7" w:rsidRDefault="00335312" w:rsidP="00335312">
      <w:pPr>
        <w:spacing w:before="120" w:after="0" w:line="240" w:lineRule="auto"/>
      </w:pPr>
      <w:r w:rsidRPr="00C128A7">
        <w:rPr>
          <w:rFonts w:eastAsiaTheme="minorEastAsia"/>
        </w:rPr>
        <w:t>Sia nello scenario Base sia nello scenario Evolutivo le imprese dovranno sviluppare specifiche proposte di servizi per le aree a domanda debole che</w:t>
      </w:r>
      <w:r w:rsidRPr="00C128A7">
        <w:t xml:space="preserve"> potranno riguardare sia servizi convenzionali, ovvero servizi diversamente organizzati e gestiti, sia servizi non convenzionali come i servizi a conferma e/o a chiamata.</w:t>
      </w:r>
    </w:p>
    <w:p w14:paraId="16117386" w14:textId="77777777" w:rsidR="00335312" w:rsidRPr="00C128A7" w:rsidRDefault="00335312" w:rsidP="00335312">
      <w:pPr>
        <w:pStyle w:val="Titolo2"/>
        <w:ind w:left="567"/>
      </w:pPr>
      <w:bookmarkStart w:id="229" w:name="_Toc193195714"/>
      <w:bookmarkStart w:id="230" w:name="_Toc2053117150"/>
      <w:bookmarkStart w:id="231" w:name="_Toc197695690"/>
      <w:bookmarkStart w:id="232" w:name="_Toc204328731"/>
      <w:bookmarkStart w:id="233" w:name="_Toc205213731"/>
      <w:r w:rsidRPr="00C128A7">
        <w:t>Interazione domanda offerta</w:t>
      </w:r>
      <w:bookmarkEnd w:id="229"/>
      <w:bookmarkEnd w:id="230"/>
      <w:bookmarkEnd w:id="231"/>
      <w:bookmarkEnd w:id="232"/>
      <w:bookmarkEnd w:id="233"/>
    </w:p>
    <w:p w14:paraId="36899A52" w14:textId="77777777" w:rsidR="00335312" w:rsidRDefault="00335312" w:rsidP="00335312">
      <w:pPr>
        <w:spacing w:before="120" w:after="0" w:line="240" w:lineRule="auto"/>
      </w:pPr>
      <w:r>
        <w:t>Migliorare l'interazione tra domanda e offerta nei servizi di trasporto pubblico locale (TPL) è l’obiettivo fondamentale nella pianificazione e gestione dei sistemi di mobilità.</w:t>
      </w:r>
    </w:p>
    <w:p w14:paraId="57F20FEF" w14:textId="77777777" w:rsidR="00335312" w:rsidRDefault="00335312" w:rsidP="00335312">
      <w:pPr>
        <w:spacing w:before="120" w:after="0" w:line="240" w:lineRule="auto"/>
      </w:pPr>
      <w:r>
        <w:t>La procedura di gara di AMP intende promuovere una evoluzione del concetto tradizionale e traguardare verso il tempestivo adeguamento continuo tra le mutevoli esigenze di mobilità della popolazione e l'offerta di servizi di trasporto disponibili.</w:t>
      </w:r>
    </w:p>
    <w:p w14:paraId="7C5A1CFC" w14:textId="77777777" w:rsidR="00335312" w:rsidRDefault="00335312" w:rsidP="00335312">
      <w:pPr>
        <w:spacing w:before="120" w:after="0" w:line="240" w:lineRule="auto"/>
      </w:pPr>
      <w:r>
        <w:t xml:space="preserve">Per comprendere la situazione attuale del Bacino Sud Est, è opportuno analizzare le tabelle riepilogative dei dati dell'Osservatorio Nazionale per le Politiche del Trasporto Pubblico Locale (ONTPL). Queste tabelle forniscono una panoramica dell’andamento dei Contratti di Servizio automobilistici nel Bacino Sud Est. Sulla base delle informazioni desunte da queste tabelle, è possibile </w:t>
      </w:r>
      <w:r>
        <w:lastRenderedPageBreak/>
        <w:t>elaborare alcuni indicatori di sintesi che aiutano a valutare l'efficacia dell'interazione tra domanda e offerta.</w:t>
      </w:r>
      <w:r w:rsidRPr="006C4977">
        <w:rPr>
          <w:noProof/>
          <w:color w:val="0070C0"/>
        </w:rPr>
        <w:t xml:space="preserve"> </w:t>
      </w:r>
    </w:p>
    <w:p w14:paraId="2816F598" w14:textId="77777777" w:rsidR="00335312" w:rsidRPr="00E06205" w:rsidRDefault="00335312" w:rsidP="00335312">
      <w:pPr>
        <w:spacing w:before="120" w:after="0" w:line="240" w:lineRule="auto"/>
        <w:rPr>
          <w:rFonts w:ascii="Courier" w:hAnsi="Courier"/>
        </w:rPr>
      </w:pPr>
      <w:r w:rsidRPr="00E06205">
        <w:rPr>
          <w:rFonts w:ascii="Courier" w:hAnsi="Courier"/>
          <w:noProof/>
        </w:rPr>
        <w:drawing>
          <wp:inline distT="0" distB="0" distL="0" distR="0" wp14:anchorId="77022FAF" wp14:editId="29EC333A">
            <wp:extent cx="5759450" cy="2832735"/>
            <wp:effectExtent l="0" t="0" r="0" b="5715"/>
            <wp:docPr id="3487317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59450" cy="2832735"/>
                    </a:xfrm>
                    <a:prstGeom prst="rect">
                      <a:avLst/>
                    </a:prstGeom>
                    <a:noFill/>
                    <a:ln>
                      <a:noFill/>
                    </a:ln>
                  </pic:spPr>
                </pic:pic>
              </a:graphicData>
            </a:graphic>
          </wp:inline>
        </w:drawing>
      </w:r>
    </w:p>
    <w:p w14:paraId="13D8A06A" w14:textId="77777777" w:rsidR="00335312" w:rsidRPr="00E06205" w:rsidRDefault="00335312" w:rsidP="00335312">
      <w:pPr>
        <w:spacing w:before="120" w:after="0" w:line="240" w:lineRule="auto"/>
        <w:rPr>
          <w:rFonts w:ascii="Courier" w:hAnsi="Courier"/>
        </w:rPr>
      </w:pPr>
      <w:r w:rsidRPr="00E06205">
        <w:rPr>
          <w:rFonts w:ascii="Courier" w:hAnsi="Courier"/>
          <w:noProof/>
        </w:rPr>
        <w:drawing>
          <wp:inline distT="0" distB="0" distL="0" distR="0" wp14:anchorId="65760C36" wp14:editId="7CBF7324">
            <wp:extent cx="5759450" cy="2832735"/>
            <wp:effectExtent l="0" t="0" r="0" b="5715"/>
            <wp:docPr id="29180916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9450" cy="2832735"/>
                    </a:xfrm>
                    <a:prstGeom prst="rect">
                      <a:avLst/>
                    </a:prstGeom>
                    <a:noFill/>
                    <a:ln>
                      <a:noFill/>
                    </a:ln>
                  </pic:spPr>
                </pic:pic>
              </a:graphicData>
            </a:graphic>
          </wp:inline>
        </w:drawing>
      </w:r>
    </w:p>
    <w:p w14:paraId="788EADF7" w14:textId="1E280C8B" w:rsidR="00335312" w:rsidRDefault="00335312" w:rsidP="00335312">
      <w:pPr>
        <w:pStyle w:val="Didascalia"/>
        <w:jc w:val="center"/>
        <w:rPr>
          <w:i w:val="0"/>
        </w:rPr>
      </w:pPr>
      <w:r>
        <w:t xml:space="preserve">Tabella </w:t>
      </w:r>
      <w:r>
        <w:fldChar w:fldCharType="begin"/>
      </w:r>
      <w:r>
        <w:instrText xml:space="preserve"> SEQ Tabella \* ARABIC </w:instrText>
      </w:r>
      <w:r>
        <w:fldChar w:fldCharType="separate"/>
      </w:r>
      <w:r w:rsidR="00670903">
        <w:rPr>
          <w:noProof/>
        </w:rPr>
        <w:t>36</w:t>
      </w:r>
      <w:r>
        <w:rPr>
          <w:noProof/>
        </w:rPr>
        <w:fldChar w:fldCharType="end"/>
      </w:r>
      <w:r>
        <w:rPr>
          <w:i w:val="0"/>
        </w:rPr>
        <w:t xml:space="preserve"> </w:t>
      </w:r>
      <w:r w:rsidRPr="00446884">
        <w:rPr>
          <w:iCs w:val="0"/>
        </w:rPr>
        <w:t>– Serie storica dati di servizio registrati dall’ONTPL</w:t>
      </w:r>
      <w:r>
        <w:rPr>
          <w:i w:val="0"/>
        </w:rPr>
        <w:t xml:space="preserve"> </w:t>
      </w:r>
    </w:p>
    <w:p w14:paraId="14B4C40F" w14:textId="77777777" w:rsidR="00335312" w:rsidRDefault="00335312" w:rsidP="00335312">
      <w:pPr>
        <w:spacing w:before="120" w:after="0" w:line="240" w:lineRule="auto"/>
      </w:pPr>
      <w:r>
        <w:t>I dati e gli indicatori riportati, che descrivono la serie storica dal 2012 al 2023, offrono numerosi spunti di riflessione. In questa sede, si ritiene opportuno richiamare l'attenzione sui seguenti aspetti:</w:t>
      </w:r>
    </w:p>
    <w:p w14:paraId="75D23981" w14:textId="77777777" w:rsidR="00335312" w:rsidRPr="00C61C6D" w:rsidRDefault="00335312" w:rsidP="00335312">
      <w:pPr>
        <w:spacing w:before="120" w:after="0" w:line="240" w:lineRule="auto"/>
        <w:rPr>
          <w:b/>
          <w:bCs/>
        </w:rPr>
      </w:pPr>
      <w:r w:rsidRPr="00C61C6D">
        <w:rPr>
          <w:b/>
          <w:bCs/>
        </w:rPr>
        <w:t>Rapporto ricavi/costi del Bacino</w:t>
      </w:r>
    </w:p>
    <w:p w14:paraId="1CF503B3" w14:textId="4A3BC7B8" w:rsidR="00335312" w:rsidRPr="00C61C6D" w:rsidRDefault="00335312" w:rsidP="00335312">
      <w:pPr>
        <w:spacing w:before="120" w:after="0" w:line="240" w:lineRule="auto"/>
      </w:pPr>
      <w:r w:rsidRPr="00C61C6D">
        <w:t xml:space="preserve">Il rapporto ricavi/costi del Bacino stenta a raggiungere il valore di riferimento del 35%. Questo indica la necessità di rivedere l’organizzazione del servizio per renderlo più confacente alle esigenze della domanda. Inoltre, l'effetto negativo della pandemia di Covid-19 sta lentamente rientrando anche se non ha raggiunto i livelli precedenti, tale scostamento può forse essere imputabile anche alla conversione verso altre modalità di trasporto dolce (cfr. </w:t>
      </w:r>
      <w:r w:rsidRPr="00C61C6D">
        <w:fldChar w:fldCharType="begin"/>
      </w:r>
      <w:r w:rsidRPr="00C61C6D">
        <w:instrText xml:space="preserve"> REF _Ref203583831 \h  \* MERGEFORMAT </w:instrText>
      </w:r>
      <w:r w:rsidRPr="00C61C6D">
        <w:fldChar w:fldCharType="separate"/>
      </w:r>
      <w:r w:rsidR="00670903" w:rsidRPr="00670903">
        <w:t xml:space="preserve">Tabella </w:t>
      </w:r>
      <w:r w:rsidR="00670903" w:rsidRPr="00670903">
        <w:rPr>
          <w:noProof/>
        </w:rPr>
        <w:t>8</w:t>
      </w:r>
      <w:r w:rsidRPr="00C61C6D">
        <w:fldChar w:fldCharType="end"/>
      </w:r>
      <w:r w:rsidRPr="00C61C6D">
        <w:t>).</w:t>
      </w:r>
    </w:p>
    <w:p w14:paraId="7E9BAAFD" w14:textId="5D455FE8" w:rsidR="00335312" w:rsidRPr="00C61C6D" w:rsidRDefault="00335312" w:rsidP="00335312">
      <w:pPr>
        <w:spacing w:before="120" w:after="0" w:line="240" w:lineRule="auto"/>
      </w:pPr>
      <w:r w:rsidRPr="00C61C6D">
        <w:t xml:space="preserve">Occorre precisare come sarà meglio dettagliato nel paragrafo </w:t>
      </w:r>
      <w:r w:rsidRPr="00C61C6D">
        <w:fldChar w:fldCharType="begin"/>
      </w:r>
      <w:r w:rsidRPr="00C61C6D">
        <w:instrText xml:space="preserve"> REF _Ref204263236 \r \h  \* MERGEFORMAT </w:instrText>
      </w:r>
      <w:r w:rsidRPr="00C61C6D">
        <w:fldChar w:fldCharType="separate"/>
      </w:r>
      <w:r w:rsidR="00670903" w:rsidRPr="00670903">
        <w:rPr>
          <w:b/>
          <w:bCs/>
        </w:rPr>
        <w:t>6.1.2</w:t>
      </w:r>
      <w:r w:rsidRPr="00C61C6D">
        <w:fldChar w:fldCharType="end"/>
      </w:r>
      <w:r w:rsidRPr="00C61C6D">
        <w:t xml:space="preserve"> che la presenza di tariffe urbane inferiori a quanto previsto dalle disposizioni tariffarie regionali incide negativamente sui ricavi portando a un maggiore squilibrio del rapporto ricavi/costi.</w:t>
      </w:r>
    </w:p>
    <w:p w14:paraId="34FB9842" w14:textId="77777777" w:rsidR="00335312" w:rsidRPr="00C61C6D" w:rsidRDefault="00335312" w:rsidP="00335312">
      <w:pPr>
        <w:spacing w:before="120" w:after="0" w:line="240" w:lineRule="auto"/>
        <w:rPr>
          <w:b/>
          <w:bCs/>
        </w:rPr>
      </w:pPr>
      <w:r w:rsidRPr="00C61C6D">
        <w:rPr>
          <w:b/>
          <w:bCs/>
        </w:rPr>
        <w:lastRenderedPageBreak/>
        <w:t>Indicatori di economicità</w:t>
      </w:r>
    </w:p>
    <w:p w14:paraId="330CE8A1" w14:textId="77777777" w:rsidR="00335312" w:rsidRPr="00C61C6D" w:rsidRDefault="00335312" w:rsidP="00335312">
      <w:pPr>
        <w:spacing w:before="120" w:after="0" w:line="240" w:lineRule="auto"/>
      </w:pPr>
      <w:r w:rsidRPr="00C61C6D">
        <w:t>L'indicatore di economicità mostra, al di là della flessione negli anni Covid, un andamento abbastanza costante dei ricavi, mentre il numero di passeggeri annui ha subito una continua flessione negativa. Questo suggerisce che il mantenimento dei ricavi non è legato al mantenimento numero di utenti, ma ad altri fattori, quale ad esempio l’adeguamento tariffario al tasso inflattivo.</w:t>
      </w:r>
    </w:p>
    <w:p w14:paraId="11453B5D" w14:textId="77777777" w:rsidR="00335312" w:rsidRPr="00C61C6D" w:rsidRDefault="00335312" w:rsidP="00335312">
      <w:pPr>
        <w:spacing w:before="120" w:after="0" w:line="240" w:lineRule="auto"/>
        <w:rPr>
          <w:b/>
          <w:bCs/>
        </w:rPr>
      </w:pPr>
      <w:r w:rsidRPr="00C61C6D">
        <w:rPr>
          <w:b/>
          <w:bCs/>
        </w:rPr>
        <w:t>Ricavi per titolo di viaggio (TdV) e per chilometro</w:t>
      </w:r>
    </w:p>
    <w:p w14:paraId="28030E37" w14:textId="77777777" w:rsidR="00335312" w:rsidRPr="00C61C6D" w:rsidRDefault="00335312" w:rsidP="00335312">
      <w:pPr>
        <w:spacing w:before="120" w:after="0" w:line="240" w:lineRule="auto"/>
      </w:pPr>
      <w:r w:rsidRPr="00C61C6D">
        <w:t>Tra il 2018 e il 2023, l'indicatore Ricavi TdV a passeggero e l'indicatore Ricavo medio a chilometro si sono mantenuti pressoché costanti, ad eccezione del periodo Covid.</w:t>
      </w:r>
    </w:p>
    <w:p w14:paraId="18452CFF" w14:textId="77777777" w:rsidR="00335312" w:rsidRDefault="00335312" w:rsidP="00335312">
      <w:pPr>
        <w:spacing w:before="120" w:after="0" w:line="240" w:lineRule="auto"/>
      </w:pPr>
      <w:r w:rsidRPr="00C61C6D">
        <w:t>Questi aspetti evidenziano come la sostenibilità economica dei contratti di servizio debba essere sempre monitorata attraverso una continua, e profonda, interpretazione del mutamento dei comportamenti di mobilità.</w:t>
      </w:r>
    </w:p>
    <w:p w14:paraId="30DC0462" w14:textId="77777777" w:rsidR="00335312" w:rsidRDefault="00335312" w:rsidP="00335312">
      <w:pPr>
        <w:spacing w:before="120" w:after="0" w:line="240" w:lineRule="auto"/>
      </w:pPr>
      <w:r>
        <w:t>Come analizzato nel capitolo della domanda di mobilità il forte impatto del calo demografico e dell’invecchiamento della popolazione sono elementi che comportano una riduzione della domanda ma d’altro canto l’avvento delle nuove generazioni sta portando considerevoli cambiamenti nelle abitudini di mobilità ed in questo ambito il trasporto collettivo può svolgere un ruolo fondamentale. Le nuove generazioni tendono a preferire soluzioni di trasporto più flessibili e sostenibili, e il TPL può adattarsi a queste esigenze attraverso l'innovazione tecnologica.</w:t>
      </w:r>
    </w:p>
    <w:p w14:paraId="03A103F7" w14:textId="77777777" w:rsidR="00335312" w:rsidRDefault="00335312" w:rsidP="00335312">
      <w:pPr>
        <w:spacing w:before="120" w:after="0" w:line="240" w:lineRule="auto"/>
      </w:pPr>
      <w:r>
        <w:t>Oggi la classica impostazione in cui l’utente deve “raggiungere” il proprio trasporto pubblico appare desueta.</w:t>
      </w:r>
    </w:p>
    <w:p w14:paraId="5321BE78" w14:textId="77777777" w:rsidR="00335312" w:rsidRDefault="00335312" w:rsidP="00335312">
      <w:pPr>
        <w:spacing w:before="120" w:after="0" w:line="240" w:lineRule="auto"/>
        <w:jc w:val="center"/>
      </w:pPr>
      <w:r>
        <w:rPr>
          <w:noProof/>
        </w:rPr>
        <w:drawing>
          <wp:inline distT="0" distB="0" distL="0" distR="0" wp14:anchorId="57B13220" wp14:editId="43DCCDD1">
            <wp:extent cx="3149600" cy="1377950"/>
            <wp:effectExtent l="0" t="0" r="0" b="0"/>
            <wp:docPr id="1033996652" name="Immagine 9"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96652" name="Immagine 9" descr="Immagine che contiene testo, schermata, diagramma, design&#10;&#10;Descrizione generata automaticamente"/>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45254" b="54792"/>
                    <a:stretch/>
                  </pic:blipFill>
                  <pic:spPr bwMode="auto">
                    <a:xfrm>
                      <a:off x="0" y="0"/>
                      <a:ext cx="3149600" cy="1377950"/>
                    </a:xfrm>
                    <a:prstGeom prst="rect">
                      <a:avLst/>
                    </a:prstGeom>
                    <a:noFill/>
                    <a:ln>
                      <a:noFill/>
                    </a:ln>
                    <a:extLst>
                      <a:ext uri="{53640926-AAD7-44D8-BBD7-CCE9431645EC}">
                        <a14:shadowObscured xmlns:a14="http://schemas.microsoft.com/office/drawing/2010/main"/>
                      </a:ext>
                    </a:extLst>
                  </pic:spPr>
                </pic:pic>
              </a:graphicData>
            </a:graphic>
          </wp:inline>
        </w:drawing>
      </w:r>
    </w:p>
    <w:p w14:paraId="5094F415" w14:textId="77777777" w:rsidR="00335312" w:rsidRDefault="00335312" w:rsidP="00335312">
      <w:pPr>
        <w:spacing w:before="120" w:after="0" w:line="240" w:lineRule="auto"/>
      </w:pPr>
      <w:r>
        <w:t>Affinché l'interazione tra domanda e offerta nei servizi di TPL, e la sua evoluzione, che costituiscono un processo complesso e dinamico, possa garantire un servizio efficiente, sostenibile e rispondente alle esigenze della comunità, sarà richiesto all’azienda di TPL aggiudicatrice del Contratto di Servizio una proposta organizzativa adeguata, che riesca a garantire un monitoraggio continuo e un adattamento costante. In tal ottica si inserisce il progetto prioritario di completa digitalizzazione del servizio e dell’impresa che AMP porrà a base di gara.</w:t>
      </w:r>
    </w:p>
    <w:p w14:paraId="7D64B872" w14:textId="77777777" w:rsidR="00335312" w:rsidRDefault="00335312" w:rsidP="00335312">
      <w:pPr>
        <w:spacing w:before="120" w:after="0" w:line="240" w:lineRule="auto"/>
      </w:pPr>
      <w:r>
        <w:t>Lo schema che ogni concessionario dovrà perseguire è basato su una organizzazione in cui ogni elemento del ciclo produttivo sia connesso in tempo reale e possa pertanto avvicinare il trasporto pubblico alle esigenze della domanda.</w:t>
      </w:r>
    </w:p>
    <w:p w14:paraId="1C04E00F" w14:textId="77777777" w:rsidR="00335312" w:rsidRDefault="00335312" w:rsidP="00335312">
      <w:pPr>
        <w:spacing w:before="120" w:after="0" w:line="240" w:lineRule="auto"/>
        <w:jc w:val="center"/>
      </w:pPr>
      <w:r>
        <w:rPr>
          <w:noProof/>
        </w:rPr>
        <w:drawing>
          <wp:inline distT="0" distB="0" distL="0" distR="0" wp14:anchorId="08D09CC0" wp14:editId="461A32B6">
            <wp:extent cx="3148716" cy="1386177"/>
            <wp:effectExtent l="0" t="0" r="0" b="5080"/>
            <wp:docPr id="382717749" name="Immagine 10"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17749" name="Immagine 10" descr="Immagine che contiene testo, schermata, diagramma, design&#10;&#10;Descrizione generata automaticamente"/>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4522" r="45269"/>
                    <a:stretch/>
                  </pic:blipFill>
                  <pic:spPr bwMode="auto">
                    <a:xfrm>
                      <a:off x="0" y="0"/>
                      <a:ext cx="3148716" cy="1386177"/>
                    </a:xfrm>
                    <a:prstGeom prst="rect">
                      <a:avLst/>
                    </a:prstGeom>
                    <a:noFill/>
                    <a:ln>
                      <a:noFill/>
                    </a:ln>
                    <a:extLst>
                      <a:ext uri="{53640926-AAD7-44D8-BBD7-CCE9431645EC}">
                        <a14:shadowObscured xmlns:a14="http://schemas.microsoft.com/office/drawing/2010/main"/>
                      </a:ext>
                    </a:extLst>
                  </pic:spPr>
                </pic:pic>
              </a:graphicData>
            </a:graphic>
          </wp:inline>
        </w:drawing>
      </w:r>
    </w:p>
    <w:p w14:paraId="41A64072" w14:textId="77777777" w:rsidR="00335312" w:rsidRDefault="00335312" w:rsidP="00335312">
      <w:pPr>
        <w:spacing w:before="120" w:after="0" w:line="240" w:lineRule="auto"/>
      </w:pPr>
      <w:r>
        <w:lastRenderedPageBreak/>
        <w:t>La “digitalizzazione” consente di connettere in tempo reale ogni elemento del ciclo realizzativo del servizio, migliorandone l'efficienza e la reattività. Questo approccio rende il trasporto pubblico più accessibile e in linea con le esigenze degli utenti, riducendo la necessità per gli utenti di "raggiungere" il trasporto pubblico, ma piuttosto portando il trasporto pubblico più vicino a loro. Questo garantisce inoltre un monitoraggio continuo e un adattamento costante, elementi essenziali per mantenere il servizio attrattivo, accessibile, efficiente e sostenibile.</w:t>
      </w:r>
    </w:p>
    <w:p w14:paraId="1D111BF1" w14:textId="77777777" w:rsidR="00A32B63" w:rsidRDefault="00335312" w:rsidP="00335312">
      <w:pPr>
        <w:spacing w:before="120" w:after="0" w:line="240" w:lineRule="auto"/>
        <w:sectPr w:rsidR="00A32B63" w:rsidSect="0031622C">
          <w:footerReference w:type="default" r:id="rId65"/>
          <w:pgSz w:w="11906" w:h="16838"/>
          <w:pgMar w:top="1418" w:right="1418" w:bottom="1418" w:left="1418" w:header="709" w:footer="709" w:gutter="0"/>
          <w:pgBorders w:offsetFrom="page">
            <w:right w:val="single" w:sz="48" w:space="24" w:color="A5C34C" w:themeColor="accent6" w:themeShade="BF"/>
          </w:pgBorders>
          <w:cols w:space="708"/>
          <w:docGrid w:linePitch="360"/>
        </w:sectPr>
      </w:pPr>
      <w:r>
        <w:t>L’interazione fra domanda ed offerta è oggi una sfida organizzativa interna al concessionario che agisce su impulso dell’ente concedente ed in stretta collaborazione con gli enti locali.</w:t>
      </w:r>
      <w:r w:rsidR="00A32B63">
        <w:t xml:space="preserve"> </w:t>
      </w:r>
    </w:p>
    <w:p w14:paraId="103DE5E5" w14:textId="77777777" w:rsidR="0024083D" w:rsidRDefault="0024083D" w:rsidP="0024083D">
      <w:pPr>
        <w:pStyle w:val="Titolo1"/>
        <w:ind w:left="426"/>
      </w:pPr>
      <w:bookmarkStart w:id="234" w:name="_Ref190429124"/>
      <w:bookmarkStart w:id="235" w:name="_Ref190429140"/>
      <w:bookmarkStart w:id="236" w:name="_Toc193218184"/>
      <w:bookmarkStart w:id="237" w:name="_Toc1272080221"/>
      <w:bookmarkStart w:id="238" w:name="_Toc197695691"/>
      <w:bookmarkStart w:id="239" w:name="_Toc204328732"/>
      <w:bookmarkStart w:id="240" w:name="_Toc193218185"/>
      <w:bookmarkStart w:id="241" w:name="_Toc1069753081"/>
      <w:bookmarkStart w:id="242" w:name="_Toc197695692"/>
      <w:bookmarkStart w:id="243" w:name="_Toc204616502"/>
      <w:bookmarkStart w:id="244" w:name="_Toc205213732"/>
      <w:r>
        <w:lastRenderedPageBreak/>
        <w:t>Determinazione degli OSP e criteri di copertura finanziaria</w:t>
      </w:r>
      <w:bookmarkEnd w:id="234"/>
      <w:bookmarkEnd w:id="235"/>
      <w:bookmarkEnd w:id="236"/>
      <w:bookmarkEnd w:id="237"/>
      <w:bookmarkEnd w:id="238"/>
      <w:bookmarkEnd w:id="239"/>
      <w:bookmarkEnd w:id="244"/>
    </w:p>
    <w:p w14:paraId="31A9451B" w14:textId="77777777" w:rsidR="0024083D" w:rsidRDefault="0024083D" w:rsidP="0024083D">
      <w:pPr>
        <w:pStyle w:val="Titolo2"/>
        <w:ind w:left="567"/>
      </w:pPr>
      <w:bookmarkStart w:id="245" w:name="_Toc204328733"/>
      <w:bookmarkStart w:id="246" w:name="_Toc205213733"/>
      <w:bookmarkEnd w:id="240"/>
      <w:bookmarkEnd w:id="241"/>
      <w:bookmarkEnd w:id="242"/>
      <w:bookmarkEnd w:id="243"/>
      <w:r>
        <w:t>Obblighi di Servizio Pubblico</w:t>
      </w:r>
      <w:bookmarkEnd w:id="245"/>
      <w:bookmarkEnd w:id="246"/>
    </w:p>
    <w:p w14:paraId="45CCD827" w14:textId="77777777" w:rsidR="0024083D" w:rsidRDefault="0024083D" w:rsidP="0024083D">
      <w:pPr>
        <w:spacing w:before="120" w:after="0" w:line="240" w:lineRule="auto"/>
        <w:rPr>
          <w:rFonts w:cs="Times New Roman"/>
          <w:color w:val="000000" w:themeColor="text1"/>
        </w:rPr>
      </w:pPr>
      <w:r w:rsidRPr="00F37E70">
        <w:rPr>
          <w:rFonts w:cs="Times New Roman"/>
          <w:color w:val="000000" w:themeColor="text1"/>
        </w:rPr>
        <w:t>Le compensazioni economiche sono concesse per l’adempimento degli Obblighi di Servizio Pubblico (OSP), come definiti nel Regolamento CE 1370/2007. Questi obblighi includono la fornitura di servizi di trasporto pubblico di passeggeri su strada e per ferrovia che non potrebbero essere gestiti secondo una logica meramente commerciale</w:t>
      </w:r>
      <w:r>
        <w:rPr>
          <w:rFonts w:cs="Times New Roman"/>
          <w:color w:val="000000" w:themeColor="text1"/>
        </w:rPr>
        <w:t>.</w:t>
      </w:r>
      <w:r w:rsidRPr="00F37E70">
        <w:rPr>
          <w:rFonts w:cs="Times New Roman"/>
          <w:color w:val="000000" w:themeColor="text1"/>
        </w:rPr>
        <w:t xml:space="preserve"> Le compensazioni sono destinate a coprire i costi sostenuti dagli operatori per l'adempimento degli OSP</w:t>
      </w:r>
      <w:r>
        <w:rPr>
          <w:rFonts w:cs="Times New Roman"/>
          <w:color w:val="000000" w:themeColor="text1"/>
        </w:rPr>
        <w:t xml:space="preserve"> oltre a garantire un ragionevole margine di utile al netto dei ricavi da traffico.</w:t>
      </w:r>
    </w:p>
    <w:p w14:paraId="5E8D249C" w14:textId="77777777" w:rsidR="0024083D" w:rsidRDefault="0024083D" w:rsidP="0024083D">
      <w:pPr>
        <w:spacing w:before="120" w:after="0" w:line="240" w:lineRule="auto"/>
        <w:rPr>
          <w:rFonts w:cs="Times New Roman"/>
          <w:color w:val="000000" w:themeColor="text1"/>
        </w:rPr>
      </w:pPr>
      <w:r>
        <w:rPr>
          <w:rFonts w:cs="Times New Roman"/>
          <w:color w:val="000000" w:themeColor="text1"/>
        </w:rPr>
        <w:t>L’equilibrio economico finanziario del contratto di servizio</w:t>
      </w:r>
      <w:r w:rsidRPr="00F37E70">
        <w:rPr>
          <w:rFonts w:cs="Times New Roman"/>
          <w:color w:val="000000" w:themeColor="text1"/>
        </w:rPr>
        <w:t xml:space="preserve"> </w:t>
      </w:r>
      <w:r>
        <w:rPr>
          <w:rFonts w:cs="Times New Roman"/>
          <w:color w:val="000000" w:themeColor="text1"/>
        </w:rPr>
        <w:t>riguarda quindi anche ulteriori</w:t>
      </w:r>
      <w:r w:rsidRPr="00D10E90">
        <w:rPr>
          <w:rFonts w:cs="Times New Roman"/>
          <w:color w:val="000000" w:themeColor="text1"/>
        </w:rPr>
        <w:t xml:space="preserve"> Obblighi </w:t>
      </w:r>
      <w:r>
        <w:rPr>
          <w:rFonts w:cs="Times New Roman"/>
          <w:color w:val="000000" w:themeColor="text1"/>
        </w:rPr>
        <w:t>contrattuali</w:t>
      </w:r>
      <w:r w:rsidRPr="00D10E90">
        <w:rPr>
          <w:rFonts w:cs="Times New Roman"/>
          <w:color w:val="000000" w:themeColor="text1"/>
        </w:rPr>
        <w:t xml:space="preserve"> funzionali </w:t>
      </w:r>
      <w:r>
        <w:rPr>
          <w:rFonts w:cs="Times New Roman"/>
          <w:color w:val="000000" w:themeColor="text1"/>
        </w:rPr>
        <w:t>all’esecuzione di tutti gli</w:t>
      </w:r>
      <w:r w:rsidRPr="00D10E90">
        <w:rPr>
          <w:rFonts w:cs="Times New Roman"/>
          <w:color w:val="000000" w:themeColor="text1"/>
        </w:rPr>
        <w:t xml:space="preserve"> adempimenti connessi all’</w:t>
      </w:r>
      <w:r>
        <w:rPr>
          <w:rFonts w:cs="Times New Roman"/>
          <w:color w:val="000000" w:themeColor="text1"/>
        </w:rPr>
        <w:t>esercizio dei servizi di trasporto pubblico affidati in concessione.</w:t>
      </w:r>
    </w:p>
    <w:p w14:paraId="67C269B5" w14:textId="77777777" w:rsidR="0024083D" w:rsidRDefault="0024083D" w:rsidP="0024083D">
      <w:pPr>
        <w:spacing w:before="120" w:after="0" w:line="240" w:lineRule="auto"/>
        <w:rPr>
          <w:rFonts w:cs="Times New Roman"/>
          <w:color w:val="000000" w:themeColor="text1"/>
        </w:rPr>
      </w:pPr>
      <w:r>
        <w:rPr>
          <w:rFonts w:cs="Times New Roman"/>
          <w:color w:val="000000" w:themeColor="text1"/>
        </w:rPr>
        <w:t>Nel loro complesso gli obblighi di servizio e gli obblighi contrattuali, connessi alle procedure di affidamento, possono essere schematizzati in 6 grandi gruppi meglio rappresentati nello schema seguente:</w:t>
      </w:r>
    </w:p>
    <w:p w14:paraId="285E3A51" w14:textId="77777777" w:rsidR="0024083D" w:rsidRDefault="0024083D" w:rsidP="0024083D">
      <w:pPr>
        <w:pStyle w:val="Paragrafoelenco"/>
        <w:numPr>
          <w:ilvl w:val="0"/>
          <w:numId w:val="46"/>
        </w:numPr>
        <w:spacing w:before="120" w:after="0" w:line="240" w:lineRule="auto"/>
        <w:rPr>
          <w:rFonts w:cs="Times New Roman"/>
          <w:color w:val="000000" w:themeColor="text1"/>
        </w:rPr>
      </w:pPr>
      <w:r w:rsidRPr="008553ED">
        <w:rPr>
          <w:rFonts w:cs="Times New Roman"/>
          <w:color w:val="000000" w:themeColor="text1"/>
        </w:rPr>
        <w:t>Obblighi di avvio del Contratto di Servizio; sono quelli che nella procedura di affidamento sono richiesti per verificare che all’avvio del servizio siano presenti tutte le condizioni previste per il corretto espletamento del servizio</w:t>
      </w:r>
      <w:r>
        <w:rPr>
          <w:rFonts w:cs="Times New Roman"/>
          <w:color w:val="000000" w:themeColor="text1"/>
        </w:rPr>
        <w:t>;</w:t>
      </w:r>
    </w:p>
    <w:p w14:paraId="41F00F0A" w14:textId="77777777" w:rsidR="0024083D" w:rsidRDefault="0024083D" w:rsidP="0024083D">
      <w:pPr>
        <w:pStyle w:val="Paragrafoelenco"/>
        <w:numPr>
          <w:ilvl w:val="0"/>
          <w:numId w:val="46"/>
        </w:numPr>
        <w:spacing w:before="120" w:after="0" w:line="240" w:lineRule="auto"/>
        <w:rPr>
          <w:rFonts w:cs="Times New Roman"/>
          <w:color w:val="000000" w:themeColor="text1"/>
        </w:rPr>
      </w:pPr>
      <w:r>
        <w:rPr>
          <w:rFonts w:cs="Times New Roman"/>
          <w:color w:val="000000" w:themeColor="text1"/>
        </w:rPr>
        <w:t>Obblighi di servizio pubblico; sono quelli legati a garantire il livello di servizio programmato dall’Ente concedente quali frequenza e regolarità, la sicurezza dei passeggeri e del personale, l’accessibilità del servizio a tutte le categorie di utenti incluse quelle a ridotta capacità motoria, l’applicazione delle tariffe definite dall’Ente concedente;</w:t>
      </w:r>
    </w:p>
    <w:p w14:paraId="317DD5C4" w14:textId="77777777" w:rsidR="0024083D" w:rsidRDefault="0024083D" w:rsidP="0024083D">
      <w:pPr>
        <w:pStyle w:val="Paragrafoelenco"/>
        <w:numPr>
          <w:ilvl w:val="0"/>
          <w:numId w:val="46"/>
        </w:numPr>
        <w:spacing w:before="120" w:after="0" w:line="240" w:lineRule="auto"/>
        <w:rPr>
          <w:rFonts w:cs="Times New Roman"/>
          <w:color w:val="000000" w:themeColor="text1"/>
        </w:rPr>
      </w:pPr>
      <w:r>
        <w:rPr>
          <w:rFonts w:cs="Times New Roman"/>
          <w:color w:val="000000" w:themeColor="text1"/>
        </w:rPr>
        <w:t>Obblighi di gestione contrattuale; riguardano tutti gli adempimenti programmati dall’Operatore Economico e quelli previsti dal Contratto di servizio incluso il costante monitoraggio e la dettagliata rendicontazione, nonché m</w:t>
      </w:r>
      <w:r w:rsidRPr="00F37E70">
        <w:rPr>
          <w:rFonts w:cs="Times New Roman"/>
          <w:color w:val="000000" w:themeColor="text1"/>
        </w:rPr>
        <w:t>antenere standard elevati di qualità del servizio, inclusi comfort e pulizia</w:t>
      </w:r>
      <w:r>
        <w:rPr>
          <w:rFonts w:cs="Times New Roman"/>
          <w:color w:val="000000" w:themeColor="text1"/>
        </w:rPr>
        <w:t>;</w:t>
      </w:r>
    </w:p>
    <w:p w14:paraId="437E7F98" w14:textId="77777777" w:rsidR="0024083D" w:rsidRPr="008553ED" w:rsidRDefault="0024083D" w:rsidP="0024083D">
      <w:pPr>
        <w:pStyle w:val="Paragrafoelenco"/>
        <w:numPr>
          <w:ilvl w:val="0"/>
          <w:numId w:val="46"/>
        </w:numPr>
        <w:spacing w:before="120" w:after="0" w:line="240" w:lineRule="auto"/>
        <w:rPr>
          <w:rFonts w:cs="Times New Roman"/>
          <w:color w:val="000000" w:themeColor="text1"/>
        </w:rPr>
      </w:pPr>
      <w:r>
        <w:rPr>
          <w:rFonts w:cs="Times New Roman"/>
          <w:color w:val="000000" w:themeColor="text1"/>
        </w:rPr>
        <w:t>Obblighi di informazione e trasparenza; riguardano i rapporti con il cittadino e comprendono le informazioni e l’assistenza resa sia prima del viaggio, sia durante, sia dopo, la carta della mobilità ed il suo costante aggiornamento, i rimborsi e le procedure di conciliazione;</w:t>
      </w:r>
    </w:p>
    <w:p w14:paraId="66F1B751" w14:textId="77777777" w:rsidR="0024083D" w:rsidRPr="009D5126" w:rsidRDefault="0024083D" w:rsidP="0024083D">
      <w:pPr>
        <w:pStyle w:val="Paragrafoelenco"/>
        <w:numPr>
          <w:ilvl w:val="0"/>
          <w:numId w:val="46"/>
        </w:numPr>
        <w:spacing w:before="120" w:after="0" w:line="240" w:lineRule="auto"/>
        <w:rPr>
          <w:rFonts w:cs="Times New Roman"/>
          <w:color w:val="000000" w:themeColor="text1"/>
        </w:rPr>
      </w:pPr>
      <w:r w:rsidRPr="009D5126">
        <w:rPr>
          <w:rFonts w:cs="Times New Roman"/>
          <w:color w:val="000000" w:themeColor="text1"/>
        </w:rPr>
        <w:t>Obblighi Ambientali</w:t>
      </w:r>
      <w:r>
        <w:rPr>
          <w:rFonts w:cs="Times New Roman"/>
          <w:color w:val="000000" w:themeColor="text1"/>
        </w:rPr>
        <w:t>; sono connessioni agli obiettivi di transizione ecologica e di</w:t>
      </w:r>
      <w:r w:rsidRPr="009D5126">
        <w:rPr>
          <w:rFonts w:cs="Times New Roman"/>
          <w:color w:val="000000" w:themeColor="text1"/>
        </w:rPr>
        <w:t xml:space="preserve"> </w:t>
      </w:r>
      <w:r>
        <w:rPr>
          <w:rFonts w:cs="Times New Roman"/>
          <w:color w:val="000000" w:themeColor="text1"/>
        </w:rPr>
        <w:t>r</w:t>
      </w:r>
      <w:r w:rsidRPr="009D5126">
        <w:rPr>
          <w:rFonts w:cs="Times New Roman"/>
          <w:color w:val="000000" w:themeColor="text1"/>
        </w:rPr>
        <w:t>idu</w:t>
      </w:r>
      <w:r>
        <w:rPr>
          <w:rFonts w:cs="Times New Roman"/>
          <w:color w:val="000000" w:themeColor="text1"/>
        </w:rPr>
        <w:t>zione</w:t>
      </w:r>
      <w:r w:rsidRPr="009D5126">
        <w:rPr>
          <w:rFonts w:cs="Times New Roman"/>
          <w:color w:val="000000" w:themeColor="text1"/>
        </w:rPr>
        <w:t xml:space="preserve"> </w:t>
      </w:r>
      <w:r>
        <w:rPr>
          <w:rFonts w:cs="Times New Roman"/>
          <w:color w:val="000000" w:themeColor="text1"/>
        </w:rPr>
        <w:t>del</w:t>
      </w:r>
      <w:r w:rsidRPr="009D5126">
        <w:rPr>
          <w:rFonts w:cs="Times New Roman"/>
          <w:color w:val="000000" w:themeColor="text1"/>
        </w:rPr>
        <w:t>l'impatto ambientale del servizio di trasporto</w:t>
      </w:r>
      <w:r>
        <w:rPr>
          <w:rFonts w:cs="Times New Roman"/>
          <w:color w:val="000000" w:themeColor="text1"/>
        </w:rPr>
        <w:t>;</w:t>
      </w:r>
    </w:p>
    <w:p w14:paraId="62129B1B" w14:textId="77777777" w:rsidR="0024083D" w:rsidRPr="009D5126" w:rsidRDefault="0024083D" w:rsidP="0024083D">
      <w:pPr>
        <w:pStyle w:val="Paragrafoelenco"/>
        <w:numPr>
          <w:ilvl w:val="0"/>
          <w:numId w:val="46"/>
        </w:numPr>
        <w:spacing w:before="120" w:after="0" w:line="240" w:lineRule="auto"/>
        <w:rPr>
          <w:rFonts w:cs="Times New Roman"/>
          <w:color w:val="000000" w:themeColor="text1"/>
        </w:rPr>
      </w:pPr>
      <w:r w:rsidRPr="009D5126">
        <w:rPr>
          <w:rFonts w:cs="Times New Roman"/>
          <w:color w:val="000000" w:themeColor="text1"/>
        </w:rPr>
        <w:t xml:space="preserve">Obblighi </w:t>
      </w:r>
      <w:r>
        <w:rPr>
          <w:rFonts w:cs="Times New Roman"/>
          <w:color w:val="000000" w:themeColor="text1"/>
        </w:rPr>
        <w:t>al termine della durata del contratto; sono connessi al necessario impegno per garantire una rapida ed efficace transizione verso un nuovo contratto anche in caso di subentro di un nuovo operatore</w:t>
      </w:r>
      <w:r w:rsidRPr="009D5126">
        <w:rPr>
          <w:rFonts w:cs="Times New Roman"/>
          <w:color w:val="000000" w:themeColor="text1"/>
        </w:rPr>
        <w:t>.</w:t>
      </w:r>
    </w:p>
    <w:p w14:paraId="7ED53E3C" w14:textId="77777777" w:rsidR="0024083D" w:rsidRPr="009D5126" w:rsidRDefault="0024083D" w:rsidP="0024083D">
      <w:pPr>
        <w:spacing w:before="120" w:after="0" w:line="240" w:lineRule="auto"/>
        <w:rPr>
          <w:rFonts w:cs="Times New Roman"/>
        </w:rPr>
      </w:pPr>
      <w:r w:rsidRPr="009D5126">
        <w:rPr>
          <w:rFonts w:cs="Times New Roman"/>
        </w:rPr>
        <w:t>Nelle procedure di affidamento e nei contratti di servizio che saranno sottoscritti, gli obblighi indicati saranno esplicitati formulando per ciascuno di essi le varie modalità di descrizione, realizzazione, rendicontazione, monitoraggio e verifica</w:t>
      </w:r>
      <w:r>
        <w:rPr>
          <w:rFonts w:cs="Times New Roman"/>
        </w:rPr>
        <w:t>.</w:t>
      </w:r>
    </w:p>
    <w:p w14:paraId="55C1856C" w14:textId="77777777" w:rsidR="0024083D" w:rsidRDefault="0024083D" w:rsidP="0024083D">
      <w:pPr>
        <w:spacing w:before="120" w:after="0" w:line="240" w:lineRule="auto"/>
        <w:rPr>
          <w:rFonts w:cs="Times New Roman"/>
          <w:color w:val="000000" w:themeColor="text1"/>
        </w:rPr>
      </w:pPr>
      <w:r w:rsidRPr="00F37E70">
        <w:rPr>
          <w:rFonts w:cs="Times New Roman"/>
          <w:color w:val="000000" w:themeColor="text1"/>
        </w:rPr>
        <w:t>Il mancato rispetto degli obblighi di servizio pubblico può dare luogo a penalità contrattuali e possono includere sanzioni economiche o altre misure correttive per garantire l'adempimento degli obblighi assunti.</w:t>
      </w:r>
    </w:p>
    <w:p w14:paraId="7C28635C" w14:textId="77777777" w:rsidR="0024083D" w:rsidRDefault="0024083D" w:rsidP="0024083D">
      <w:pPr>
        <w:spacing w:before="120" w:after="0" w:line="240" w:lineRule="auto"/>
        <w:rPr>
          <w:rFonts w:cs="Times New Roman"/>
          <w:color w:val="000000" w:themeColor="text1"/>
        </w:rPr>
      </w:pPr>
      <w:r>
        <w:rPr>
          <w:rFonts w:cs="Times New Roman"/>
          <w:color w:val="000000" w:themeColor="text1"/>
        </w:rPr>
        <w:t>I piani economico finanziari sviluppati in sede di procedura di affidamento dovranno dettagliare i fattori di produzione ed i relativi costi connessi per garantire l’adempimento degli obblighi e la loro sostenibilità tecnica economico e finanziaria.</w:t>
      </w:r>
    </w:p>
    <w:p w14:paraId="3478CC8A" w14:textId="77777777" w:rsidR="0024083D" w:rsidRDefault="0024083D" w:rsidP="0024083D">
      <w:pPr>
        <w:spacing w:before="120" w:after="0" w:line="240" w:lineRule="auto"/>
        <w:rPr>
          <w:rFonts w:cs="Times New Roman"/>
          <w:color w:val="000000" w:themeColor="text1"/>
        </w:rPr>
      </w:pPr>
    </w:p>
    <w:p w14:paraId="194B9763" w14:textId="77777777" w:rsidR="0024083D" w:rsidRDefault="0024083D" w:rsidP="0024083D">
      <w:pPr>
        <w:spacing w:before="120" w:after="0" w:line="240" w:lineRule="auto"/>
        <w:jc w:val="center"/>
        <w:rPr>
          <w:rFonts w:cs="Times New Roman"/>
          <w:color w:val="000000" w:themeColor="text1"/>
        </w:rPr>
      </w:pPr>
      <w:r>
        <w:rPr>
          <w:noProof/>
        </w:rPr>
        <w:drawing>
          <wp:inline distT="0" distB="0" distL="0" distR="0" wp14:anchorId="02E1AA59" wp14:editId="2650D5C6">
            <wp:extent cx="5759450" cy="3276600"/>
            <wp:effectExtent l="0" t="0" r="0" b="0"/>
            <wp:docPr id="1608982624"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82624"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5759450" cy="3276600"/>
                    </a:xfrm>
                    <a:prstGeom prst="rect">
                      <a:avLst/>
                    </a:prstGeom>
                  </pic:spPr>
                </pic:pic>
              </a:graphicData>
            </a:graphic>
          </wp:inline>
        </w:drawing>
      </w:r>
    </w:p>
    <w:p w14:paraId="03FB6EDC" w14:textId="77777777" w:rsidR="0024083D" w:rsidRDefault="0024083D" w:rsidP="0024083D">
      <w:pPr>
        <w:spacing w:before="120" w:after="0" w:line="240" w:lineRule="auto"/>
        <w:jc w:val="center"/>
        <w:rPr>
          <w:rFonts w:cs="Times New Roman"/>
          <w:color w:val="000000" w:themeColor="text1"/>
        </w:rPr>
      </w:pPr>
    </w:p>
    <w:p w14:paraId="5FD8A2BF" w14:textId="77777777" w:rsidR="0024083D" w:rsidRDefault="0024083D" w:rsidP="0024083D">
      <w:pPr>
        <w:spacing w:before="120" w:after="0" w:line="240" w:lineRule="auto"/>
        <w:jc w:val="center"/>
        <w:rPr>
          <w:rFonts w:cs="Times New Roman"/>
          <w:color w:val="000000" w:themeColor="text1"/>
        </w:rPr>
      </w:pPr>
      <w:r>
        <w:rPr>
          <w:noProof/>
        </w:rPr>
        <w:drawing>
          <wp:inline distT="0" distB="0" distL="0" distR="0" wp14:anchorId="0625E4AD" wp14:editId="76C27FDC">
            <wp:extent cx="5759450" cy="3239770"/>
            <wp:effectExtent l="0" t="0" r="0" b="0"/>
            <wp:docPr id="67252485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4856"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5759450" cy="3239770"/>
                    </a:xfrm>
                    <a:prstGeom prst="rect">
                      <a:avLst/>
                    </a:prstGeom>
                  </pic:spPr>
                </pic:pic>
              </a:graphicData>
            </a:graphic>
          </wp:inline>
        </w:drawing>
      </w:r>
    </w:p>
    <w:p w14:paraId="302105FE" w14:textId="12F0A4A3" w:rsidR="0024083D" w:rsidRDefault="0024083D" w:rsidP="0024083D">
      <w:pPr>
        <w:pStyle w:val="Didascalia"/>
        <w:spacing w:after="0"/>
        <w:jc w:val="center"/>
        <w:rPr>
          <w:rFonts w:cstheme="minorHAnsi"/>
        </w:rPr>
      </w:pPr>
      <w:r w:rsidRPr="00F80456">
        <w:rPr>
          <w:rFonts w:cstheme="minorHAnsi"/>
        </w:rPr>
        <w:t xml:space="preserve">Figura </w:t>
      </w:r>
      <w:r>
        <w:fldChar w:fldCharType="begin"/>
      </w:r>
      <w:r>
        <w:instrText xml:space="preserve"> SEQ Figura \* ARABIC </w:instrText>
      </w:r>
      <w:r>
        <w:fldChar w:fldCharType="separate"/>
      </w:r>
      <w:r w:rsidR="00670903">
        <w:rPr>
          <w:noProof/>
        </w:rPr>
        <w:t>23</w:t>
      </w:r>
      <w:r>
        <w:rPr>
          <w:noProof/>
        </w:rPr>
        <w:fldChar w:fldCharType="end"/>
      </w:r>
      <w:r w:rsidRPr="00F80456">
        <w:rPr>
          <w:rFonts w:cstheme="minorHAnsi"/>
        </w:rPr>
        <w:t xml:space="preserve"> –</w:t>
      </w:r>
      <w:r>
        <w:rPr>
          <w:rFonts w:cstheme="minorHAnsi"/>
        </w:rPr>
        <w:t>Schematizzazione obblighi di servizio</w:t>
      </w:r>
    </w:p>
    <w:p w14:paraId="7DEFB63D" w14:textId="77777777" w:rsidR="0024083D" w:rsidRDefault="0024083D" w:rsidP="0024083D">
      <w:pPr>
        <w:pStyle w:val="Titolo2"/>
        <w:ind w:left="567"/>
      </w:pPr>
      <w:bookmarkStart w:id="247" w:name="_Toc193218186"/>
      <w:bookmarkStart w:id="248" w:name="_Toc1372678259"/>
      <w:bookmarkStart w:id="249" w:name="_Toc197695693"/>
      <w:bookmarkStart w:id="250" w:name="_Toc204328734"/>
      <w:bookmarkStart w:id="251" w:name="_Toc193218189"/>
      <w:bookmarkStart w:id="252" w:name="_Toc1316531327"/>
      <w:bookmarkStart w:id="253" w:name="_Toc197695697"/>
      <w:bookmarkStart w:id="254" w:name="_Toc204616507"/>
      <w:bookmarkStart w:id="255" w:name="_Toc205213734"/>
      <w:r>
        <w:t>Possibili soluzioni di finanziamento</w:t>
      </w:r>
      <w:bookmarkEnd w:id="247"/>
      <w:bookmarkEnd w:id="248"/>
      <w:bookmarkEnd w:id="249"/>
      <w:bookmarkEnd w:id="250"/>
      <w:bookmarkEnd w:id="255"/>
    </w:p>
    <w:p w14:paraId="702F419C" w14:textId="77777777" w:rsidR="0024083D" w:rsidRPr="00FB6927" w:rsidRDefault="0024083D" w:rsidP="0024083D">
      <w:pPr>
        <w:spacing w:before="120" w:after="0" w:line="240" w:lineRule="auto"/>
        <w:rPr>
          <w:rFonts w:cs="Times New Roman"/>
        </w:rPr>
      </w:pPr>
      <w:r w:rsidRPr="00FB6927">
        <w:rPr>
          <w:rFonts w:cs="Times New Roman"/>
        </w:rPr>
        <w:t xml:space="preserve">La Delibera ART n. 48/2017 (misure 4 e 6) prescrive che il </w:t>
      </w:r>
      <w:r>
        <w:rPr>
          <w:rFonts w:cs="Times New Roman"/>
        </w:rPr>
        <w:t>soggetto competente</w:t>
      </w:r>
      <w:r w:rsidRPr="00FB6927">
        <w:rPr>
          <w:rFonts w:cs="Times New Roman"/>
        </w:rPr>
        <w:t xml:space="preserve"> prima dell’adozione degli atti amministrativi relativi all’affidamento dei servizi di trasporto pubblico, illustri e motivi in un’apposita relazione le opzioni di finanziamento degli obblighi di servizio pubblico ed i fattori di mercato considerati ai fini del dimensionamento dei lotti da affidare. </w:t>
      </w:r>
    </w:p>
    <w:p w14:paraId="5FF4FCD3" w14:textId="77777777" w:rsidR="0024083D" w:rsidRDefault="0024083D" w:rsidP="0024083D">
      <w:pPr>
        <w:pStyle w:val="Titolo3"/>
        <w:ind w:left="720"/>
      </w:pPr>
      <w:bookmarkStart w:id="256" w:name="_Toc193218187"/>
      <w:bookmarkStart w:id="257" w:name="_Toc1881519439"/>
      <w:bookmarkStart w:id="258" w:name="_Toc197695694"/>
      <w:bookmarkStart w:id="259" w:name="_Toc204328735"/>
      <w:bookmarkStart w:id="260" w:name="_Toc205213735"/>
      <w:r>
        <w:lastRenderedPageBreak/>
        <w:t>Quadro europeo</w:t>
      </w:r>
      <w:bookmarkEnd w:id="256"/>
      <w:bookmarkEnd w:id="257"/>
      <w:bookmarkEnd w:id="258"/>
      <w:bookmarkEnd w:id="259"/>
      <w:bookmarkEnd w:id="260"/>
    </w:p>
    <w:p w14:paraId="54940DEE" w14:textId="77777777" w:rsidR="0024083D" w:rsidRDefault="0024083D" w:rsidP="0024083D">
      <w:pPr>
        <w:spacing w:before="120" w:after="0" w:line="240" w:lineRule="auto"/>
        <w:rPr>
          <w:rFonts w:cs="Times New Roman"/>
        </w:rPr>
      </w:pPr>
      <w:r>
        <w:rPr>
          <w:rFonts w:cs="Times New Roman"/>
        </w:rPr>
        <w:t xml:space="preserve">Al fine di individuare le fonti di finanziamento a copertura dei servizi di trasporto pubblico che saranno oggetto di affidamento, si è voluto approfondire il tema facendo riferimento anche a </w:t>
      </w:r>
      <w:r>
        <w:rPr>
          <w:rFonts w:cs="Times New Roman"/>
          <w:i/>
          <w:iCs/>
        </w:rPr>
        <w:t>be</w:t>
      </w:r>
      <w:r w:rsidRPr="00255CC7">
        <w:rPr>
          <w:rFonts w:cs="Times New Roman"/>
          <w:i/>
          <w:iCs/>
        </w:rPr>
        <w:t>nchmark</w:t>
      </w:r>
      <w:r>
        <w:rPr>
          <w:rFonts w:cs="Times New Roman"/>
        </w:rPr>
        <w:t xml:space="preserve"> europei.</w:t>
      </w:r>
    </w:p>
    <w:p w14:paraId="4EE75726" w14:textId="77777777" w:rsidR="0024083D" w:rsidRDefault="0024083D" w:rsidP="0024083D">
      <w:pPr>
        <w:spacing w:before="120" w:after="0" w:line="240" w:lineRule="auto"/>
        <w:rPr>
          <w:rFonts w:cs="Times New Roman"/>
        </w:rPr>
      </w:pPr>
      <w:r>
        <w:rPr>
          <w:rFonts w:cs="Times New Roman"/>
        </w:rPr>
        <w:t>L’Agenzia da anni fa parte e collabora con l’associazione EMTA – European Metropolitan Transport Authorities che racchiude al suo interno 35 agenzie/autorità competenti in materia di trasporto pubblico locale delle principali aree metropolitane d’Europa.</w:t>
      </w:r>
    </w:p>
    <w:p w14:paraId="1C073808" w14:textId="77777777" w:rsidR="0024083D" w:rsidRDefault="0024083D" w:rsidP="0024083D">
      <w:pPr>
        <w:spacing w:before="120" w:after="0" w:line="240" w:lineRule="auto"/>
        <w:rPr>
          <w:rFonts w:cs="Times New Roman"/>
        </w:rPr>
      </w:pPr>
      <w:r>
        <w:rPr>
          <w:rFonts w:cs="Times New Roman"/>
        </w:rPr>
        <w:t>Riportiamo di seguito un breve estratto di un documento di ricerca effettuato dall’associazione sulle soluzioni innovative di finanziamento del trasporto pubblico</w:t>
      </w:r>
      <w:r>
        <w:rPr>
          <w:rStyle w:val="Rimandonotaapidipagina"/>
          <w:rFonts w:cs="Times New Roman"/>
        </w:rPr>
        <w:footnoteReference w:id="33"/>
      </w:r>
      <w:r>
        <w:rPr>
          <w:rFonts w:cs="Times New Roman"/>
        </w:rPr>
        <w:t>.</w:t>
      </w:r>
    </w:p>
    <w:p w14:paraId="5BFD3B9C" w14:textId="77777777" w:rsidR="0024083D" w:rsidRPr="00255CC7" w:rsidRDefault="0024083D" w:rsidP="0024083D">
      <w:pPr>
        <w:spacing w:before="120" w:after="0" w:line="240" w:lineRule="auto"/>
        <w:rPr>
          <w:rFonts w:cs="Times New Roman"/>
        </w:rPr>
      </w:pPr>
      <w:r>
        <w:rPr>
          <w:rFonts w:cs="Times New Roman"/>
        </w:rPr>
        <w:t xml:space="preserve">Lo studio ha analizzato le strategie di finanziamento di 15 agenzie europee con lo scopo di individuare le tendenze e le </w:t>
      </w:r>
      <w:r>
        <w:rPr>
          <w:rFonts w:cs="Times New Roman"/>
          <w:i/>
          <w:iCs/>
        </w:rPr>
        <w:t>best practice</w:t>
      </w:r>
      <w:r w:rsidRPr="00255CC7">
        <w:rPr>
          <w:rFonts w:cs="Times New Roman"/>
          <w:i/>
          <w:iCs/>
        </w:rPr>
        <w:t>s</w:t>
      </w:r>
      <w:r>
        <w:rPr>
          <w:rFonts w:cs="Times New Roman"/>
        </w:rPr>
        <w:t xml:space="preserve"> in atto per integrare le fonti di finanziamento tradizionale, riducendo la dipendenza dai sussidi pubblici.</w:t>
      </w:r>
    </w:p>
    <w:p w14:paraId="1CE4AC10" w14:textId="77777777" w:rsidR="0024083D" w:rsidRDefault="0024083D" w:rsidP="0024083D">
      <w:pPr>
        <w:spacing w:before="120" w:after="0" w:line="240" w:lineRule="auto"/>
        <w:rPr>
          <w:rFonts w:cs="Times New Roman"/>
        </w:rPr>
      </w:pPr>
      <w:r w:rsidRPr="00606094">
        <w:rPr>
          <w:rFonts w:cs="Times New Roman"/>
        </w:rPr>
        <w:t>Negli ultimi anni, l</w:t>
      </w:r>
      <w:r>
        <w:rPr>
          <w:rFonts w:cs="Times New Roman"/>
        </w:rPr>
        <w:t>e variazioni della</w:t>
      </w:r>
      <w:r w:rsidRPr="00606094">
        <w:rPr>
          <w:rFonts w:cs="Times New Roman"/>
        </w:rPr>
        <w:t xml:space="preserve"> domanda di trasporto pubblico e l’ammodernamento tecnologico ha portato a un incremento dei costi operativi. Tradizionalmente, le Autorità per il trasporto pubblico si affidano a finanziamenti governativi, ma i tagli ai bilanci pubblici rendono questa strategia sempre meno s</w:t>
      </w:r>
      <w:r>
        <w:rPr>
          <w:rFonts w:cs="Times New Roman"/>
        </w:rPr>
        <w:t>tabile</w:t>
      </w:r>
      <w:r w:rsidRPr="00606094">
        <w:rPr>
          <w:rFonts w:cs="Times New Roman"/>
        </w:rPr>
        <w:t>.</w:t>
      </w:r>
    </w:p>
    <w:p w14:paraId="0BA993DE" w14:textId="77777777" w:rsidR="0024083D" w:rsidRPr="00606094" w:rsidRDefault="0024083D" w:rsidP="0024083D">
      <w:pPr>
        <w:spacing w:before="120" w:after="0" w:line="240" w:lineRule="auto"/>
        <w:rPr>
          <w:rFonts w:cs="Times New Roman"/>
        </w:rPr>
      </w:pPr>
      <w:r w:rsidRPr="00606094">
        <w:rPr>
          <w:rFonts w:cs="Times New Roman"/>
        </w:rPr>
        <w:t>L’indagine ha identificato quattro categorie di soluzioni innovative per affrontare questa sfida:</w:t>
      </w:r>
    </w:p>
    <w:p w14:paraId="039A6C04" w14:textId="77777777" w:rsidR="0024083D" w:rsidRPr="00255CC7" w:rsidRDefault="0024083D" w:rsidP="0024083D">
      <w:pPr>
        <w:pStyle w:val="Paragrafoelenco"/>
        <w:numPr>
          <w:ilvl w:val="0"/>
          <w:numId w:val="41"/>
        </w:numPr>
        <w:spacing w:before="120" w:after="0" w:line="240" w:lineRule="auto"/>
        <w:contextualSpacing w:val="0"/>
        <w:rPr>
          <w:rFonts w:cs="Times New Roman"/>
        </w:rPr>
      </w:pPr>
      <w:r w:rsidRPr="00255CC7">
        <w:rPr>
          <w:rFonts w:cs="Times New Roman"/>
        </w:rPr>
        <w:t>Acquisizione di valore economico generico</w:t>
      </w:r>
    </w:p>
    <w:p w14:paraId="562E8A0D" w14:textId="77777777" w:rsidR="0024083D" w:rsidRPr="00255CC7" w:rsidRDefault="0024083D" w:rsidP="0024083D">
      <w:pPr>
        <w:pStyle w:val="Paragrafoelenco"/>
        <w:numPr>
          <w:ilvl w:val="0"/>
          <w:numId w:val="41"/>
        </w:numPr>
        <w:spacing w:before="120" w:after="0" w:line="240" w:lineRule="auto"/>
        <w:contextualSpacing w:val="0"/>
        <w:rPr>
          <w:rFonts w:cs="Times New Roman"/>
        </w:rPr>
      </w:pPr>
      <w:r w:rsidRPr="00255CC7">
        <w:rPr>
          <w:rFonts w:cs="Times New Roman"/>
        </w:rPr>
        <w:t>Acquisizione di valore economico mirata</w:t>
      </w:r>
    </w:p>
    <w:p w14:paraId="52730231" w14:textId="77777777" w:rsidR="0024083D" w:rsidRPr="00255CC7" w:rsidRDefault="0024083D" w:rsidP="0024083D">
      <w:pPr>
        <w:pStyle w:val="Paragrafoelenco"/>
        <w:numPr>
          <w:ilvl w:val="0"/>
          <w:numId w:val="41"/>
        </w:numPr>
        <w:spacing w:before="120" w:after="0" w:line="240" w:lineRule="auto"/>
        <w:contextualSpacing w:val="0"/>
        <w:rPr>
          <w:rFonts w:cs="Times New Roman"/>
        </w:rPr>
      </w:pPr>
      <w:r w:rsidRPr="00255CC7">
        <w:rPr>
          <w:rFonts w:cs="Times New Roman"/>
        </w:rPr>
        <w:t>Trasferimenti da privato a pubblico</w:t>
      </w:r>
    </w:p>
    <w:p w14:paraId="2127FA1A" w14:textId="77777777" w:rsidR="0024083D" w:rsidRPr="00255CC7" w:rsidRDefault="0024083D" w:rsidP="0024083D">
      <w:pPr>
        <w:pStyle w:val="Paragrafoelenco"/>
        <w:numPr>
          <w:ilvl w:val="0"/>
          <w:numId w:val="41"/>
        </w:numPr>
        <w:spacing w:before="120" w:after="0" w:line="240" w:lineRule="auto"/>
        <w:contextualSpacing w:val="0"/>
        <w:rPr>
          <w:rFonts w:cs="Times New Roman"/>
        </w:rPr>
      </w:pPr>
      <w:r w:rsidRPr="00255CC7">
        <w:rPr>
          <w:rFonts w:cs="Times New Roman"/>
        </w:rPr>
        <w:t>Altre soluzioni innovative</w:t>
      </w:r>
    </w:p>
    <w:p w14:paraId="15B28B4B" w14:textId="77777777" w:rsidR="0024083D" w:rsidRPr="005D2E24" w:rsidRDefault="0024083D" w:rsidP="0024083D">
      <w:pPr>
        <w:spacing w:before="120" w:after="0" w:line="240" w:lineRule="auto"/>
        <w:rPr>
          <w:rFonts w:cstheme="minorHAnsi"/>
          <w:b/>
          <w:bCs/>
        </w:rPr>
      </w:pPr>
      <w:r w:rsidRPr="005D2E24">
        <w:rPr>
          <w:rFonts w:cstheme="minorHAnsi"/>
          <w:b/>
          <w:bCs/>
        </w:rPr>
        <w:t>Tendenze emergenti nel finanziamento del trasporto pubblico</w:t>
      </w:r>
    </w:p>
    <w:p w14:paraId="7D967989" w14:textId="77777777" w:rsidR="0024083D" w:rsidRDefault="0024083D" w:rsidP="0024083D">
      <w:pPr>
        <w:spacing w:before="120" w:after="0" w:line="240" w:lineRule="auto"/>
        <w:rPr>
          <w:rFonts w:cstheme="minorHAnsi"/>
        </w:rPr>
      </w:pPr>
      <w:r w:rsidRPr="005D2E24">
        <w:rPr>
          <w:rFonts w:cstheme="minorHAnsi"/>
        </w:rPr>
        <w:t>L’indagine ha evidenziato un aumento della dipendenza dai flussi di reddito indiretti, ovvero entrate che non derivano direttamente dall’operatività del trasporto pubblico, ma da tasse, sanzioni o contributi da parte di privati e aziende. Tra il 2012 e il 2016, la percentuale media di queste entrate è aumentata di 7 punti percentuali.</w:t>
      </w:r>
    </w:p>
    <w:p w14:paraId="10C16CF1" w14:textId="77777777" w:rsidR="0024083D" w:rsidRDefault="0024083D" w:rsidP="0024083D">
      <w:pPr>
        <w:spacing w:before="120" w:after="0" w:line="240" w:lineRule="auto"/>
        <w:rPr>
          <w:rStyle w:val="Enfasigrassetto"/>
          <w:rFonts w:cstheme="minorHAnsi"/>
        </w:rPr>
      </w:pPr>
      <w:r w:rsidRPr="005D2E24">
        <w:rPr>
          <w:rStyle w:val="Enfasigrassetto"/>
          <w:rFonts w:cstheme="minorHAnsi"/>
        </w:rPr>
        <w:t>Soluzioni di finanziamento innovative</w:t>
      </w:r>
    </w:p>
    <w:p w14:paraId="677D09E1" w14:textId="77777777" w:rsidR="0024083D" w:rsidRPr="005D2E24" w:rsidRDefault="0024083D" w:rsidP="0024083D">
      <w:pPr>
        <w:spacing w:before="120" w:after="0" w:line="240" w:lineRule="auto"/>
        <w:rPr>
          <w:rFonts w:cstheme="minorHAnsi"/>
        </w:rPr>
      </w:pPr>
      <w:r w:rsidRPr="005D2E24">
        <w:rPr>
          <w:rFonts w:cstheme="minorHAnsi"/>
        </w:rPr>
        <w:t>Le soluzioni identificate possono essere suddivise in quattro categorie:</w:t>
      </w:r>
    </w:p>
    <w:p w14:paraId="42F0DCA6" w14:textId="77777777" w:rsidR="0024083D" w:rsidRPr="004405E4" w:rsidRDefault="0024083D" w:rsidP="0024083D">
      <w:pPr>
        <w:pStyle w:val="Paragrafoelenco"/>
        <w:numPr>
          <w:ilvl w:val="0"/>
          <w:numId w:val="47"/>
        </w:numPr>
        <w:tabs>
          <w:tab w:val="left" w:pos="3402"/>
        </w:tabs>
        <w:spacing w:before="120" w:after="0" w:line="240" w:lineRule="auto"/>
        <w:contextualSpacing w:val="0"/>
        <w:rPr>
          <w:rFonts w:cstheme="minorHAnsi"/>
        </w:rPr>
      </w:pPr>
      <w:r w:rsidRPr="004405E4">
        <w:rPr>
          <w:rFonts w:cstheme="minorHAnsi"/>
        </w:rPr>
        <w:t>Acquisizione generica delle risorse a finanziamento del TPL. Esempi:</w:t>
      </w:r>
    </w:p>
    <w:p w14:paraId="2D4D92F7" w14:textId="77777777" w:rsidR="0024083D" w:rsidRPr="004405E4" w:rsidRDefault="0024083D" w:rsidP="0024083D">
      <w:pPr>
        <w:pStyle w:val="NormaleWeb"/>
        <w:numPr>
          <w:ilvl w:val="1"/>
          <w:numId w:val="42"/>
        </w:numPr>
        <w:tabs>
          <w:tab w:val="left" w:pos="3402"/>
        </w:tabs>
        <w:spacing w:before="120" w:after="0" w:line="240" w:lineRule="auto"/>
        <w:ind w:left="1434" w:hanging="357"/>
        <w:rPr>
          <w:rFonts w:asciiTheme="minorHAnsi" w:hAnsiTheme="minorHAnsi" w:cstheme="minorHAnsi"/>
          <w:sz w:val="22"/>
          <w:szCs w:val="22"/>
        </w:rPr>
      </w:pPr>
      <w:r w:rsidRPr="004405E4">
        <w:rPr>
          <w:rStyle w:val="Enfasigrassetto"/>
          <w:rFonts w:asciiTheme="minorHAnsi" w:hAnsiTheme="minorHAnsi" w:cstheme="minorHAnsi"/>
          <w:sz w:val="22"/>
          <w:szCs w:val="22"/>
        </w:rPr>
        <w:t>Enterprise Zone Northern Line Extension (Londra):</w:t>
      </w:r>
      <w:r w:rsidRPr="004405E4">
        <w:rPr>
          <w:rFonts w:asciiTheme="minorHAnsi" w:hAnsiTheme="minorHAnsi" w:cstheme="minorHAnsi"/>
          <w:sz w:val="22"/>
          <w:szCs w:val="22"/>
        </w:rPr>
        <w:t xml:space="preserve"> le imprese situate nella zona contribuiscono con imposte per finanziare il prolungamento della linea metropolitana. Londra ha finora raccolto oltre 300 milioni di sterline.</w:t>
      </w:r>
    </w:p>
    <w:p w14:paraId="140BCC39" w14:textId="77777777" w:rsidR="0024083D" w:rsidRPr="004405E4" w:rsidRDefault="0024083D" w:rsidP="0024083D">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AMB Metropolitan Tax (Barcellona):</w:t>
      </w:r>
      <w:r w:rsidRPr="004405E4">
        <w:rPr>
          <w:rFonts w:asciiTheme="minorHAnsi" w:hAnsiTheme="minorHAnsi" w:cstheme="minorHAnsi"/>
          <w:sz w:val="22"/>
          <w:szCs w:val="22"/>
        </w:rPr>
        <w:t xml:space="preserve"> una sovrattassa imposta sui proprietari di immobili nei 18 municipi dell'area metropolitana, che genera circa 110 milioni di euro all'anno per sostenere il trasporto pubblico.</w:t>
      </w:r>
    </w:p>
    <w:p w14:paraId="23A66CEB" w14:textId="77777777" w:rsidR="0024083D" w:rsidRPr="004405E4" w:rsidRDefault="0024083D" w:rsidP="0024083D">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Mayoral Community Infrastructure Levy (Londra):</w:t>
      </w:r>
      <w:r w:rsidRPr="004405E4">
        <w:rPr>
          <w:rFonts w:asciiTheme="minorHAnsi" w:hAnsiTheme="minorHAnsi" w:cstheme="minorHAnsi"/>
          <w:sz w:val="22"/>
          <w:szCs w:val="22"/>
        </w:rPr>
        <w:t xml:space="preserve"> tassa per gli sviluppatori commerciali per finanziare il Crossrail.</w:t>
      </w:r>
    </w:p>
    <w:p w14:paraId="42AD2E6A" w14:textId="77777777" w:rsidR="0024083D" w:rsidRPr="004405E4" w:rsidRDefault="0024083D" w:rsidP="0024083D">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lastRenderedPageBreak/>
        <w:t>Legge sul finanziamento del trasporto pubblico (Barcellona):</w:t>
      </w:r>
      <w:r w:rsidRPr="004405E4">
        <w:rPr>
          <w:rFonts w:asciiTheme="minorHAnsi" w:hAnsiTheme="minorHAnsi" w:cstheme="minorHAnsi"/>
          <w:sz w:val="22"/>
          <w:szCs w:val="22"/>
        </w:rPr>
        <w:t xml:space="preserve"> imposte su attività economiche per coprire i costi del trasporto pubblico, con un gettito stimato di 75 milioni di euro annuali.</w:t>
      </w:r>
    </w:p>
    <w:p w14:paraId="08DA7772" w14:textId="77777777" w:rsidR="0024083D" w:rsidRPr="004405E4" w:rsidRDefault="0024083D" w:rsidP="0024083D">
      <w:pPr>
        <w:pStyle w:val="NormaleWeb"/>
        <w:numPr>
          <w:ilvl w:val="1"/>
          <w:numId w:val="42"/>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Earn-Back Model (Manchester):</w:t>
      </w:r>
      <w:r w:rsidRPr="004405E4">
        <w:rPr>
          <w:rFonts w:asciiTheme="minorHAnsi" w:hAnsiTheme="minorHAnsi" w:cstheme="minorHAnsi"/>
          <w:sz w:val="22"/>
          <w:szCs w:val="22"/>
        </w:rPr>
        <w:t xml:space="preserve"> la Greater Manchester trattiene una parte dell’aumento delle imposte generate dagli investimenti in infrastrutture. Ad esempio, 30 milioni di sterline all’anno sono stati utilizzati per migliorare il sistema di trasporto locale.</w:t>
      </w:r>
    </w:p>
    <w:p w14:paraId="40250936" w14:textId="77777777" w:rsidR="0024083D" w:rsidRPr="004405E4" w:rsidRDefault="0024083D" w:rsidP="0024083D">
      <w:pPr>
        <w:pStyle w:val="Paragrafoelenco"/>
        <w:numPr>
          <w:ilvl w:val="0"/>
          <w:numId w:val="47"/>
        </w:numPr>
        <w:tabs>
          <w:tab w:val="left" w:pos="3402"/>
        </w:tabs>
        <w:spacing w:before="120" w:after="0" w:line="240" w:lineRule="auto"/>
        <w:contextualSpacing w:val="0"/>
        <w:rPr>
          <w:rFonts w:cstheme="minorHAnsi"/>
        </w:rPr>
      </w:pPr>
      <w:r w:rsidRPr="004405E4">
        <w:rPr>
          <w:rFonts w:cstheme="minorHAnsi"/>
        </w:rPr>
        <w:t>Acquisizione mirata delle risorse a finanziamento del TPL</w:t>
      </w:r>
      <w:r w:rsidRPr="004405E4">
        <w:rPr>
          <w:rFonts w:cstheme="minorHAnsi"/>
          <w:b/>
          <w:bCs/>
        </w:rPr>
        <w:t xml:space="preserve">. </w:t>
      </w:r>
      <w:r w:rsidRPr="004405E4">
        <w:rPr>
          <w:rFonts w:cstheme="minorHAnsi"/>
        </w:rPr>
        <w:t>Esempi:</w:t>
      </w:r>
    </w:p>
    <w:p w14:paraId="67DF2A51" w14:textId="77777777" w:rsidR="0024083D" w:rsidRPr="004405E4" w:rsidRDefault="0024083D" w:rsidP="0024083D">
      <w:pPr>
        <w:pStyle w:val="NormaleWeb"/>
        <w:numPr>
          <w:ilvl w:val="1"/>
          <w:numId w:val="43"/>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Development Rights Auction Model (Londra):</w:t>
      </w:r>
      <w:r w:rsidRPr="004405E4">
        <w:rPr>
          <w:rFonts w:asciiTheme="minorHAnsi" w:hAnsiTheme="minorHAnsi" w:cstheme="minorHAnsi"/>
          <w:sz w:val="22"/>
          <w:szCs w:val="22"/>
        </w:rPr>
        <w:t xml:space="preserve"> i proprietari di terreni nelle aree di sviluppo possono mettere all’asta i loro diritti per finanziare il trasporto pubblico.</w:t>
      </w:r>
    </w:p>
    <w:p w14:paraId="77674D20" w14:textId="77777777" w:rsidR="0024083D" w:rsidRPr="004405E4" w:rsidRDefault="0024083D" w:rsidP="0024083D">
      <w:pPr>
        <w:pStyle w:val="NormaleWeb"/>
        <w:numPr>
          <w:ilvl w:val="1"/>
          <w:numId w:val="43"/>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Diritti di denominazione Emirates Air Line (Londra):</w:t>
      </w:r>
      <w:r w:rsidRPr="004405E4">
        <w:rPr>
          <w:rFonts w:asciiTheme="minorHAnsi" w:hAnsiTheme="minorHAnsi" w:cstheme="minorHAnsi"/>
          <w:sz w:val="22"/>
          <w:szCs w:val="22"/>
        </w:rPr>
        <w:t xml:space="preserve"> un accordo commerciale ha permesso alla Emirates di sponsorizzare una funivia in cambio di visibilità e di una parte dei costi di gestione. Il contratto con Emirates ha portato circa 36 milioni di sterline in 10 anni, finanziando una parte significativa dei costi operativi della funivia sul Tamigi.</w:t>
      </w:r>
    </w:p>
    <w:p w14:paraId="5106AD73" w14:textId="77777777" w:rsidR="0024083D" w:rsidRPr="004405E4" w:rsidRDefault="0024083D" w:rsidP="0024083D">
      <w:pPr>
        <w:pStyle w:val="NormaleWeb"/>
        <w:numPr>
          <w:ilvl w:val="1"/>
          <w:numId w:val="43"/>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Sviluppo legato alla stazione:</w:t>
      </w:r>
      <w:r w:rsidRPr="004405E4">
        <w:rPr>
          <w:rFonts w:asciiTheme="minorHAnsi" w:hAnsiTheme="minorHAnsi" w:cstheme="minorHAnsi"/>
          <w:sz w:val="22"/>
          <w:szCs w:val="22"/>
        </w:rPr>
        <w:t xml:space="preserve"> l’integrazione di nuove infrastrutture con aree commerciali permette di generare entrate aggiuntive.</w:t>
      </w:r>
    </w:p>
    <w:p w14:paraId="0838F31E" w14:textId="77777777" w:rsidR="0024083D" w:rsidRPr="004405E4" w:rsidRDefault="0024083D" w:rsidP="0024083D">
      <w:pPr>
        <w:pStyle w:val="Paragrafoelenco"/>
        <w:numPr>
          <w:ilvl w:val="0"/>
          <w:numId w:val="47"/>
        </w:numPr>
        <w:tabs>
          <w:tab w:val="left" w:pos="3402"/>
        </w:tabs>
        <w:spacing w:before="120" w:after="0" w:line="240" w:lineRule="auto"/>
        <w:contextualSpacing w:val="0"/>
        <w:rPr>
          <w:rFonts w:cstheme="minorHAnsi"/>
        </w:rPr>
      </w:pPr>
      <w:r w:rsidRPr="004405E4">
        <w:rPr>
          <w:rFonts w:cstheme="minorHAnsi"/>
        </w:rPr>
        <w:t>Trasferimenti da privato a pubblico</w:t>
      </w:r>
      <w:r w:rsidRPr="004405E4">
        <w:rPr>
          <w:rFonts w:cstheme="minorHAnsi"/>
          <w:b/>
          <w:bCs/>
        </w:rPr>
        <w:t xml:space="preserve">. </w:t>
      </w:r>
      <w:r w:rsidRPr="004405E4">
        <w:rPr>
          <w:rFonts w:cstheme="minorHAnsi"/>
        </w:rPr>
        <w:t>Esempi:</w:t>
      </w:r>
    </w:p>
    <w:p w14:paraId="0BD36D50" w14:textId="77777777" w:rsidR="0024083D" w:rsidRPr="004405E4" w:rsidRDefault="0024083D" w:rsidP="0024083D">
      <w:pPr>
        <w:pStyle w:val="NormaleWeb"/>
        <w:numPr>
          <w:ilvl w:val="0"/>
          <w:numId w:val="44"/>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Prelievo sul carburante (Barcellona e Parigi):</w:t>
      </w:r>
      <w:r w:rsidRPr="004405E4">
        <w:rPr>
          <w:rFonts w:asciiTheme="minorHAnsi" w:hAnsiTheme="minorHAnsi" w:cstheme="minorHAnsi"/>
          <w:sz w:val="22"/>
          <w:szCs w:val="22"/>
        </w:rPr>
        <w:t xml:space="preserve"> aumento del prezzo dei carburanti per finanziare il trasporto pubblico.</w:t>
      </w:r>
    </w:p>
    <w:p w14:paraId="49155E5E" w14:textId="77777777" w:rsidR="0024083D" w:rsidRPr="004405E4" w:rsidRDefault="0024083D" w:rsidP="0024083D">
      <w:pPr>
        <w:pStyle w:val="NormaleWeb"/>
        <w:numPr>
          <w:ilvl w:val="0"/>
          <w:numId w:val="44"/>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Tasse sui parcheggi (Barcellona):</w:t>
      </w:r>
      <w:r w:rsidRPr="004405E4">
        <w:rPr>
          <w:rFonts w:asciiTheme="minorHAnsi" w:hAnsiTheme="minorHAnsi" w:cstheme="minorHAnsi"/>
          <w:sz w:val="22"/>
          <w:szCs w:val="22"/>
        </w:rPr>
        <w:t xml:space="preserve"> imposte sulle aree di sosta per ridurre il traffico e finanziare il trasporto.</w:t>
      </w:r>
    </w:p>
    <w:p w14:paraId="53D220DA" w14:textId="77777777" w:rsidR="0024083D" w:rsidRPr="004405E4" w:rsidRDefault="0024083D" w:rsidP="0024083D">
      <w:pPr>
        <w:pStyle w:val="NormaleWeb"/>
        <w:numPr>
          <w:ilvl w:val="0"/>
          <w:numId w:val="44"/>
        </w:numPr>
        <w:tabs>
          <w:tab w:val="left" w:pos="3402"/>
        </w:tabs>
        <w:spacing w:before="120" w:after="0" w:line="240" w:lineRule="auto"/>
        <w:ind w:left="1418"/>
        <w:rPr>
          <w:rStyle w:val="Enfasigrassetto"/>
          <w:rFonts w:asciiTheme="minorHAnsi" w:hAnsiTheme="minorHAnsi" w:cstheme="minorHAnsi"/>
          <w:b w:val="0"/>
          <w:bCs w:val="0"/>
          <w:sz w:val="22"/>
          <w:szCs w:val="22"/>
        </w:rPr>
      </w:pPr>
      <w:r w:rsidRPr="004405E4">
        <w:rPr>
          <w:rStyle w:val="Enfasigrassetto"/>
          <w:rFonts w:asciiTheme="minorHAnsi" w:hAnsiTheme="minorHAnsi" w:cstheme="minorHAnsi"/>
          <w:sz w:val="22"/>
          <w:szCs w:val="22"/>
        </w:rPr>
        <w:t>Tariffe di congestione/accesso (Helsinki):</w:t>
      </w:r>
      <w:r w:rsidRPr="004405E4">
        <w:rPr>
          <w:rFonts w:asciiTheme="minorHAnsi" w:hAnsiTheme="minorHAnsi" w:cstheme="minorHAnsi"/>
          <w:sz w:val="22"/>
          <w:szCs w:val="22"/>
        </w:rPr>
        <w:t xml:space="preserve"> il gettito derivante da pedaggi urbani verrebbe destinato al trasporto pubblico.</w:t>
      </w:r>
      <w:r w:rsidRPr="004405E4">
        <w:rPr>
          <w:rStyle w:val="Enfasigrassetto"/>
          <w:rFonts w:asciiTheme="minorHAnsi" w:hAnsiTheme="minorHAnsi" w:cstheme="minorHAnsi"/>
          <w:sz w:val="22"/>
          <w:szCs w:val="22"/>
        </w:rPr>
        <w:t xml:space="preserve"> </w:t>
      </w:r>
    </w:p>
    <w:p w14:paraId="3F4329D5" w14:textId="77777777" w:rsidR="0024083D" w:rsidRPr="004405E4" w:rsidRDefault="0024083D" w:rsidP="0024083D">
      <w:pPr>
        <w:pStyle w:val="NormaleWeb"/>
        <w:numPr>
          <w:ilvl w:val="0"/>
          <w:numId w:val="44"/>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Tassa di accesso per autocarri e automobili (Parigi/Île-de-France):</w:t>
      </w:r>
      <w:r w:rsidRPr="004405E4">
        <w:rPr>
          <w:rFonts w:asciiTheme="minorHAnsi" w:hAnsiTheme="minorHAnsi" w:cstheme="minorHAnsi"/>
          <w:sz w:val="22"/>
          <w:szCs w:val="22"/>
        </w:rPr>
        <w:t xml:space="preserve"> ipotesi di imposta per ridurre la congestione.</w:t>
      </w:r>
    </w:p>
    <w:p w14:paraId="0EA893AB" w14:textId="77777777" w:rsidR="0024083D" w:rsidRPr="004405E4" w:rsidRDefault="0024083D" w:rsidP="0024083D">
      <w:pPr>
        <w:pStyle w:val="Paragrafoelenco"/>
        <w:numPr>
          <w:ilvl w:val="0"/>
          <w:numId w:val="47"/>
        </w:numPr>
        <w:tabs>
          <w:tab w:val="left" w:pos="3402"/>
        </w:tabs>
        <w:spacing w:before="120" w:after="0" w:line="240" w:lineRule="auto"/>
        <w:contextualSpacing w:val="0"/>
        <w:rPr>
          <w:rFonts w:cstheme="minorHAnsi"/>
        </w:rPr>
      </w:pPr>
      <w:r w:rsidRPr="004405E4">
        <w:rPr>
          <w:rFonts w:cstheme="minorHAnsi"/>
        </w:rPr>
        <w:t>Altre soluzioni innovative: Iniziative ibride o approcci alternativi come il finanziamento tramite crowdfunding o la vendita di spazi pubblicitari.</w:t>
      </w:r>
    </w:p>
    <w:p w14:paraId="7435BEF1" w14:textId="77777777" w:rsidR="0024083D" w:rsidRPr="004405E4" w:rsidRDefault="0024083D" w:rsidP="0024083D">
      <w:pPr>
        <w:pStyle w:val="NormaleWeb"/>
        <w:numPr>
          <w:ilvl w:val="0"/>
          <w:numId w:val="44"/>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Miglioramento della sicurezza delle entrate (Budapest e Parigi)</w:t>
      </w:r>
      <w:r w:rsidRPr="004405E4">
        <w:rPr>
          <w:rStyle w:val="Enfasigrassetto"/>
          <w:rFonts w:asciiTheme="minorHAnsi" w:hAnsiTheme="minorHAnsi" w:cstheme="minorHAnsi"/>
          <w:b w:val="0"/>
          <w:sz w:val="22"/>
          <w:szCs w:val="22"/>
        </w:rPr>
        <w:t>: implementazione di sistemi avanzati per la riscossione delle tariffe.</w:t>
      </w:r>
    </w:p>
    <w:p w14:paraId="4CEB09C1" w14:textId="77777777" w:rsidR="0024083D" w:rsidRPr="004405E4" w:rsidRDefault="0024083D" w:rsidP="0024083D">
      <w:pPr>
        <w:pStyle w:val="NormaleWeb"/>
        <w:numPr>
          <w:ilvl w:val="0"/>
          <w:numId w:val="44"/>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Riduzione dell’IVA per il trasporto pubblico (Parigi):</w:t>
      </w:r>
      <w:r w:rsidRPr="004405E4">
        <w:rPr>
          <w:rStyle w:val="Enfasigrassetto"/>
          <w:rFonts w:asciiTheme="minorHAnsi" w:hAnsiTheme="minorHAnsi" w:cstheme="minorHAnsi"/>
          <w:b w:val="0"/>
          <w:sz w:val="22"/>
          <w:szCs w:val="22"/>
        </w:rPr>
        <w:t xml:space="preserve"> ipotesi di abbassamento dell’IVA sui biglietti per migliorare la sostenibilità economica del settore.</w:t>
      </w:r>
    </w:p>
    <w:p w14:paraId="6FE201A9" w14:textId="77777777" w:rsidR="0024083D" w:rsidRDefault="0024083D" w:rsidP="0024083D">
      <w:pPr>
        <w:pStyle w:val="Titolo3"/>
        <w:ind w:left="720"/>
      </w:pPr>
      <w:bookmarkStart w:id="261" w:name="_Toc1164370174"/>
      <w:bookmarkStart w:id="262" w:name="_Toc197695695"/>
      <w:bookmarkStart w:id="263" w:name="_Toc204328736"/>
      <w:bookmarkStart w:id="264" w:name="_Toc193218188"/>
      <w:bookmarkStart w:id="265" w:name="_Toc205213736"/>
      <w:r>
        <w:t>La digitalizzazione e la monetizzazione dei dati</w:t>
      </w:r>
      <w:bookmarkEnd w:id="261"/>
      <w:bookmarkEnd w:id="262"/>
      <w:bookmarkEnd w:id="263"/>
      <w:bookmarkEnd w:id="265"/>
    </w:p>
    <w:p w14:paraId="4C669459" w14:textId="77777777" w:rsidR="0024083D" w:rsidRPr="008D4AB1" w:rsidRDefault="0024083D" w:rsidP="0024083D">
      <w:pPr>
        <w:spacing w:before="120" w:after="0" w:line="240" w:lineRule="auto"/>
        <w:rPr>
          <w:rFonts w:cstheme="minorHAnsi"/>
        </w:rPr>
      </w:pPr>
      <w:r w:rsidRPr="00265650">
        <w:rPr>
          <w:rFonts w:cstheme="minorHAnsi"/>
        </w:rPr>
        <w:t>La monetizzazione dei dati rappresenta un ambito emergente e rilevante per le aziende di trasporto pubblico locale (TPL), contribuendo significativamente alla voce dei ricavi. La "Data Monetization" è il processo mediante il quale le aziende trasformano i dati, sia grezzi che elaborati, in asset economicamente vantaggiosi. In un contesto contemporaneo dove i dati sono spesso definiti come "il nuovo petrolio", questo processo è cruciale per generare valore aggiunto.</w:t>
      </w:r>
      <w:r>
        <w:rPr>
          <w:rFonts w:cstheme="minorHAnsi"/>
        </w:rPr>
        <w:tab/>
      </w:r>
    </w:p>
    <w:p w14:paraId="1656002A" w14:textId="77777777" w:rsidR="0024083D" w:rsidRPr="00265650" w:rsidRDefault="0024083D" w:rsidP="0024083D">
      <w:pPr>
        <w:spacing w:before="120" w:after="0" w:line="240" w:lineRule="auto"/>
        <w:rPr>
          <w:rFonts w:cstheme="minorHAnsi"/>
        </w:rPr>
      </w:pPr>
      <w:r w:rsidRPr="00265650">
        <w:rPr>
          <w:rFonts w:cstheme="minorHAnsi"/>
        </w:rPr>
        <w:t>La monetizzazione dei dati è una scelta strategica che consente alle aziende di TPL di ottenere un vantaggio competitivo e acquisire quote di mercato nel settore della mobilità. Esistono diversi modelli attraverso i quali un'azienda può monetizzare i propri dati:</w:t>
      </w:r>
    </w:p>
    <w:p w14:paraId="7C50F8F6" w14:textId="77777777" w:rsidR="0024083D" w:rsidRPr="00DD7089" w:rsidRDefault="0024083D" w:rsidP="0024083D">
      <w:pPr>
        <w:pStyle w:val="Paragrafoelenco"/>
        <w:numPr>
          <w:ilvl w:val="0"/>
          <w:numId w:val="48"/>
        </w:numPr>
        <w:spacing w:before="120" w:after="0" w:line="240" w:lineRule="auto"/>
        <w:rPr>
          <w:rFonts w:cstheme="minorHAnsi"/>
        </w:rPr>
      </w:pPr>
      <w:r w:rsidRPr="00DD7089">
        <w:rPr>
          <w:rFonts w:cstheme="minorHAnsi"/>
        </w:rPr>
        <w:lastRenderedPageBreak/>
        <w:t>Vendita diretta: Questo modello prevede la vendita diretta di dati a terze parti. È fondamentale garantire la conformità alle normative sulla privacy e la protezione dei dati.</w:t>
      </w:r>
    </w:p>
    <w:p w14:paraId="496BEDED" w14:textId="77777777" w:rsidR="0024083D" w:rsidRPr="00DD7089" w:rsidRDefault="0024083D" w:rsidP="0024083D">
      <w:pPr>
        <w:pStyle w:val="Paragrafoelenco"/>
        <w:numPr>
          <w:ilvl w:val="0"/>
          <w:numId w:val="48"/>
        </w:numPr>
        <w:spacing w:before="120" w:after="0" w:line="240" w:lineRule="auto"/>
        <w:rPr>
          <w:rFonts w:cstheme="minorHAnsi"/>
        </w:rPr>
      </w:pPr>
      <w:r w:rsidRPr="00DD7089">
        <w:rPr>
          <w:rFonts w:cstheme="minorHAnsi"/>
          <w:bCs/>
        </w:rPr>
        <w:t>Data as a Service (DaaS)</w:t>
      </w:r>
      <w:r w:rsidRPr="00DD7089">
        <w:rPr>
          <w:rFonts w:cstheme="minorHAnsi"/>
        </w:rPr>
        <w:t>: Offrire i dati come servizio, dove i clienti possono accedere ai dati grezzi o aggregati per le loro analisi. Questo modello è semplice e diretto</w:t>
      </w:r>
      <w:r>
        <w:rPr>
          <w:rFonts w:cstheme="minorHAnsi"/>
        </w:rPr>
        <w:t>.</w:t>
      </w:r>
    </w:p>
    <w:p w14:paraId="4C9380FA" w14:textId="77777777" w:rsidR="0024083D" w:rsidRPr="00DD7089" w:rsidRDefault="0024083D" w:rsidP="0024083D">
      <w:pPr>
        <w:pStyle w:val="Paragrafoelenco"/>
        <w:numPr>
          <w:ilvl w:val="0"/>
          <w:numId w:val="48"/>
        </w:numPr>
        <w:spacing w:before="120" w:after="0" w:line="240" w:lineRule="auto"/>
        <w:rPr>
          <w:rFonts w:cstheme="minorHAnsi"/>
        </w:rPr>
      </w:pPr>
      <w:r w:rsidRPr="00DD7089">
        <w:rPr>
          <w:rFonts w:cstheme="minorHAnsi"/>
        </w:rPr>
        <w:t>Miglioramento delle operazioni: I dati vengono utilizzati internamente per migliorare l'efficienza operativa, ridurre i costi e aumentare i margini di profitto.</w:t>
      </w:r>
    </w:p>
    <w:p w14:paraId="51C7D587" w14:textId="77777777" w:rsidR="0024083D" w:rsidRPr="00DD7089" w:rsidRDefault="0024083D" w:rsidP="0024083D">
      <w:pPr>
        <w:pStyle w:val="Paragrafoelenco"/>
        <w:numPr>
          <w:ilvl w:val="0"/>
          <w:numId w:val="48"/>
        </w:numPr>
        <w:spacing w:before="120" w:after="0" w:line="240" w:lineRule="auto"/>
        <w:rPr>
          <w:rFonts w:cstheme="minorHAnsi"/>
          <w:bCs/>
        </w:rPr>
      </w:pPr>
      <w:r w:rsidRPr="00DD7089">
        <w:rPr>
          <w:rFonts w:cstheme="minorHAnsi"/>
        </w:rPr>
        <w:t>Insight as a Service (IaaS)</w:t>
      </w:r>
      <w:r w:rsidRPr="00DD7089">
        <w:rPr>
          <w:rFonts w:cstheme="minorHAnsi"/>
          <w:bCs/>
        </w:rPr>
        <w:t>: Analizzare i dati raccolti per ricavare insight utili e venderli. Ad esempio, analisi sul comportamento dei conducenti, efficienza delle rotte, o manutenzione predittiva.</w:t>
      </w:r>
    </w:p>
    <w:p w14:paraId="7A578CA8" w14:textId="77777777" w:rsidR="0024083D" w:rsidRPr="00DD7089" w:rsidRDefault="0024083D" w:rsidP="0024083D">
      <w:pPr>
        <w:pStyle w:val="Paragrafoelenco"/>
        <w:numPr>
          <w:ilvl w:val="0"/>
          <w:numId w:val="48"/>
        </w:numPr>
        <w:spacing w:before="120" w:after="0" w:line="240" w:lineRule="auto"/>
        <w:rPr>
          <w:rFonts w:cstheme="minorHAnsi"/>
        </w:rPr>
      </w:pPr>
      <w:r w:rsidRPr="00DD7089">
        <w:rPr>
          <w:rFonts w:cstheme="minorHAnsi"/>
        </w:rPr>
        <w:t>Prodotti e servizi basati sui dati: I dati vengono integrati in prodotti o servizi esistenti per aggiungere valore e differenziarsi dai concorrenti, come nei servizi assicurativi.</w:t>
      </w:r>
    </w:p>
    <w:p w14:paraId="0BBC0976" w14:textId="77777777" w:rsidR="0024083D" w:rsidRPr="00265650" w:rsidRDefault="0024083D" w:rsidP="0024083D">
      <w:pPr>
        <w:spacing w:before="120" w:after="0" w:line="240" w:lineRule="auto"/>
        <w:rPr>
          <w:rFonts w:cstheme="minorHAnsi"/>
        </w:rPr>
      </w:pPr>
      <w:r w:rsidRPr="00265650">
        <w:rPr>
          <w:rFonts w:cstheme="minorHAnsi"/>
        </w:rPr>
        <w:t>Alcune aziende di trasporto pubblico che già utilizzano la monetizzazione dei dati per incrementare i loro profitti includono:</w:t>
      </w:r>
    </w:p>
    <w:p w14:paraId="47C3B43B" w14:textId="77777777" w:rsidR="0024083D" w:rsidRPr="00DD7089" w:rsidRDefault="0024083D" w:rsidP="0024083D">
      <w:pPr>
        <w:pStyle w:val="Paragrafoelenco"/>
        <w:numPr>
          <w:ilvl w:val="0"/>
          <w:numId w:val="49"/>
        </w:numPr>
        <w:spacing w:before="120" w:after="0" w:line="240" w:lineRule="auto"/>
        <w:rPr>
          <w:rFonts w:cstheme="minorHAnsi"/>
        </w:rPr>
      </w:pPr>
      <w:r w:rsidRPr="00DD7089">
        <w:rPr>
          <w:rFonts w:cstheme="minorHAnsi"/>
        </w:rPr>
        <w:t>Transport for London (TfL): TfL ha iniziato a monetizzare i dati raccolti dai suoi sistemi di trasporto pubblico, utilizzandoli per migliorare l'efficienza operativa e vendendoli a terze parti per analisi di mercato e pianificazione urbana.</w:t>
      </w:r>
    </w:p>
    <w:p w14:paraId="39E61666" w14:textId="77777777" w:rsidR="0024083D" w:rsidRPr="00DD7089" w:rsidRDefault="0024083D" w:rsidP="0024083D">
      <w:pPr>
        <w:pStyle w:val="Paragrafoelenco"/>
        <w:numPr>
          <w:ilvl w:val="0"/>
          <w:numId w:val="49"/>
        </w:numPr>
        <w:spacing w:before="120" w:after="0" w:line="240" w:lineRule="auto"/>
        <w:rPr>
          <w:rFonts w:cstheme="minorHAnsi"/>
        </w:rPr>
      </w:pPr>
      <w:r w:rsidRPr="00DD7089">
        <w:rPr>
          <w:rFonts w:cstheme="minorHAnsi"/>
        </w:rPr>
        <w:t>Metropolitan Transportation Authority (MTA) di New York: La MTA utilizza i dati raccolti dai suoi sistemi di trasporto per migliorare la gestione delle operazioni e venderli a terze parti per analisi di traffico, pianificazione urbana e miglioramento dei servizi.</w:t>
      </w:r>
    </w:p>
    <w:p w14:paraId="4AF60E29" w14:textId="77777777" w:rsidR="0024083D" w:rsidRPr="00DD7089" w:rsidRDefault="0024083D" w:rsidP="0024083D">
      <w:pPr>
        <w:pStyle w:val="Paragrafoelenco"/>
        <w:numPr>
          <w:ilvl w:val="0"/>
          <w:numId w:val="49"/>
        </w:numPr>
        <w:spacing w:before="120" w:after="0" w:line="240" w:lineRule="auto"/>
        <w:rPr>
          <w:rFonts w:cstheme="minorHAnsi"/>
        </w:rPr>
      </w:pPr>
      <w:r w:rsidRPr="00DD7089">
        <w:rPr>
          <w:rFonts w:cstheme="minorHAnsi"/>
        </w:rPr>
        <w:t>Régie Autonome des Transports Parisiens (RATP): La RATP utilizza i dati raccolti dai suoi sistemi di trasporto per migliorare l'efficienza operativa e venderli a terze parti per scopi di ricerca e analisi, ottimizzando le rotte e migliorando la qualità del servizio.</w:t>
      </w:r>
    </w:p>
    <w:p w14:paraId="5C8A2331" w14:textId="77777777" w:rsidR="0024083D" w:rsidRPr="00DD7089" w:rsidRDefault="0024083D" w:rsidP="0024083D">
      <w:pPr>
        <w:pStyle w:val="Paragrafoelenco"/>
        <w:numPr>
          <w:ilvl w:val="0"/>
          <w:numId w:val="49"/>
        </w:numPr>
        <w:spacing w:before="120" w:after="0" w:line="240" w:lineRule="auto"/>
        <w:rPr>
          <w:rFonts w:cstheme="minorHAnsi"/>
        </w:rPr>
      </w:pPr>
      <w:r w:rsidRPr="00DD7089">
        <w:rPr>
          <w:rFonts w:cstheme="minorHAnsi"/>
        </w:rPr>
        <w:t>Azienda Trasporti Milanesi (ATM): In Italia, l'ATM di Milano esplora la monetizzazione dei dati raccolti dai suoi sistemi di trasporto pubblico, utilizzandoli per migliorare la gestione delle operazioni e vendendoli a terze parti per analisi di mercato e pianificazione urbana.</w:t>
      </w:r>
    </w:p>
    <w:p w14:paraId="3A750902" w14:textId="77777777" w:rsidR="0024083D" w:rsidRPr="00265650" w:rsidRDefault="0024083D" w:rsidP="0024083D">
      <w:pPr>
        <w:spacing w:before="120" w:after="0" w:line="240" w:lineRule="auto"/>
        <w:rPr>
          <w:rFonts w:cstheme="minorHAnsi"/>
        </w:rPr>
      </w:pPr>
      <w:r w:rsidRPr="00265650">
        <w:rPr>
          <w:rFonts w:cstheme="minorHAnsi"/>
        </w:rPr>
        <w:t>Un ulteriore passo avanti si può ottenere con l’utilizzo di Intel</w:t>
      </w:r>
      <w:r>
        <w:rPr>
          <w:rFonts w:cstheme="minorHAnsi"/>
        </w:rPr>
        <w:t>lig</w:t>
      </w:r>
      <w:r w:rsidRPr="00265650">
        <w:rPr>
          <w:rFonts w:cstheme="minorHAnsi"/>
        </w:rPr>
        <w:t xml:space="preserve">enza </w:t>
      </w:r>
      <w:r>
        <w:rPr>
          <w:rFonts w:cstheme="minorHAnsi"/>
        </w:rPr>
        <w:t>A</w:t>
      </w:r>
      <w:r w:rsidRPr="00265650">
        <w:rPr>
          <w:rFonts w:cstheme="minorHAnsi"/>
        </w:rPr>
        <w:t xml:space="preserve">rtificiale </w:t>
      </w:r>
      <w:r>
        <w:rPr>
          <w:rFonts w:cstheme="minorHAnsi"/>
        </w:rPr>
        <w:t xml:space="preserve">AI </w:t>
      </w:r>
      <w:r w:rsidRPr="00265650">
        <w:rPr>
          <w:rFonts w:cstheme="minorHAnsi"/>
        </w:rPr>
        <w:t xml:space="preserve">e </w:t>
      </w:r>
      <w:r>
        <w:rPr>
          <w:rFonts w:cstheme="minorHAnsi"/>
        </w:rPr>
        <w:t>M</w:t>
      </w:r>
      <w:r w:rsidRPr="00265650">
        <w:rPr>
          <w:rFonts w:cstheme="minorHAnsi"/>
        </w:rPr>
        <w:t xml:space="preserve">achine </w:t>
      </w:r>
      <w:r>
        <w:rPr>
          <w:rFonts w:cstheme="minorHAnsi"/>
        </w:rPr>
        <w:t>L</w:t>
      </w:r>
      <w:r w:rsidRPr="00265650">
        <w:rPr>
          <w:rFonts w:cstheme="minorHAnsi"/>
        </w:rPr>
        <w:t>earning</w:t>
      </w:r>
      <w:r>
        <w:rPr>
          <w:rFonts w:cstheme="minorHAnsi"/>
        </w:rPr>
        <w:t xml:space="preserve"> ML che possono dare ulteriore valore aggiunto ai dati generati dalle aziende di TPL:</w:t>
      </w:r>
    </w:p>
    <w:p w14:paraId="36E77562" w14:textId="77777777" w:rsidR="0024083D" w:rsidRPr="00CA6030" w:rsidRDefault="0024083D" w:rsidP="0024083D">
      <w:pPr>
        <w:pStyle w:val="Paragrafoelenco"/>
        <w:numPr>
          <w:ilvl w:val="0"/>
          <w:numId w:val="50"/>
        </w:numPr>
        <w:spacing w:before="120" w:after="0" w:line="240" w:lineRule="auto"/>
        <w:rPr>
          <w:rFonts w:cstheme="minorHAnsi"/>
        </w:rPr>
      </w:pPr>
      <w:r w:rsidRPr="00CA6030">
        <w:rPr>
          <w:rFonts w:cstheme="minorHAnsi"/>
        </w:rPr>
        <w:t>Aumento della domanda di dati di alta qualità</w:t>
      </w:r>
      <w:r>
        <w:rPr>
          <w:rFonts w:cstheme="minorHAnsi"/>
        </w:rPr>
        <w:t>:</w:t>
      </w:r>
      <w:r w:rsidRPr="00CA6030">
        <w:rPr>
          <w:rFonts w:cstheme="minorHAnsi"/>
        </w:rPr>
        <w:t xml:space="preserve"> AI e ML richiedono dati di alta qualità per l’addestramento dei modelli. Questo ha aumentato la domanda di dataset precisi e affidabili, creando nuove opportunità di monetizzazione per le aziende di trasporto pubblico e logistica. Ad esempio, le aziende di trasporto possono vendere dati di traffico e mobilità a sviluppatori di app di navigazione e pianificazione dei percorsi.</w:t>
      </w:r>
    </w:p>
    <w:p w14:paraId="688EFA67" w14:textId="77777777" w:rsidR="0024083D" w:rsidRPr="00265650" w:rsidRDefault="0024083D" w:rsidP="0024083D">
      <w:pPr>
        <w:pStyle w:val="Paragrafoelenco"/>
        <w:numPr>
          <w:ilvl w:val="0"/>
          <w:numId w:val="50"/>
        </w:numPr>
        <w:spacing w:before="120" w:after="0" w:line="240" w:lineRule="auto"/>
        <w:rPr>
          <w:rFonts w:cstheme="minorHAnsi"/>
        </w:rPr>
      </w:pPr>
      <w:r w:rsidRPr="00CA6030">
        <w:rPr>
          <w:rFonts w:cstheme="minorHAnsi"/>
        </w:rPr>
        <w:t>Miglioramento dell'analisi dei dati</w:t>
      </w:r>
      <w:r w:rsidRPr="00265650">
        <w:rPr>
          <w:rFonts w:cstheme="minorHAnsi"/>
        </w:rPr>
        <w:t xml:space="preserve"> Le tecnologie di AI e ML permettono un’analisi più sofisticata e accurata dei dati. Le aziende di trasporto possono utilizzare questi strumenti per ottimizzare le rotte, ridurre i tempi di attesa e migliorare l’efficienza operativa. Ad esempio, i dati raccolti dai sensori sui veicoli possono essere analizzati per prevedere e prevenire guasti, miglior</w:t>
      </w:r>
      <w:r>
        <w:rPr>
          <w:rFonts w:cstheme="minorHAnsi"/>
        </w:rPr>
        <w:t>ando la manutenzione preventiva e stipulare accordi con i fornitori di autobus per monetizzare la propria esperienza.</w:t>
      </w:r>
    </w:p>
    <w:p w14:paraId="50293E66" w14:textId="77777777" w:rsidR="0024083D" w:rsidRPr="00265650" w:rsidRDefault="0024083D" w:rsidP="0024083D">
      <w:pPr>
        <w:pStyle w:val="Paragrafoelenco"/>
        <w:numPr>
          <w:ilvl w:val="0"/>
          <w:numId w:val="50"/>
        </w:numPr>
        <w:spacing w:before="120" w:after="0" w:line="240" w:lineRule="auto"/>
        <w:rPr>
          <w:rFonts w:cstheme="minorHAnsi"/>
        </w:rPr>
      </w:pPr>
      <w:r w:rsidRPr="00CA6030">
        <w:rPr>
          <w:rFonts w:cstheme="minorHAnsi"/>
        </w:rPr>
        <w:t>Personalizzazione e segmentazione</w:t>
      </w:r>
      <w:r w:rsidRPr="00265650">
        <w:rPr>
          <w:rFonts w:cstheme="minorHAnsi"/>
        </w:rPr>
        <w:t xml:space="preserve"> AI e ML consentono una segmentazione e personalizzazione più accurate dei servizi. Nel settore della mobilità, questo significa poter offrire servizi su misura per diverse categorie di utenti. Ad esempio, le aziende di trasporto pubblico possono utilizzare i dati per creare abbonamenti personalizzati basati sui modelli di utilizzo dei singoli utenti.</w:t>
      </w:r>
    </w:p>
    <w:p w14:paraId="594BA7FE" w14:textId="77777777" w:rsidR="0024083D" w:rsidRDefault="0024083D" w:rsidP="0024083D">
      <w:pPr>
        <w:pStyle w:val="Paragrafoelenco"/>
        <w:numPr>
          <w:ilvl w:val="0"/>
          <w:numId w:val="50"/>
        </w:numPr>
        <w:spacing w:before="120" w:after="0" w:line="240" w:lineRule="auto"/>
        <w:rPr>
          <w:rFonts w:cstheme="minorHAnsi"/>
        </w:rPr>
      </w:pPr>
      <w:r w:rsidRPr="00CA6030">
        <w:rPr>
          <w:rFonts w:cstheme="minorHAnsi"/>
        </w:rPr>
        <w:t>Sviluppo di nuovi modelli di business</w:t>
      </w:r>
      <w:r w:rsidRPr="00265650">
        <w:rPr>
          <w:rFonts w:cstheme="minorHAnsi"/>
        </w:rPr>
        <w:t xml:space="preserve"> AI e ML hanno contribuito allo sviluppo di nuovi modelli di business basati sui dati. Ad esempio, le piattaforme di ride-sharing utilizzano algoritmi di AI per ottimizzare l’allocazione dei veicoli e ridurre i tempi di attesa, migliorando l’esperienza dell’utente e aumentando i ricavi.</w:t>
      </w:r>
    </w:p>
    <w:p w14:paraId="4678AC6A" w14:textId="77777777" w:rsidR="0024083D" w:rsidRPr="00DD7089" w:rsidRDefault="0024083D" w:rsidP="0024083D">
      <w:pPr>
        <w:pStyle w:val="Paragrafoelenco"/>
        <w:numPr>
          <w:ilvl w:val="0"/>
          <w:numId w:val="50"/>
        </w:numPr>
        <w:spacing w:before="120" w:after="0" w:line="240" w:lineRule="auto"/>
        <w:rPr>
          <w:rFonts w:cstheme="minorHAnsi"/>
        </w:rPr>
      </w:pPr>
      <w:r w:rsidRPr="00DD7089">
        <w:rPr>
          <w:rFonts w:cstheme="minorHAnsi"/>
        </w:rPr>
        <w:lastRenderedPageBreak/>
        <w:t>Le strategie per la raccolta di dati a più alto valore aggiunto possono essere così sintetizzate:</w:t>
      </w:r>
    </w:p>
    <w:p w14:paraId="1E7B42FD" w14:textId="77777777" w:rsidR="0024083D" w:rsidRPr="00CA6030" w:rsidRDefault="0024083D" w:rsidP="0024083D">
      <w:pPr>
        <w:pStyle w:val="Paragrafoelenco"/>
        <w:numPr>
          <w:ilvl w:val="0"/>
          <w:numId w:val="50"/>
        </w:numPr>
        <w:spacing w:before="120" w:after="0" w:line="240" w:lineRule="auto"/>
        <w:rPr>
          <w:rFonts w:cstheme="minorHAnsi"/>
        </w:rPr>
      </w:pPr>
      <w:r w:rsidRPr="00CA6030">
        <w:rPr>
          <w:rFonts w:cstheme="minorHAnsi"/>
          <w:bCs/>
        </w:rPr>
        <w:t>Remunerazione per la condivisione dei dati</w:t>
      </w:r>
      <w:r>
        <w:rPr>
          <w:rFonts w:cstheme="minorHAnsi"/>
          <w:bCs/>
        </w:rPr>
        <w:t>:</w:t>
      </w:r>
      <w:r w:rsidRPr="00CA6030">
        <w:rPr>
          <w:rFonts w:cstheme="minorHAnsi"/>
        </w:rPr>
        <w:t xml:space="preserve"> Le aziende possono offrire incentivi agli utenti per il consenso all’uso dei loro dati. Ad esempio, un'azienda di trasporto pubblico potrebbe offrire sconti sugli abbonamenti in cambio del consenso all’uso dei dati di viaggio per analisi di mercato.</w:t>
      </w:r>
    </w:p>
    <w:p w14:paraId="79C5ADA3" w14:textId="77777777" w:rsidR="0024083D" w:rsidRPr="00CA6030" w:rsidRDefault="0024083D" w:rsidP="0024083D">
      <w:pPr>
        <w:pStyle w:val="Paragrafoelenco"/>
        <w:numPr>
          <w:ilvl w:val="0"/>
          <w:numId w:val="50"/>
        </w:numPr>
        <w:spacing w:before="120" w:after="0" w:line="240" w:lineRule="auto"/>
        <w:rPr>
          <w:rFonts w:cstheme="minorHAnsi"/>
        </w:rPr>
      </w:pPr>
      <w:r w:rsidRPr="00CA6030">
        <w:rPr>
          <w:rFonts w:cstheme="minorHAnsi"/>
          <w:bCs/>
        </w:rPr>
        <w:t>Modello federativo e market</w:t>
      </w:r>
      <w:r>
        <w:rPr>
          <w:rFonts w:cstheme="minorHAnsi"/>
          <w:bCs/>
        </w:rPr>
        <w:t>-</w:t>
      </w:r>
      <w:r w:rsidRPr="00CA6030">
        <w:rPr>
          <w:rFonts w:cstheme="minorHAnsi"/>
          <w:bCs/>
        </w:rPr>
        <w:t>place dei dati</w:t>
      </w:r>
      <w:r>
        <w:rPr>
          <w:rFonts w:cstheme="minorHAnsi"/>
          <w:bCs/>
        </w:rPr>
        <w:t>:</w:t>
      </w:r>
      <w:r w:rsidRPr="00CA6030">
        <w:rPr>
          <w:rFonts w:cstheme="minorHAnsi"/>
        </w:rPr>
        <w:t xml:space="preserve"> Un market</w:t>
      </w:r>
      <w:r>
        <w:rPr>
          <w:rFonts w:cstheme="minorHAnsi"/>
        </w:rPr>
        <w:t>-</w:t>
      </w:r>
      <w:r w:rsidRPr="00CA6030">
        <w:rPr>
          <w:rFonts w:cstheme="minorHAnsi"/>
        </w:rPr>
        <w:t xml:space="preserve">place federativo dei dati consente a diverse organizzazioni di condividere e accedere ai dati in modo sicuro. Ad esempio, le aziende di logistica possono condividere </w:t>
      </w:r>
      <w:r>
        <w:rPr>
          <w:rFonts w:cstheme="minorHAnsi"/>
        </w:rPr>
        <w:t>i dati del tpl</w:t>
      </w:r>
      <w:r w:rsidRPr="00CA6030">
        <w:rPr>
          <w:rFonts w:cstheme="minorHAnsi"/>
        </w:rPr>
        <w:t xml:space="preserve"> per ottimizzare le rotte e ridurre i costi operativi, mantenendo il controllo sui propri dati.</w:t>
      </w:r>
    </w:p>
    <w:p w14:paraId="2FA33C3A" w14:textId="77777777" w:rsidR="0024083D" w:rsidRPr="00CA6030" w:rsidRDefault="0024083D" w:rsidP="0024083D">
      <w:pPr>
        <w:pStyle w:val="Paragrafoelenco"/>
        <w:numPr>
          <w:ilvl w:val="0"/>
          <w:numId w:val="50"/>
        </w:numPr>
        <w:spacing w:before="120" w:after="0" w:line="240" w:lineRule="auto"/>
        <w:rPr>
          <w:rFonts w:cstheme="minorHAnsi"/>
        </w:rPr>
      </w:pPr>
      <w:r w:rsidRPr="00CA6030">
        <w:rPr>
          <w:rFonts w:cstheme="minorHAnsi"/>
          <w:bCs/>
        </w:rPr>
        <w:t>Mercato dei dati sintetici</w:t>
      </w:r>
      <w:r>
        <w:rPr>
          <w:rFonts w:cstheme="minorHAnsi"/>
          <w:bCs/>
        </w:rPr>
        <w:t>:</w:t>
      </w:r>
      <w:r w:rsidRPr="00CA6030">
        <w:rPr>
          <w:rFonts w:cstheme="minorHAnsi"/>
        </w:rPr>
        <w:t xml:space="preserve"> La generazione di dati sintetici permette di simulare dati reali per addestrare modelli di AI senza compromettere la privacy. Ad esempio, le aziende di trasporto possono utilizzare dati sintetici per simulare scenari di traffico e testare nuove strategie di gestione della mobilità.</w:t>
      </w:r>
    </w:p>
    <w:p w14:paraId="244A5A35" w14:textId="77777777" w:rsidR="0024083D" w:rsidRDefault="0024083D" w:rsidP="0024083D">
      <w:pPr>
        <w:spacing w:before="120" w:after="0" w:line="240" w:lineRule="auto"/>
        <w:rPr>
          <w:rFonts w:cstheme="minorHAnsi"/>
        </w:rPr>
      </w:pPr>
      <w:r w:rsidRPr="00265650">
        <w:rPr>
          <w:rFonts w:cstheme="minorHAnsi"/>
        </w:rPr>
        <w:t>Questi esempi dimostrano come le aziende di trasporto pubblico possano utilizzare i dati raccolti per migliorare l'efficienza operativa e generare ricavi aggiuntivi. La monetizzazione dei dati rappresenta una modalità di finanziamento del servizio che può incrementare i ricavi e ridurre la quota di finanziamento pubblico necessaria a garantire la sostenibilità dei servizi.</w:t>
      </w:r>
    </w:p>
    <w:p w14:paraId="537374A0" w14:textId="77777777" w:rsidR="0024083D" w:rsidRPr="00A06F5A" w:rsidRDefault="0024083D" w:rsidP="0024083D">
      <w:pPr>
        <w:spacing w:before="120" w:after="0" w:line="240" w:lineRule="auto"/>
        <w:rPr>
          <w:rFonts w:cstheme="minorHAnsi"/>
        </w:rPr>
      </w:pPr>
      <w:r>
        <w:rPr>
          <w:rFonts w:cstheme="minorHAnsi"/>
        </w:rPr>
        <w:t>Ci sono ulteriori ambiti nei quali l’utilizzo dei dati generati dalle flotte di tpl possono fornire supporto alla gestione della cosa pubblica; ad esempio, i</w:t>
      </w:r>
      <w:r w:rsidRPr="00A06F5A">
        <w:rPr>
          <w:rFonts w:cstheme="minorHAnsi"/>
        </w:rPr>
        <w:t xml:space="preserve"> dati possono essere impiegati per osservare e analizzare vari aspetti della rete stradale e urbana:</w:t>
      </w:r>
    </w:p>
    <w:p w14:paraId="0F4E0202" w14:textId="77777777" w:rsidR="0024083D" w:rsidRPr="00A06F5A" w:rsidRDefault="0024083D" w:rsidP="0024083D">
      <w:pPr>
        <w:pStyle w:val="Paragrafoelenco"/>
        <w:numPr>
          <w:ilvl w:val="0"/>
          <w:numId w:val="51"/>
        </w:numPr>
        <w:spacing w:before="120" w:after="0" w:line="240" w:lineRule="auto"/>
        <w:rPr>
          <w:rFonts w:cstheme="minorHAnsi"/>
          <w:bCs/>
        </w:rPr>
      </w:pPr>
      <w:r w:rsidRPr="00A06F5A">
        <w:rPr>
          <w:rFonts w:cstheme="minorHAnsi"/>
          <w:bCs/>
        </w:rPr>
        <w:t>Monitoraggio dello stato del manto stradale: I veicoli delle flotte di TPL possono essere equipaggiati con sensori che rilevano le condizioni del manto stradale. Questi dati possono essere utilizzati per identificare aree che necessitano di manutenzione, permettendo agli enti proprietari delle strade di intervenire tempestivamente e ridurre i costi di monitoraggio. Ad esempio, i sensori possono rilevare buche o deformazioni, segnalando la necessità di riparazioni.</w:t>
      </w:r>
    </w:p>
    <w:p w14:paraId="3EAFBF13" w14:textId="77777777" w:rsidR="0024083D" w:rsidRPr="00A06F5A" w:rsidRDefault="0024083D" w:rsidP="0024083D">
      <w:pPr>
        <w:pStyle w:val="Paragrafoelenco"/>
        <w:numPr>
          <w:ilvl w:val="0"/>
          <w:numId w:val="51"/>
        </w:numPr>
        <w:spacing w:before="120" w:after="0" w:line="240" w:lineRule="auto"/>
        <w:rPr>
          <w:rFonts w:cstheme="minorHAnsi"/>
          <w:bCs/>
        </w:rPr>
      </w:pPr>
      <w:r w:rsidRPr="00A06F5A">
        <w:rPr>
          <w:rFonts w:cstheme="minorHAnsi"/>
          <w:bCs/>
        </w:rPr>
        <w:t>Analisi della segnaletica stradale: Le flotte di TPL possono raccogliere dati sulla segnaletica stradale, inclusa la presenza di segnaletica abusiva o danneggiata. Questi dati possono essere condivisi con le autorità locali per garantire che la segnaletica sia conforme alle normative e migliorare la sicurezza stradale. Ad esempio, la rilevazione di segnali stradali mancanti o illeggibili può aiutare a prevenire incidenti.</w:t>
      </w:r>
    </w:p>
    <w:p w14:paraId="77420627" w14:textId="77777777" w:rsidR="0024083D" w:rsidRPr="00A06F5A" w:rsidRDefault="0024083D" w:rsidP="0024083D">
      <w:pPr>
        <w:pStyle w:val="Paragrafoelenco"/>
        <w:numPr>
          <w:ilvl w:val="0"/>
          <w:numId w:val="51"/>
        </w:numPr>
        <w:spacing w:before="120" w:after="0" w:line="240" w:lineRule="auto"/>
        <w:rPr>
          <w:rFonts w:cstheme="minorHAnsi"/>
          <w:bCs/>
        </w:rPr>
      </w:pPr>
      <w:r w:rsidRPr="00A06F5A">
        <w:rPr>
          <w:rFonts w:cstheme="minorHAnsi"/>
          <w:bCs/>
        </w:rPr>
        <w:t>Riduzione dei costi di monitoraggio</w:t>
      </w:r>
      <w:r>
        <w:rPr>
          <w:rFonts w:cstheme="minorHAnsi"/>
          <w:bCs/>
        </w:rPr>
        <w:t>: c</w:t>
      </w:r>
      <w:r w:rsidRPr="00A06F5A">
        <w:rPr>
          <w:rFonts w:cstheme="minorHAnsi"/>
          <w:bCs/>
        </w:rPr>
        <w:t>on l'uso dei dati delle flotte di TPL, gli enti proprietari delle strade possono ridurre i costi di monitoraggio e manutenzione. Le informazioni raccolte dai veicoli possono essere utilizzate per pianificare interventi mirati, evitando ispezioni manuali e riducendo i costi operativi. Ad esempio, la rilevazione automatica di problemi stradali può sostituire le tradizionali ispezioni periodiche.</w:t>
      </w:r>
    </w:p>
    <w:p w14:paraId="3AF30699" w14:textId="77777777" w:rsidR="0024083D" w:rsidRPr="00A06F5A" w:rsidRDefault="0024083D" w:rsidP="0024083D">
      <w:pPr>
        <w:pStyle w:val="Paragrafoelenco"/>
        <w:numPr>
          <w:ilvl w:val="0"/>
          <w:numId w:val="51"/>
        </w:numPr>
        <w:spacing w:before="120" w:after="0" w:line="240" w:lineRule="auto"/>
        <w:rPr>
          <w:rFonts w:cstheme="minorHAnsi"/>
          <w:bCs/>
        </w:rPr>
      </w:pPr>
      <w:r w:rsidRPr="00A06F5A">
        <w:rPr>
          <w:rFonts w:cstheme="minorHAnsi"/>
          <w:bCs/>
        </w:rPr>
        <w:t>Miglioramento della sicurezza stradale: La rilevazione tempestiva di problemi stradali e segnaletica danneggiata contribuisce a prevenire incidenti e migliorare la sicurezza per tutti gli utenti della strada.</w:t>
      </w:r>
    </w:p>
    <w:p w14:paraId="1850DBF3" w14:textId="77777777" w:rsidR="0024083D" w:rsidRPr="00DD7089" w:rsidRDefault="0024083D" w:rsidP="0024083D">
      <w:pPr>
        <w:pStyle w:val="Paragrafoelenco"/>
        <w:numPr>
          <w:ilvl w:val="0"/>
          <w:numId w:val="51"/>
        </w:numPr>
        <w:spacing w:before="120" w:after="0" w:line="240" w:lineRule="auto"/>
        <w:rPr>
          <w:rFonts w:cstheme="minorHAnsi"/>
          <w:bCs/>
        </w:rPr>
      </w:pPr>
      <w:r w:rsidRPr="00DD7089">
        <w:rPr>
          <w:rFonts w:cstheme="minorHAnsi"/>
          <w:bCs/>
        </w:rPr>
        <w:t>In questi ambiti, anche se non esiste un finanziamento diretto per il servizio di trasporto pubblico locale (TPL), esiste una fonte finanziaria pubblica che, attraverso i risparmi ottenuti, contribuisce alla sostenibilità economica complessiva del servizio pubblico. Questi risparmi potrebbero essere reinvestiti nel miglioramento e nella sostenibilità del servizio di trasporto pubblico, oppure potrebbero essere investiti in miglioramento delle condizioni della viabilità e/o dell’accessibilità ai servizi di TPL creando un circolo virtuoso di cui beneficia sia la gestione della cosa pubblica che la qualità dei servizi offerti alla collettività.</w:t>
      </w:r>
    </w:p>
    <w:p w14:paraId="7112ADE0" w14:textId="77777777" w:rsidR="0024083D" w:rsidRPr="00EE17CC" w:rsidRDefault="0024083D" w:rsidP="0024083D">
      <w:pPr>
        <w:pStyle w:val="Titolo3"/>
        <w:ind w:left="720"/>
      </w:pPr>
      <w:bookmarkStart w:id="266" w:name="_Toc1965973437"/>
      <w:bookmarkStart w:id="267" w:name="_Toc197695696"/>
      <w:bookmarkStart w:id="268" w:name="_Toc204328737"/>
      <w:bookmarkStart w:id="269" w:name="_Toc205213737"/>
      <w:r>
        <w:lastRenderedPageBreak/>
        <w:t>Sintesi</w:t>
      </w:r>
      <w:bookmarkEnd w:id="266"/>
      <w:bookmarkEnd w:id="267"/>
      <w:bookmarkEnd w:id="268"/>
      <w:bookmarkEnd w:id="269"/>
    </w:p>
    <w:p w14:paraId="74A557D8" w14:textId="77777777" w:rsidR="0024083D" w:rsidRDefault="0024083D" w:rsidP="0024083D">
      <w:pPr>
        <w:spacing w:before="120" w:after="0" w:line="240" w:lineRule="auto"/>
        <w:rPr>
          <w:rFonts w:cstheme="minorHAnsi"/>
        </w:rPr>
      </w:pPr>
      <w:r w:rsidRPr="005D2E24">
        <w:rPr>
          <w:rFonts w:cstheme="minorHAnsi"/>
        </w:rPr>
        <w:t xml:space="preserve">Le soluzioni </w:t>
      </w:r>
      <w:r>
        <w:rPr>
          <w:rFonts w:cstheme="minorHAnsi"/>
        </w:rPr>
        <w:t>di finanziamento analizzate</w:t>
      </w:r>
      <w:r w:rsidRPr="005D2E24">
        <w:rPr>
          <w:rFonts w:cstheme="minorHAnsi"/>
        </w:rPr>
        <w:t xml:space="preserve"> sono categorizza</w:t>
      </w:r>
      <w:r>
        <w:rPr>
          <w:rFonts w:cstheme="minorHAnsi"/>
        </w:rPr>
        <w:t>bili</w:t>
      </w:r>
      <w:r w:rsidRPr="005D2E24">
        <w:rPr>
          <w:rFonts w:cstheme="minorHAnsi"/>
        </w:rPr>
        <w:t xml:space="preserve"> secondo i criteri di innovazione, impatto e replicabilità.</w:t>
      </w:r>
    </w:p>
    <w:p w14:paraId="0627E1D9" w14:textId="77777777" w:rsidR="0024083D" w:rsidRDefault="0024083D" w:rsidP="0024083D">
      <w:pPr>
        <w:spacing w:before="120" w:after="0" w:line="240" w:lineRule="auto"/>
        <w:rPr>
          <w:rFonts w:cstheme="minorHAnsi"/>
        </w:rPr>
      </w:pPr>
      <w:r w:rsidRPr="005D2E24">
        <w:rPr>
          <w:rFonts w:cstheme="minorHAnsi"/>
        </w:rPr>
        <w:t xml:space="preserve">L’indagine ha evidenziato che </w:t>
      </w:r>
      <w:r>
        <w:rPr>
          <w:rFonts w:cstheme="minorHAnsi"/>
        </w:rPr>
        <w:t>i vari stati</w:t>
      </w:r>
      <w:r w:rsidRPr="005D2E24">
        <w:rPr>
          <w:rFonts w:cstheme="minorHAnsi"/>
        </w:rPr>
        <w:t xml:space="preserve"> stanno adottando strategie sempre più diversificate per finanziare il trasporto pubblico, riducendo la dipendenza dalle tariffe e dai sussidi governativi. L’acquisizione di fondi, l’imposizione di tasse mirate e l’integrazione di nuovi modelli economici sono strumenti fondamentali per garantire la sostenibilità del settore nel lungo periodo. Tuttavia, l’efficacia di queste soluzioni dipende dal contesto normativo e politico di ogni </w:t>
      </w:r>
      <w:r>
        <w:rPr>
          <w:rFonts w:cstheme="minorHAnsi"/>
        </w:rPr>
        <w:t>realtà</w:t>
      </w:r>
      <w:r w:rsidRPr="005D2E24">
        <w:rPr>
          <w:rFonts w:cstheme="minorHAnsi"/>
        </w:rPr>
        <w:t>. Le autorità locali dovr</w:t>
      </w:r>
      <w:r>
        <w:rPr>
          <w:rFonts w:cstheme="minorHAnsi"/>
        </w:rPr>
        <w:t>ebbero</w:t>
      </w:r>
      <w:r w:rsidRPr="005D2E24">
        <w:rPr>
          <w:rFonts w:cstheme="minorHAnsi"/>
        </w:rPr>
        <w:t xml:space="preserve"> quindi adattare e sperimentare diverse strategie per trovare il giusto equilibrio tra finanziabilità e accettabilità delle misure adottate.</w:t>
      </w:r>
    </w:p>
    <w:p w14:paraId="430FF65B" w14:textId="77777777" w:rsidR="0024083D" w:rsidRPr="00C128A7" w:rsidRDefault="0024083D" w:rsidP="0024083D">
      <w:pPr>
        <w:spacing w:before="120" w:after="0" w:line="240" w:lineRule="auto"/>
        <w:rPr>
          <w:rFonts w:cstheme="minorHAnsi"/>
        </w:rPr>
      </w:pPr>
      <w:r w:rsidRPr="00C128A7">
        <w:rPr>
          <w:rFonts w:cstheme="minorHAnsi"/>
        </w:rPr>
        <w:t>Allo stato attuale non appare possibile prevedere tassazioni specifiche, sovrattasse legate alla valorizzazione immobiliare, l’utilizzo di fondi derivante dal pagamento di altri servizi pubblici o di riduzioni delle imposte sul valore aggiunto.</w:t>
      </w:r>
    </w:p>
    <w:p w14:paraId="566AE78F" w14:textId="77777777" w:rsidR="0024083D" w:rsidRPr="00C128A7" w:rsidRDefault="0024083D" w:rsidP="0024083D">
      <w:pPr>
        <w:spacing w:before="120" w:after="0" w:line="240" w:lineRule="auto"/>
        <w:rPr>
          <w:rFonts w:cstheme="minorHAnsi"/>
        </w:rPr>
      </w:pPr>
      <w:r w:rsidRPr="00C128A7">
        <w:rPr>
          <w:rFonts w:cstheme="minorHAnsi"/>
        </w:rPr>
        <w:t>Tuttavia si segnale che in regione Piemonte si è sempre costantemente attivato un tavolo di cooperazione con enti locali e operatori economici del territorio per ottenere finanziamenti del servizio su progettualità specifiche in particolare per le aree industriali.</w:t>
      </w:r>
    </w:p>
    <w:p w14:paraId="5E42455E" w14:textId="77777777" w:rsidR="0024083D" w:rsidRDefault="0024083D" w:rsidP="0024083D">
      <w:pPr>
        <w:spacing w:before="120" w:after="0" w:line="240" w:lineRule="auto"/>
        <w:rPr>
          <w:rFonts w:cstheme="minorHAnsi"/>
        </w:rPr>
      </w:pPr>
      <w:r>
        <w:rPr>
          <w:rFonts w:cstheme="minorHAnsi"/>
        </w:rPr>
        <w:t>La Regione, l’Agenzia e gli enti</w:t>
      </w:r>
      <w:r w:rsidRPr="002E61ED">
        <w:rPr>
          <w:rFonts w:cstheme="minorHAnsi"/>
        </w:rPr>
        <w:t xml:space="preserve"> locali potranno in futuro adattare e</w:t>
      </w:r>
      <w:r>
        <w:rPr>
          <w:rFonts w:cstheme="minorHAnsi"/>
        </w:rPr>
        <w:t>/o</w:t>
      </w:r>
      <w:r w:rsidRPr="002E61ED">
        <w:rPr>
          <w:rFonts w:cstheme="minorHAnsi"/>
        </w:rPr>
        <w:t xml:space="preserve"> sperimentare diverse strategie, dalla quale trarre risorse per i servizi di trasporto, ricercando il giusto equilibrio tra finanziabilità e accettabilità sociale delle misure adottate.</w:t>
      </w:r>
    </w:p>
    <w:p w14:paraId="2F6C20FC" w14:textId="77777777" w:rsidR="0024083D" w:rsidRDefault="0024083D" w:rsidP="0024083D">
      <w:pPr>
        <w:spacing w:before="120" w:after="0" w:line="240" w:lineRule="auto"/>
        <w:rPr>
          <w:rFonts w:cstheme="minorHAnsi"/>
        </w:rPr>
      </w:pPr>
      <w:r w:rsidRPr="002E61ED">
        <w:rPr>
          <w:rFonts w:cstheme="minorHAnsi"/>
        </w:rPr>
        <w:t>Questo implica che, mentre le soluzioni innovative possono essere promettenti, la loro applicabilità nel contesto piemontese richiede un'attenta valutazione delle specific</w:t>
      </w:r>
      <w:r>
        <w:rPr>
          <w:rFonts w:cstheme="minorHAnsi"/>
        </w:rPr>
        <w:t>he normative e politiche locali, nonché una necessaria condivisione territoriale; in tale senso non secondaria appare la corretta valorizzazione degli effetti su costi e ricavi dell’azione amministrativa degli Enti territoriali con particolare riguardo alle interruzioni e/o modifiche della viabilità che impattano sull’esercizio del TPL.</w:t>
      </w:r>
    </w:p>
    <w:p w14:paraId="623A245C" w14:textId="77777777" w:rsidR="0024083D" w:rsidRDefault="0024083D" w:rsidP="0024083D">
      <w:pPr>
        <w:pStyle w:val="Titolo2"/>
        <w:ind w:left="567"/>
      </w:pPr>
      <w:bookmarkStart w:id="270" w:name="_Toc204328738"/>
      <w:bookmarkStart w:id="271" w:name="_Toc193218190"/>
      <w:bookmarkStart w:id="272" w:name="_Toc891355355"/>
      <w:bookmarkStart w:id="273" w:name="_Ref193816441"/>
      <w:bookmarkStart w:id="274" w:name="_Toc197695698"/>
      <w:bookmarkStart w:id="275" w:name="_Toc204616508"/>
      <w:bookmarkStart w:id="276" w:name="_Toc205213738"/>
      <w:bookmarkEnd w:id="251"/>
      <w:bookmarkEnd w:id="252"/>
      <w:bookmarkEnd w:id="253"/>
      <w:bookmarkEnd w:id="254"/>
      <w:bookmarkEnd w:id="264"/>
      <w:r>
        <w:t>Esiti consultazione in materia di finanziamento</w:t>
      </w:r>
      <w:bookmarkEnd w:id="270"/>
      <w:bookmarkEnd w:id="276"/>
    </w:p>
    <w:p w14:paraId="6B91BBD4" w14:textId="77777777" w:rsidR="0024083D" w:rsidRPr="00A75348" w:rsidRDefault="0024083D" w:rsidP="0024083D">
      <w:pPr>
        <w:spacing w:before="120" w:after="0" w:line="240" w:lineRule="auto"/>
        <w:rPr>
          <w:rFonts w:cstheme="minorHAnsi"/>
        </w:rPr>
      </w:pPr>
      <w:bookmarkStart w:id="277" w:name="_Hlk205065365"/>
      <w:r w:rsidRPr="00A75348">
        <w:rPr>
          <w:rFonts w:cstheme="minorHAnsi"/>
        </w:rPr>
        <w:t>La Delibera ART n. 48/2017 indica la fase di consultazione, prevista dalla delibera ART 154/2019, sia il contesto in cui condividere le opzioni ed effettuare una scelta sulle modalità di finanziamento degli obblighi di servizio pubblico e la conseguente individuazione dell’estensione del lotto da affidare.</w:t>
      </w:r>
    </w:p>
    <w:p w14:paraId="50DFAF1F" w14:textId="77777777" w:rsidR="0024083D" w:rsidRPr="00A75348" w:rsidRDefault="0024083D" w:rsidP="0024083D">
      <w:pPr>
        <w:spacing w:before="120" w:after="0" w:line="240" w:lineRule="auto"/>
        <w:rPr>
          <w:rFonts w:cstheme="minorHAnsi"/>
        </w:rPr>
      </w:pPr>
      <w:r w:rsidRPr="00A75348">
        <w:rPr>
          <w:rFonts w:cstheme="minorHAnsi"/>
        </w:rPr>
        <w:t xml:space="preserve">Durante il processo di consultazione degli stakeholder del Bacino </w:t>
      </w:r>
      <w:r>
        <w:rPr>
          <w:rFonts w:cstheme="minorHAnsi"/>
        </w:rPr>
        <w:t xml:space="preserve">Sud Est </w:t>
      </w:r>
      <w:r w:rsidRPr="00A75348">
        <w:rPr>
          <w:rFonts w:cstheme="minorHAnsi"/>
        </w:rPr>
        <w:t>(allegato 3) non sono emerse particolari indicazioni su nuove modalità di cofinanziamento, né sulla possibilità di accesso a nuove risorse, né sul modello di remunerazione (net cost o gross cost).</w:t>
      </w:r>
    </w:p>
    <w:p w14:paraId="304E22E3" w14:textId="77777777" w:rsidR="0024083D" w:rsidRDefault="0024083D" w:rsidP="0024083D">
      <w:pPr>
        <w:spacing w:before="120" w:after="0" w:line="240" w:lineRule="auto"/>
        <w:rPr>
          <w:rFonts w:cstheme="minorHAnsi"/>
        </w:rPr>
      </w:pPr>
      <w:r w:rsidRPr="00A75348">
        <w:rPr>
          <w:rFonts w:cstheme="minorHAnsi"/>
        </w:rPr>
        <w:t>Nell’ambito della consultazione sono stati predisposti 5 questionari</w:t>
      </w:r>
      <w:r>
        <w:rPr>
          <w:rFonts w:cstheme="minorHAnsi"/>
        </w:rPr>
        <w:t xml:space="preserve">, resi disponibili </w:t>
      </w:r>
      <w:r w:rsidRPr="00A75348">
        <w:rPr>
          <w:rFonts w:cstheme="minorHAnsi"/>
        </w:rPr>
        <w:t xml:space="preserve">sulla piattaforma di partecipazione “AMPartecipa” i cui esiti sono stati </w:t>
      </w:r>
      <w:r>
        <w:rPr>
          <w:rFonts w:cstheme="minorHAnsi"/>
        </w:rPr>
        <w:t>raccolti</w:t>
      </w:r>
      <w:r w:rsidRPr="00A75348">
        <w:rPr>
          <w:rFonts w:cstheme="minorHAnsi"/>
        </w:rPr>
        <w:t xml:space="preserve"> in una specifica relazione (allegato 2). In tale contesto è stata posta la seguente domanda aperta:</w:t>
      </w:r>
    </w:p>
    <w:p w14:paraId="409D2426" w14:textId="77777777" w:rsidR="0024083D" w:rsidRPr="00A75348" w:rsidRDefault="0024083D" w:rsidP="0024083D">
      <w:pPr>
        <w:spacing w:before="120" w:after="0" w:line="240" w:lineRule="auto"/>
        <w:ind w:left="567"/>
        <w:rPr>
          <w:rFonts w:cstheme="minorHAnsi"/>
          <w:i/>
        </w:rPr>
      </w:pPr>
      <w:r w:rsidRPr="00A75348">
        <w:rPr>
          <w:rFonts w:cstheme="minorHAnsi"/>
          <w:i/>
        </w:rPr>
        <w:t>“Quali sono le azioni che i singoli territori possono adottare per favorire un’offerta di TPL adeguata alle esigenze di mobilità del proprio territorio?”.</w:t>
      </w:r>
    </w:p>
    <w:p w14:paraId="67809CCB" w14:textId="77777777" w:rsidR="0024083D" w:rsidRDefault="0024083D" w:rsidP="0024083D">
      <w:pPr>
        <w:spacing w:before="120" w:after="0" w:line="240" w:lineRule="auto"/>
        <w:rPr>
          <w:rFonts w:cstheme="minorHAnsi"/>
        </w:rPr>
      </w:pPr>
      <w:r w:rsidRPr="000459E6">
        <w:rPr>
          <w:rFonts w:cstheme="minorHAnsi"/>
        </w:rPr>
        <w:t>Sebbene la domanda lasciasse spazio a</w:t>
      </w:r>
      <w:r>
        <w:rPr>
          <w:rFonts w:cstheme="minorHAnsi"/>
        </w:rPr>
        <w:t>nche a</w:t>
      </w:r>
      <w:r w:rsidRPr="000459E6">
        <w:rPr>
          <w:rFonts w:cstheme="minorHAnsi"/>
        </w:rPr>
        <w:t xml:space="preserve"> considerazioni sulle fonti e modalità di finanziamento, dalle risposte pervenute non sono emersi suggerimenti specifici in </w:t>
      </w:r>
      <w:r>
        <w:rPr>
          <w:rFonts w:cstheme="minorHAnsi"/>
        </w:rPr>
        <w:t>merito</w:t>
      </w:r>
      <w:r w:rsidRPr="000459E6">
        <w:rPr>
          <w:rFonts w:cstheme="minorHAnsi"/>
        </w:rPr>
        <w:t xml:space="preserve"> da parte degli Enti Locali.</w:t>
      </w:r>
    </w:p>
    <w:p w14:paraId="4C0C1387" w14:textId="77777777" w:rsidR="0024083D" w:rsidRPr="00A75348" w:rsidRDefault="0024083D" w:rsidP="0024083D">
      <w:pPr>
        <w:spacing w:before="120" w:after="0" w:line="240" w:lineRule="auto"/>
        <w:rPr>
          <w:rFonts w:cstheme="minorHAnsi"/>
        </w:rPr>
      </w:pPr>
      <w:r w:rsidRPr="000459E6">
        <w:rPr>
          <w:rFonts w:cstheme="minorHAnsi"/>
        </w:rPr>
        <w:t xml:space="preserve">In generale, i contributi degli Enti Locali si sono </w:t>
      </w:r>
      <w:r>
        <w:rPr>
          <w:rFonts w:cstheme="minorHAnsi"/>
        </w:rPr>
        <w:t>focalizzati su aspetti</w:t>
      </w:r>
      <w:r w:rsidRPr="000459E6">
        <w:rPr>
          <w:rFonts w:cstheme="minorHAnsi"/>
        </w:rPr>
        <w:t xml:space="preserve"> più operativi, tra cui:</w:t>
      </w:r>
    </w:p>
    <w:p w14:paraId="0655FE95" w14:textId="77777777" w:rsidR="0024083D" w:rsidRPr="00DD7089" w:rsidRDefault="0024083D" w:rsidP="0024083D">
      <w:pPr>
        <w:pStyle w:val="Paragrafoelenco"/>
        <w:numPr>
          <w:ilvl w:val="0"/>
          <w:numId w:val="52"/>
        </w:numPr>
        <w:spacing w:before="120" w:after="0" w:line="240" w:lineRule="auto"/>
        <w:rPr>
          <w:rFonts w:cstheme="minorHAnsi"/>
        </w:rPr>
      </w:pPr>
      <w:r>
        <w:rPr>
          <w:rFonts w:cstheme="minorHAnsi"/>
        </w:rPr>
        <w:t>l’ampliamento delle agevolazioni tariffarie a favore degli utenti,</w:t>
      </w:r>
    </w:p>
    <w:p w14:paraId="2C145A1F" w14:textId="77777777" w:rsidR="0024083D" w:rsidRDefault="0024083D" w:rsidP="0024083D">
      <w:pPr>
        <w:pStyle w:val="Paragrafoelenco"/>
        <w:numPr>
          <w:ilvl w:val="0"/>
          <w:numId w:val="52"/>
        </w:numPr>
        <w:spacing w:before="120" w:after="0" w:line="240" w:lineRule="auto"/>
        <w:rPr>
          <w:rFonts w:cstheme="minorHAnsi"/>
        </w:rPr>
      </w:pPr>
      <w:r>
        <w:rPr>
          <w:rFonts w:cstheme="minorHAnsi"/>
        </w:rPr>
        <w:t>il potenziamento del</w:t>
      </w:r>
      <w:r w:rsidRPr="0054146C">
        <w:rPr>
          <w:rFonts w:cstheme="minorHAnsi"/>
        </w:rPr>
        <w:t xml:space="preserve">la </w:t>
      </w:r>
      <w:r>
        <w:rPr>
          <w:rFonts w:cstheme="minorHAnsi"/>
        </w:rPr>
        <w:t>comunicazione verso i cittadini</w:t>
      </w:r>
      <w:r w:rsidRPr="0054146C">
        <w:rPr>
          <w:rFonts w:cstheme="minorHAnsi"/>
        </w:rPr>
        <w:t xml:space="preserve"> e </w:t>
      </w:r>
      <w:r>
        <w:rPr>
          <w:rFonts w:cstheme="minorHAnsi"/>
        </w:rPr>
        <w:t>del</w:t>
      </w:r>
      <w:r w:rsidRPr="0054146C">
        <w:rPr>
          <w:rFonts w:cstheme="minorHAnsi"/>
        </w:rPr>
        <w:t>la sicurezza degli utenti</w:t>
      </w:r>
    </w:p>
    <w:p w14:paraId="23D20F63" w14:textId="77777777" w:rsidR="0024083D" w:rsidRPr="0054146C" w:rsidRDefault="0024083D" w:rsidP="0024083D">
      <w:pPr>
        <w:pStyle w:val="Paragrafoelenco"/>
        <w:numPr>
          <w:ilvl w:val="0"/>
          <w:numId w:val="52"/>
        </w:numPr>
        <w:spacing w:before="120" w:after="0" w:line="240" w:lineRule="auto"/>
        <w:rPr>
          <w:rFonts w:cstheme="minorHAnsi"/>
        </w:rPr>
      </w:pPr>
      <w:r>
        <w:rPr>
          <w:rFonts w:cstheme="minorHAnsi"/>
        </w:rPr>
        <w:lastRenderedPageBreak/>
        <w:t>la p</w:t>
      </w:r>
      <w:r w:rsidRPr="0054146C">
        <w:rPr>
          <w:rFonts w:cstheme="minorHAnsi"/>
        </w:rPr>
        <w:t xml:space="preserve">roposta </w:t>
      </w:r>
      <w:r>
        <w:rPr>
          <w:rFonts w:cstheme="minorHAnsi"/>
        </w:rPr>
        <w:t>di attribuire all’operatore del TPL la responsabilità della manutenzione delle fermate.</w:t>
      </w:r>
    </w:p>
    <w:p w14:paraId="4CA4FE50" w14:textId="77777777" w:rsidR="0024083D" w:rsidRPr="00A75348" w:rsidRDefault="0024083D" w:rsidP="0024083D">
      <w:pPr>
        <w:spacing w:before="120" w:after="0" w:line="240" w:lineRule="auto"/>
        <w:rPr>
          <w:rFonts w:cstheme="minorHAnsi"/>
        </w:rPr>
      </w:pPr>
      <w:r w:rsidRPr="00234FBD">
        <w:rPr>
          <w:rFonts w:cstheme="minorHAnsi"/>
        </w:rPr>
        <w:t>Vi è la richiesta da parte di Stakeholder del mondo associativo di verificare la fattibilità di avviare politiche della sosta che cofinanzino il trasporto pubblico, o genericamente di un impegno finanziario maggiore da parte dei comuni a vantaggio dei propri cittadini.</w:t>
      </w:r>
      <w:r w:rsidRPr="00A75348">
        <w:rPr>
          <w:rFonts w:cstheme="minorHAnsi"/>
        </w:rPr>
        <w:t xml:space="preserve"> </w:t>
      </w:r>
    </w:p>
    <w:p w14:paraId="70BD297D" w14:textId="77777777" w:rsidR="0024083D" w:rsidRPr="005055FC" w:rsidRDefault="0024083D" w:rsidP="0024083D">
      <w:pPr>
        <w:pStyle w:val="Titolo2"/>
        <w:ind w:left="567"/>
      </w:pPr>
      <w:bookmarkStart w:id="278" w:name="_Toc204328739"/>
      <w:bookmarkStart w:id="279" w:name="_Toc900989428"/>
      <w:bookmarkStart w:id="280" w:name="_Toc197695699"/>
      <w:bookmarkStart w:id="281" w:name="_Toc204616509"/>
      <w:bookmarkStart w:id="282" w:name="_Toc205213739"/>
      <w:bookmarkEnd w:id="271"/>
      <w:bookmarkEnd w:id="272"/>
      <w:bookmarkEnd w:id="273"/>
      <w:bookmarkEnd w:id="274"/>
      <w:bookmarkEnd w:id="275"/>
      <w:bookmarkEnd w:id="277"/>
      <w:r>
        <w:t>Quadro delle risorse attuali e previsionali per le procedure di affidamento</w:t>
      </w:r>
      <w:bookmarkEnd w:id="278"/>
      <w:bookmarkEnd w:id="282"/>
    </w:p>
    <w:p w14:paraId="23ED85DD" w14:textId="77777777" w:rsidR="0024083D" w:rsidRPr="00600B67" w:rsidRDefault="0024083D" w:rsidP="0024083D">
      <w:pPr>
        <w:pStyle w:val="Titolo3"/>
        <w:ind w:left="720"/>
      </w:pPr>
      <w:bookmarkStart w:id="283" w:name="_Toc204328740"/>
      <w:bookmarkStart w:id="284" w:name="_Toc205213740"/>
      <w:bookmarkEnd w:id="279"/>
      <w:bookmarkEnd w:id="280"/>
      <w:bookmarkEnd w:id="281"/>
      <w:r>
        <w:t>Le risorse assegnate all’Agenzia della mobilità</w:t>
      </w:r>
      <w:bookmarkEnd w:id="283"/>
      <w:bookmarkEnd w:id="284"/>
    </w:p>
    <w:p w14:paraId="6A354706" w14:textId="77777777" w:rsidR="0024083D" w:rsidRPr="002E61ED" w:rsidRDefault="0024083D" w:rsidP="0024083D">
      <w:pPr>
        <w:pStyle w:val="NormaleWeb"/>
        <w:spacing w:before="120" w:after="0" w:line="240" w:lineRule="auto"/>
        <w:rPr>
          <w:rStyle w:val="Enfasigrassetto"/>
          <w:rFonts w:asciiTheme="minorHAnsi" w:hAnsiTheme="minorHAnsi" w:cstheme="minorHAnsi"/>
          <w:b w:val="0"/>
          <w:sz w:val="22"/>
          <w:szCs w:val="22"/>
        </w:rPr>
      </w:pPr>
      <w:bookmarkStart w:id="285" w:name="_Toc69311414"/>
      <w:bookmarkStart w:id="286" w:name="_Toc197695700"/>
      <w:bookmarkStart w:id="287" w:name="_Toc204616510"/>
      <w:r w:rsidRPr="002E61ED">
        <w:rPr>
          <w:rStyle w:val="Enfasigrassetto"/>
          <w:rFonts w:asciiTheme="minorHAnsi" w:hAnsiTheme="minorHAnsi" w:cstheme="minorHAnsi"/>
          <w:b w:val="0"/>
          <w:sz w:val="22"/>
          <w:szCs w:val="22"/>
        </w:rPr>
        <w:t xml:space="preserve">Nel contesto </w:t>
      </w:r>
      <w:r>
        <w:rPr>
          <w:rStyle w:val="Enfasigrassetto"/>
          <w:rFonts w:asciiTheme="minorHAnsi" w:hAnsiTheme="minorHAnsi" w:cstheme="minorHAnsi"/>
          <w:b w:val="0"/>
          <w:sz w:val="22"/>
          <w:szCs w:val="22"/>
        </w:rPr>
        <w:t>p</w:t>
      </w:r>
      <w:r w:rsidRPr="002E61ED">
        <w:rPr>
          <w:rStyle w:val="Enfasigrassetto"/>
          <w:rFonts w:asciiTheme="minorHAnsi" w:hAnsiTheme="minorHAnsi" w:cstheme="minorHAnsi"/>
          <w:b w:val="0"/>
          <w:sz w:val="22"/>
          <w:szCs w:val="22"/>
        </w:rPr>
        <w:t xml:space="preserve">iemontese </w:t>
      </w:r>
      <w:r>
        <w:rPr>
          <w:rStyle w:val="Enfasigrassetto"/>
          <w:rFonts w:asciiTheme="minorHAnsi" w:hAnsiTheme="minorHAnsi" w:cstheme="minorHAnsi"/>
          <w:b w:val="0"/>
          <w:sz w:val="22"/>
          <w:szCs w:val="22"/>
        </w:rPr>
        <w:t>i</w:t>
      </w:r>
      <w:r w:rsidRPr="002E61ED">
        <w:rPr>
          <w:rStyle w:val="Enfasigrassetto"/>
          <w:rFonts w:asciiTheme="minorHAnsi" w:hAnsiTheme="minorHAnsi" w:cstheme="minorHAnsi"/>
          <w:b w:val="0"/>
          <w:sz w:val="22"/>
          <w:szCs w:val="22"/>
        </w:rPr>
        <w:t>l finanziamento si basa su una combinazione di fiscalità generale, entrate tariffarie e sussidi pubblici locali e regionali.</w:t>
      </w:r>
    </w:p>
    <w:p w14:paraId="18F2A5EC" w14:textId="77777777" w:rsidR="0024083D" w:rsidRDefault="0024083D" w:rsidP="0024083D">
      <w:pPr>
        <w:spacing w:before="120" w:after="0" w:line="240" w:lineRule="auto"/>
        <w:rPr>
          <w:rFonts w:cstheme="minorHAnsi"/>
        </w:rPr>
      </w:pPr>
      <w:r w:rsidRPr="00A75348">
        <w:rPr>
          <w:rFonts w:cstheme="minorHAnsi"/>
        </w:rPr>
        <w:t>L’Agenzia non ha capacità impositiva da cui trarre gettito, né svolge attività di vendita di beni o servizi da cui trarre profitti con i quali coprire in parte il finanziamento degli obblighi di servizio.</w:t>
      </w:r>
    </w:p>
    <w:p w14:paraId="2FD40210" w14:textId="77777777" w:rsidR="0024083D" w:rsidRPr="0002134E" w:rsidRDefault="0024083D" w:rsidP="0024083D">
      <w:pPr>
        <w:pStyle w:val="NormaleWeb"/>
        <w:spacing w:before="120" w:after="0" w:line="240" w:lineRule="auto"/>
        <w:rPr>
          <w:rStyle w:val="Enfasigrassetto"/>
          <w:rFonts w:asciiTheme="minorHAnsi" w:hAnsiTheme="minorHAnsi" w:cstheme="minorHAnsi"/>
          <w:b w:val="0"/>
          <w:sz w:val="22"/>
          <w:szCs w:val="22"/>
        </w:rPr>
      </w:pPr>
      <w:r w:rsidRPr="0002134E">
        <w:rPr>
          <w:rStyle w:val="Enfasigrassetto"/>
          <w:rFonts w:asciiTheme="minorHAnsi" w:hAnsiTheme="minorHAnsi" w:cstheme="minorHAnsi"/>
          <w:b w:val="0"/>
          <w:sz w:val="22"/>
          <w:szCs w:val="22"/>
        </w:rPr>
        <w:t>La Regione utilizza risorse proprie per coprire una parte significativa delle compensazioni. Il governo centrale trasferisce la quota spettante del Fondo Nazionale Trasporti</w:t>
      </w:r>
      <w:r w:rsidRPr="0002134E">
        <w:rPr>
          <w:rStyle w:val="Enfasigrassetto"/>
          <w:rFonts w:asciiTheme="minorHAnsi" w:hAnsiTheme="minorHAnsi"/>
          <w:b w:val="0"/>
          <w:sz w:val="22"/>
          <w:szCs w:val="22"/>
          <w:vertAlign w:val="superscript"/>
        </w:rPr>
        <w:footnoteReference w:id="34"/>
      </w:r>
      <w:r w:rsidRPr="0002134E">
        <w:rPr>
          <w:rStyle w:val="Enfasigrassetto"/>
          <w:rFonts w:asciiTheme="minorHAnsi" w:hAnsiTheme="minorHAnsi"/>
          <w:b w:val="0"/>
          <w:sz w:val="22"/>
          <w:szCs w:val="22"/>
        </w:rPr>
        <w:t xml:space="preserve"> (FNT) </w:t>
      </w:r>
      <w:r w:rsidRPr="0002134E">
        <w:rPr>
          <w:rStyle w:val="Enfasigrassetto"/>
          <w:rFonts w:asciiTheme="minorHAnsi" w:hAnsiTheme="minorHAnsi" w:cstheme="minorHAnsi"/>
          <w:b w:val="0"/>
          <w:sz w:val="22"/>
          <w:szCs w:val="22"/>
        </w:rPr>
        <w:t>alla Regione. Le amministrazioni locali contribuiscono con risorse proprie per supportare i servizi o per sperimentare servizi aggiuntivi. Una altra quota è trasferita dal governo centrale quale contributo previsto dalla Legge 472/99.</w:t>
      </w:r>
    </w:p>
    <w:p w14:paraId="735FE38B" w14:textId="77777777" w:rsidR="0024083D" w:rsidRDefault="0024083D" w:rsidP="0024083D">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A titolo esemplificativo si fornisce il quadro </w:t>
      </w:r>
      <w:r>
        <w:rPr>
          <w:rStyle w:val="Enfasigrassetto"/>
          <w:rFonts w:asciiTheme="minorHAnsi" w:hAnsiTheme="minorHAnsi" w:cstheme="minorHAnsi"/>
          <w:b w:val="0"/>
          <w:sz w:val="22"/>
          <w:szCs w:val="22"/>
        </w:rPr>
        <w:t xml:space="preserve">dei </w:t>
      </w:r>
      <w:r w:rsidRPr="002E61ED">
        <w:rPr>
          <w:rStyle w:val="Enfasigrassetto"/>
          <w:rFonts w:asciiTheme="minorHAnsi" w:hAnsiTheme="minorHAnsi" w:cstheme="minorHAnsi"/>
          <w:b w:val="0"/>
          <w:sz w:val="22"/>
          <w:szCs w:val="22"/>
        </w:rPr>
        <w:t>finanzia</w:t>
      </w:r>
      <w:r>
        <w:rPr>
          <w:rStyle w:val="Enfasigrassetto"/>
          <w:rFonts w:asciiTheme="minorHAnsi" w:hAnsiTheme="minorHAnsi" w:cstheme="minorHAnsi"/>
          <w:b w:val="0"/>
          <w:sz w:val="22"/>
          <w:szCs w:val="22"/>
        </w:rPr>
        <w:t>menti per l’Agenzia</w:t>
      </w:r>
      <w:r w:rsidRPr="002E61ED">
        <w:rPr>
          <w:rStyle w:val="Enfasigrassetto"/>
          <w:rFonts w:asciiTheme="minorHAnsi" w:hAnsiTheme="minorHAnsi" w:cstheme="minorHAnsi"/>
          <w:b w:val="0"/>
          <w:sz w:val="22"/>
          <w:szCs w:val="22"/>
        </w:rPr>
        <w:t xml:space="preserve"> nel</w:t>
      </w:r>
      <w:r>
        <w:rPr>
          <w:rStyle w:val="Enfasigrassetto"/>
          <w:rFonts w:asciiTheme="minorHAnsi" w:hAnsiTheme="minorHAnsi" w:cstheme="minorHAnsi"/>
          <w:b w:val="0"/>
          <w:sz w:val="22"/>
          <w:szCs w:val="22"/>
        </w:rPr>
        <w:t xml:space="preserve"> bilancio previsionale del</w:t>
      </w:r>
      <w:r w:rsidRPr="002E61ED">
        <w:rPr>
          <w:rStyle w:val="Enfasigrassetto"/>
          <w:rFonts w:asciiTheme="minorHAnsi" w:hAnsiTheme="minorHAnsi" w:cstheme="minorHAnsi"/>
          <w:b w:val="0"/>
          <w:sz w:val="22"/>
          <w:szCs w:val="22"/>
        </w:rPr>
        <w:t>l’annualità 202</w:t>
      </w:r>
      <w:r>
        <w:rPr>
          <w:rStyle w:val="Enfasigrassetto"/>
          <w:rFonts w:asciiTheme="minorHAnsi" w:hAnsiTheme="minorHAnsi" w:cstheme="minorHAnsi"/>
          <w:b w:val="0"/>
          <w:sz w:val="22"/>
          <w:szCs w:val="22"/>
        </w:rPr>
        <w:t>5:</w:t>
      </w:r>
    </w:p>
    <w:p w14:paraId="40A9537E" w14:textId="77777777" w:rsidR="0024083D" w:rsidRDefault="0024083D" w:rsidP="0024083D">
      <w:pPr>
        <w:pStyle w:val="NormaleWeb"/>
        <w:numPr>
          <w:ilvl w:val="0"/>
          <w:numId w:val="53"/>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Regione:</w:t>
      </w:r>
      <w:r>
        <w:rPr>
          <w:rStyle w:val="Enfasigrassetto"/>
          <w:rFonts w:asciiTheme="minorHAnsi" w:hAnsiTheme="minorHAnsi" w:cstheme="minorHAnsi"/>
          <w:b w:val="0"/>
          <w:sz w:val="22"/>
          <w:szCs w:val="22"/>
        </w:rPr>
        <w:tab/>
        <w:t>552,77 milioni €</w:t>
      </w:r>
    </w:p>
    <w:p w14:paraId="3AF4D653" w14:textId="77777777" w:rsidR="0024083D" w:rsidRDefault="0024083D" w:rsidP="0024083D">
      <w:pPr>
        <w:pStyle w:val="NormaleWeb"/>
        <w:numPr>
          <w:ilvl w:val="0"/>
          <w:numId w:val="53"/>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Stato per contributo Iva:</w:t>
      </w:r>
      <w:r>
        <w:rPr>
          <w:rStyle w:val="Enfasigrassetto"/>
          <w:rFonts w:asciiTheme="minorHAnsi" w:hAnsiTheme="minorHAnsi" w:cstheme="minorHAnsi"/>
          <w:b w:val="0"/>
          <w:sz w:val="22"/>
          <w:szCs w:val="22"/>
        </w:rPr>
        <w:tab/>
        <w:t>16,35 milioni €</w:t>
      </w:r>
    </w:p>
    <w:p w14:paraId="5DCF07EA" w14:textId="77777777" w:rsidR="0024083D" w:rsidRDefault="0024083D" w:rsidP="0024083D">
      <w:pPr>
        <w:pStyle w:val="NormaleWeb"/>
        <w:numPr>
          <w:ilvl w:val="0"/>
          <w:numId w:val="53"/>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EE.LL.:</w:t>
      </w:r>
      <w:r>
        <w:rPr>
          <w:rStyle w:val="Enfasigrassetto"/>
          <w:rFonts w:asciiTheme="minorHAnsi" w:hAnsiTheme="minorHAnsi" w:cstheme="minorHAnsi"/>
          <w:b w:val="0"/>
          <w:sz w:val="22"/>
          <w:szCs w:val="22"/>
        </w:rPr>
        <w:tab/>
        <w:t>17,21 milioni €</w:t>
      </w:r>
    </w:p>
    <w:p w14:paraId="6A6F8D13" w14:textId="77777777" w:rsidR="0024083D" w:rsidRPr="002E61ED" w:rsidRDefault="0024083D" w:rsidP="0024083D">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Il complesso delle risorse comprende tutte quelle necessarie alla gestione dei Contratti di Servizio sia ferroviari, che automobilistici che di navigazione (compensazioni degli obblighi di servizio, iva sui contratti di servizio, contributi ccnl per i contratti automobilistici) nonché i trasferimenti ai comuni ed alle unioni di comuni che gestiscono direttamente servizi marginali e complementari al TPL.</w:t>
      </w:r>
    </w:p>
    <w:p w14:paraId="5483EF69" w14:textId="77777777" w:rsidR="0024083D" w:rsidRDefault="0024083D" w:rsidP="0024083D">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 trasferimenti da EE.LL. presentano una certa continuità negli anni e sono stabilmente consolidati sui valori sopra indicati; tuttavia esiste una differenziazione fra i vari bacini e, nel caso del bacino di Sud Est i valori provenienti dagli Enti sono abbastanza consistenti; di seguito sono riportati trasferimenti previsionali per l’annualità 2025:</w:t>
      </w:r>
    </w:p>
    <w:p w14:paraId="6484835B" w14:textId="77777777" w:rsidR="0024083D" w:rsidRDefault="0024083D" w:rsidP="0024083D">
      <w:pPr>
        <w:pStyle w:val="NormaleWeb"/>
        <w:numPr>
          <w:ilvl w:val="0"/>
          <w:numId w:val="54"/>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Nord-Est:</w:t>
      </w:r>
      <w:r>
        <w:rPr>
          <w:rStyle w:val="Enfasigrassetto"/>
          <w:rFonts w:asciiTheme="minorHAnsi" w:hAnsiTheme="minorHAnsi" w:cstheme="minorHAnsi"/>
          <w:b w:val="0"/>
          <w:sz w:val="22"/>
          <w:szCs w:val="22"/>
        </w:rPr>
        <w:tab/>
        <w:t>3,06 milioni €</w:t>
      </w:r>
    </w:p>
    <w:p w14:paraId="4AB02FB2" w14:textId="77777777" w:rsidR="0024083D" w:rsidRDefault="0024083D" w:rsidP="0024083D">
      <w:pPr>
        <w:pStyle w:val="NormaleWeb"/>
        <w:numPr>
          <w:ilvl w:val="0"/>
          <w:numId w:val="54"/>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 Est:</w:t>
      </w:r>
      <w:r>
        <w:rPr>
          <w:rStyle w:val="Enfasigrassetto"/>
          <w:rFonts w:asciiTheme="minorHAnsi" w:hAnsiTheme="minorHAnsi" w:cstheme="minorHAnsi"/>
          <w:b w:val="0"/>
          <w:sz w:val="22"/>
          <w:szCs w:val="22"/>
        </w:rPr>
        <w:tab/>
        <w:t>3,45 milioni €</w:t>
      </w:r>
    </w:p>
    <w:p w14:paraId="6422A03F" w14:textId="77777777" w:rsidR="0024083D" w:rsidRDefault="0024083D" w:rsidP="0024083D">
      <w:pPr>
        <w:pStyle w:val="NormaleWeb"/>
        <w:numPr>
          <w:ilvl w:val="0"/>
          <w:numId w:val="54"/>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w:t>
      </w:r>
      <w:r>
        <w:rPr>
          <w:rStyle w:val="Enfasigrassetto"/>
          <w:rFonts w:asciiTheme="minorHAnsi" w:hAnsiTheme="minorHAnsi" w:cstheme="minorHAnsi"/>
          <w:b w:val="0"/>
          <w:sz w:val="22"/>
          <w:szCs w:val="22"/>
        </w:rPr>
        <w:tab/>
        <w:t>0,12 milioni €</w:t>
      </w:r>
    </w:p>
    <w:p w14:paraId="1F6A6FE6" w14:textId="77777777" w:rsidR="0024083D" w:rsidRDefault="0024083D" w:rsidP="0024083D">
      <w:pPr>
        <w:pStyle w:val="NormaleWeb"/>
        <w:numPr>
          <w:ilvl w:val="0"/>
          <w:numId w:val="54"/>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Metropolitano:</w:t>
      </w:r>
      <w:r>
        <w:rPr>
          <w:rStyle w:val="Enfasigrassetto"/>
          <w:rFonts w:asciiTheme="minorHAnsi" w:hAnsiTheme="minorHAnsi" w:cstheme="minorHAnsi"/>
          <w:b w:val="0"/>
          <w:sz w:val="22"/>
          <w:szCs w:val="22"/>
        </w:rPr>
        <w:tab/>
        <w:t>10,58 milioni €</w:t>
      </w:r>
    </w:p>
    <w:p w14:paraId="51538A51" w14:textId="77777777" w:rsidR="0024083D" w:rsidRPr="00600B67" w:rsidRDefault="0024083D" w:rsidP="0024083D">
      <w:pPr>
        <w:pStyle w:val="Titolo3"/>
        <w:ind w:left="720"/>
        <w:rPr>
          <w:bCs w:val="0"/>
        </w:rPr>
      </w:pPr>
      <w:bookmarkStart w:id="288" w:name="_Toc204328741"/>
      <w:bookmarkStart w:id="289" w:name="_Toc205213741"/>
      <w:bookmarkEnd w:id="285"/>
      <w:bookmarkEnd w:id="286"/>
      <w:bookmarkEnd w:id="287"/>
      <w:r>
        <w:rPr>
          <w:bCs w:val="0"/>
        </w:rPr>
        <w:lastRenderedPageBreak/>
        <w:t>I ricavi da traffico</w:t>
      </w:r>
      <w:bookmarkEnd w:id="288"/>
      <w:bookmarkEnd w:id="289"/>
    </w:p>
    <w:p w14:paraId="0CEE355F" w14:textId="77777777" w:rsidR="0024083D" w:rsidRDefault="0024083D" w:rsidP="0024083D">
      <w:pPr>
        <w:spacing w:before="120" w:after="0" w:line="240" w:lineRule="auto"/>
        <w:rPr>
          <w:rFonts w:cstheme="minorHAnsi"/>
        </w:rPr>
      </w:pPr>
      <w:bookmarkStart w:id="290" w:name="_Toc540211320"/>
      <w:bookmarkStart w:id="291" w:name="_Toc197695701"/>
      <w:bookmarkStart w:id="292" w:name="_Toc204616511"/>
      <w:r>
        <w:rPr>
          <w:rFonts w:cstheme="minorHAnsi"/>
        </w:rPr>
        <w:t>Come noto le risorse pubbliche intervengono per garantire l’equilibrio economico dei Contratti di Servizio tenendo in considerazione i costi complessivi, un ragionevole margine di utile e tutti i ricavi che provengono dai titoli di viaggio venduti.</w:t>
      </w:r>
    </w:p>
    <w:p w14:paraId="29823F3A" w14:textId="77777777" w:rsidR="0024083D" w:rsidRDefault="0024083D" w:rsidP="0024083D">
      <w:pPr>
        <w:spacing w:before="120" w:after="0" w:line="240" w:lineRule="auto"/>
        <w:rPr>
          <w:rFonts w:cstheme="minorHAnsi"/>
        </w:rPr>
      </w:pPr>
      <w:r w:rsidRPr="00A75348">
        <w:rPr>
          <w:rFonts w:cstheme="minorHAnsi"/>
        </w:rPr>
        <w:t xml:space="preserve">Le condizioni del contesto piemontese </w:t>
      </w:r>
      <w:r>
        <w:rPr>
          <w:rFonts w:cstheme="minorHAnsi"/>
        </w:rPr>
        <w:t>sono basate su</w:t>
      </w:r>
      <w:r w:rsidRPr="00A75348">
        <w:rPr>
          <w:rFonts w:cstheme="minorHAnsi"/>
        </w:rPr>
        <w:t xml:space="preserve"> contratti “net cost”, per tanto i ricavi tariffari sono risorse che afferiscono direttamente all’Affidatario</w:t>
      </w:r>
      <w:r>
        <w:rPr>
          <w:rFonts w:cstheme="minorHAnsi"/>
        </w:rPr>
        <w:t xml:space="preserve">; </w:t>
      </w:r>
      <w:r w:rsidRPr="00A75348">
        <w:rPr>
          <w:rFonts w:cstheme="minorHAnsi"/>
        </w:rPr>
        <w:t>mentre i corrispettivi a compensazione dei costi, al netto dei ricavi, sono trasferiti all’Affidatario per il tramite dell’Agenzia e sono finanziate dal Fondo Nazionale Trasporti</w:t>
      </w:r>
      <w:r>
        <w:rPr>
          <w:rFonts w:cstheme="minorHAnsi"/>
        </w:rPr>
        <w:t xml:space="preserve"> </w:t>
      </w:r>
      <w:r w:rsidRPr="00A75348">
        <w:rPr>
          <w:rFonts w:cstheme="minorHAnsi"/>
        </w:rPr>
        <w:t>e dalle contribuzioni dei singoli Enti.</w:t>
      </w:r>
    </w:p>
    <w:p w14:paraId="04C05304" w14:textId="77777777" w:rsidR="0024083D" w:rsidRDefault="0024083D" w:rsidP="0024083D">
      <w:pPr>
        <w:spacing w:before="120" w:after="0" w:line="240" w:lineRule="auto"/>
        <w:rPr>
          <w:rFonts w:cstheme="minorHAnsi"/>
        </w:rPr>
      </w:pPr>
      <w:r>
        <w:rPr>
          <w:rFonts w:cstheme="minorHAnsi"/>
        </w:rPr>
        <w:t>Si rimanda al capitolo delle tariffe per una illustrazione completa del sistema tariffario e delle evoluzioni perviste dalle politiche regionali e nazionali.</w:t>
      </w:r>
      <w:bookmarkStart w:id="293" w:name="_Toc204328742"/>
      <w:r w:rsidRPr="000801F2">
        <w:t xml:space="preserve"> </w:t>
      </w:r>
      <w:r>
        <w:t>Le risorse per il Bacino Sud Est</w:t>
      </w:r>
      <w:bookmarkEnd w:id="293"/>
    </w:p>
    <w:p w14:paraId="613D63BE" w14:textId="77777777" w:rsidR="0024083D" w:rsidRPr="007B78B6" w:rsidRDefault="0024083D" w:rsidP="0024083D">
      <w:pPr>
        <w:spacing w:before="120" w:after="0" w:line="240" w:lineRule="auto"/>
        <w:rPr>
          <w:rFonts w:cstheme="minorHAnsi"/>
        </w:rPr>
      </w:pPr>
      <w:r w:rsidRPr="007B78B6">
        <w:rPr>
          <w:rFonts w:cstheme="minorHAnsi"/>
        </w:rPr>
        <w:t>Alcuni Enti sostengono con risorse proprie anche agevolazioni tariffarie specifiche introdotte per i propri cittadini; tali risorse non sempre transitano attraverso il Contratto di Servizio ma spesso sono gestite direttamente dalle singole amministrazioni.</w:t>
      </w:r>
    </w:p>
    <w:p w14:paraId="0B285F12" w14:textId="77777777" w:rsidR="0024083D" w:rsidRPr="00600B67" w:rsidRDefault="0024083D" w:rsidP="0024083D">
      <w:pPr>
        <w:pStyle w:val="Titolo3"/>
        <w:ind w:left="720"/>
        <w:rPr>
          <w:bCs w:val="0"/>
        </w:rPr>
      </w:pPr>
      <w:bookmarkStart w:id="294" w:name="_Toc205213742"/>
      <w:bookmarkEnd w:id="290"/>
      <w:bookmarkEnd w:id="291"/>
      <w:bookmarkEnd w:id="292"/>
      <w:r>
        <w:rPr>
          <w:bCs w:val="0"/>
        </w:rPr>
        <w:t>Le risorse per il Bacino Sud Est</w:t>
      </w:r>
      <w:bookmarkEnd w:id="294"/>
    </w:p>
    <w:p w14:paraId="26D3F05C" w14:textId="77777777" w:rsidR="0024083D" w:rsidRPr="002D5E2F" w:rsidRDefault="0024083D" w:rsidP="0024083D">
      <w:pPr>
        <w:spacing w:before="120" w:after="0" w:line="240" w:lineRule="auto"/>
      </w:pPr>
      <w:r w:rsidRPr="002D5E2F">
        <w:t>Delle risorse destinate al TPL oltre 32 milioni di euro (Iva inclusa) sono impegnati per i servizi automobilistici afferenti al Bacino Sud Est, tali risorse sono costituite per circa il 90 % dai trasferimenti del Fondo nazionale Trasporti e dalle risorse regionali, in quanto, come visto, gli Enti Locali del Bacino trasferiscono all’Agenzia a titolo di compensazione dei servizi circa 3,45 milioni di euro.</w:t>
      </w:r>
    </w:p>
    <w:p w14:paraId="2BB8C374" w14:textId="77777777" w:rsidR="0024083D" w:rsidRPr="002D5E2F" w:rsidRDefault="0024083D" w:rsidP="0024083D">
      <w:pPr>
        <w:spacing w:before="120" w:after="0" w:line="240" w:lineRule="auto"/>
      </w:pPr>
      <w:r w:rsidRPr="002D5E2F">
        <w:t>La procedura di affidamento che AMP sta portando avanti sarà accompagnata da specifici accordi con gli Enti Locali relativamente agli impegni che saranno assunti a favore dei soggetti affidatari del Contratto di Servizio</w:t>
      </w:r>
    </w:p>
    <w:p w14:paraId="6A2EFE4C" w14:textId="77777777" w:rsidR="0024083D" w:rsidRPr="002D5E2F" w:rsidRDefault="0024083D" w:rsidP="0024083D">
      <w:pPr>
        <w:spacing w:before="120" w:after="0" w:line="240" w:lineRule="auto"/>
      </w:pPr>
      <w:r w:rsidRPr="002D5E2F">
        <w:t>Si riporta a titolo esemplificativo il valore riferito all’annualità 2023 che, in considerazione degli stanziamenti di bilancio della Regione Piemonte e dell’Agenzia sono da considerarsi sostanzialmente stabili anche per le annualità 2024-2025-2026-2027.</w:t>
      </w:r>
    </w:p>
    <w:p w14:paraId="27DE9C8D" w14:textId="77777777" w:rsidR="0024083D" w:rsidRPr="002D5E2F" w:rsidRDefault="0024083D" w:rsidP="0024083D">
      <w:pPr>
        <w:spacing w:before="120" w:after="0" w:line="240" w:lineRule="auto"/>
      </w:pPr>
    </w:p>
    <w:tbl>
      <w:tblPr>
        <w:tblW w:w="5660" w:type="dxa"/>
        <w:jc w:val="center"/>
        <w:tblCellMar>
          <w:left w:w="70" w:type="dxa"/>
          <w:right w:w="70" w:type="dxa"/>
        </w:tblCellMar>
        <w:tblLook w:val="04A0" w:firstRow="1" w:lastRow="0" w:firstColumn="1" w:lastColumn="0" w:noHBand="0" w:noVBand="1"/>
      </w:tblPr>
      <w:tblGrid>
        <w:gridCol w:w="2600"/>
        <w:gridCol w:w="3060"/>
      </w:tblGrid>
      <w:tr w:rsidR="0024083D" w:rsidRPr="00234FBD" w14:paraId="00DD98C7" w14:textId="77777777" w:rsidTr="002A21C0">
        <w:trPr>
          <w:trHeight w:val="300"/>
          <w:jc w:val="center"/>
        </w:trPr>
        <w:tc>
          <w:tcPr>
            <w:tcW w:w="2600" w:type="dxa"/>
            <w:tcBorders>
              <w:top w:val="single" w:sz="4" w:space="0" w:color="A6A6A6"/>
              <w:left w:val="single" w:sz="4" w:space="0" w:color="A6A6A6"/>
              <w:bottom w:val="single" w:sz="4" w:space="0" w:color="A6A6A6"/>
              <w:right w:val="single" w:sz="4" w:space="0" w:color="A6A6A6"/>
            </w:tcBorders>
            <w:shd w:val="clear" w:color="000000" w:fill="A5C34C"/>
            <w:noWrap/>
            <w:vAlign w:val="bottom"/>
            <w:hideMark/>
          </w:tcPr>
          <w:p w14:paraId="22289921" w14:textId="77777777" w:rsidR="0024083D" w:rsidRPr="00234FBD" w:rsidRDefault="0024083D" w:rsidP="002A21C0">
            <w:pPr>
              <w:spacing w:after="0" w:line="240" w:lineRule="auto"/>
              <w:jc w:val="left"/>
              <w:rPr>
                <w:rFonts w:ascii="Aptos Narrow" w:eastAsia="Times New Roman" w:hAnsi="Aptos Narrow" w:cs="Times New Roman"/>
                <w:color w:val="000000"/>
              </w:rPr>
            </w:pPr>
            <w:r w:rsidRPr="00234FBD">
              <w:rPr>
                <w:rFonts w:ascii="Aptos Narrow" w:eastAsia="Times New Roman" w:hAnsi="Aptos Narrow" w:cs="Times New Roman"/>
                <w:color w:val="000000"/>
              </w:rPr>
              <w:t> </w:t>
            </w:r>
          </w:p>
        </w:tc>
        <w:tc>
          <w:tcPr>
            <w:tcW w:w="3060" w:type="dxa"/>
            <w:tcBorders>
              <w:top w:val="single" w:sz="4" w:space="0" w:color="A6A6A6"/>
              <w:left w:val="nil"/>
              <w:bottom w:val="single" w:sz="4" w:space="0" w:color="A6A6A6"/>
              <w:right w:val="single" w:sz="4" w:space="0" w:color="A6A6A6"/>
            </w:tcBorders>
            <w:shd w:val="clear" w:color="000000" w:fill="A5C34C"/>
            <w:noWrap/>
            <w:vAlign w:val="bottom"/>
            <w:hideMark/>
          </w:tcPr>
          <w:p w14:paraId="0A873A8B" w14:textId="77777777" w:rsidR="0024083D" w:rsidRPr="00234FBD" w:rsidRDefault="0024083D" w:rsidP="002A21C0">
            <w:pPr>
              <w:spacing w:after="0" w:line="240" w:lineRule="auto"/>
              <w:jc w:val="left"/>
              <w:rPr>
                <w:rFonts w:ascii="Aptos Narrow" w:eastAsia="Times New Roman" w:hAnsi="Aptos Narrow" w:cs="Times New Roman"/>
                <w:b/>
                <w:bCs/>
                <w:color w:val="000000"/>
              </w:rPr>
            </w:pPr>
            <w:r w:rsidRPr="00234FBD">
              <w:rPr>
                <w:rFonts w:ascii="Aptos Narrow" w:eastAsia="Times New Roman" w:hAnsi="Aptos Narrow" w:cs="Times New Roman"/>
                <w:b/>
                <w:bCs/>
                <w:color w:val="000000"/>
              </w:rPr>
              <w:t>Servizi urbani e d extraurbani</w:t>
            </w:r>
          </w:p>
        </w:tc>
      </w:tr>
      <w:tr w:rsidR="0024083D" w:rsidRPr="00234FBD" w14:paraId="5A41CDAF" w14:textId="77777777" w:rsidTr="002A21C0">
        <w:trPr>
          <w:trHeight w:val="300"/>
          <w:jc w:val="center"/>
        </w:trPr>
        <w:tc>
          <w:tcPr>
            <w:tcW w:w="2600" w:type="dxa"/>
            <w:tcBorders>
              <w:top w:val="nil"/>
              <w:left w:val="single" w:sz="4" w:space="0" w:color="A6A6A6"/>
              <w:bottom w:val="single" w:sz="4" w:space="0" w:color="A6A6A6"/>
              <w:right w:val="single" w:sz="4" w:space="0" w:color="A6A6A6"/>
            </w:tcBorders>
            <w:noWrap/>
            <w:vAlign w:val="bottom"/>
            <w:hideMark/>
          </w:tcPr>
          <w:p w14:paraId="503AB933" w14:textId="77777777" w:rsidR="0024083D" w:rsidRPr="00234FBD" w:rsidRDefault="0024083D" w:rsidP="002A21C0">
            <w:pPr>
              <w:spacing w:after="0" w:line="240" w:lineRule="auto"/>
              <w:jc w:val="left"/>
              <w:rPr>
                <w:rFonts w:ascii="Aptos Narrow" w:eastAsia="Times New Roman" w:hAnsi="Aptos Narrow" w:cs="Times New Roman"/>
                <w:color w:val="000000"/>
              </w:rPr>
            </w:pPr>
            <w:r w:rsidRPr="00234FBD">
              <w:rPr>
                <w:rFonts w:ascii="Aptos Narrow" w:eastAsia="Times New Roman" w:hAnsi="Aptos Narrow" w:cs="Times New Roman"/>
                <w:color w:val="000000"/>
              </w:rPr>
              <w:t>Compensazioni</w:t>
            </w:r>
          </w:p>
        </w:tc>
        <w:tc>
          <w:tcPr>
            <w:tcW w:w="3060" w:type="dxa"/>
            <w:tcBorders>
              <w:top w:val="nil"/>
              <w:left w:val="nil"/>
              <w:bottom w:val="single" w:sz="4" w:space="0" w:color="A6A6A6"/>
              <w:right w:val="single" w:sz="4" w:space="0" w:color="A6A6A6"/>
            </w:tcBorders>
            <w:noWrap/>
            <w:vAlign w:val="bottom"/>
            <w:hideMark/>
          </w:tcPr>
          <w:p w14:paraId="77DFA820" w14:textId="77777777" w:rsidR="0024083D" w:rsidRPr="00234FBD" w:rsidRDefault="0024083D" w:rsidP="002A21C0">
            <w:pPr>
              <w:spacing w:after="0" w:line="240" w:lineRule="auto"/>
              <w:jc w:val="right"/>
              <w:rPr>
                <w:rFonts w:ascii="Aptos Narrow" w:eastAsia="Times New Roman" w:hAnsi="Aptos Narrow" w:cs="Times New Roman"/>
                <w:color w:val="000000"/>
              </w:rPr>
            </w:pPr>
            <w:r w:rsidRPr="00234FBD">
              <w:rPr>
                <w:rFonts w:ascii="Aptos Narrow" w:eastAsia="Times New Roman" w:hAnsi="Aptos Narrow" w:cs="Times New Roman"/>
                <w:color w:val="000000"/>
              </w:rPr>
              <w:t>26.455.222</w:t>
            </w:r>
          </w:p>
        </w:tc>
      </w:tr>
      <w:tr w:rsidR="0024083D" w:rsidRPr="00234FBD" w14:paraId="6E84B801" w14:textId="77777777" w:rsidTr="002A21C0">
        <w:trPr>
          <w:trHeight w:val="300"/>
          <w:jc w:val="center"/>
        </w:trPr>
        <w:tc>
          <w:tcPr>
            <w:tcW w:w="2600" w:type="dxa"/>
            <w:tcBorders>
              <w:top w:val="nil"/>
              <w:left w:val="single" w:sz="4" w:space="0" w:color="A6A6A6"/>
              <w:bottom w:val="single" w:sz="4" w:space="0" w:color="A6A6A6"/>
              <w:right w:val="single" w:sz="4" w:space="0" w:color="A6A6A6"/>
            </w:tcBorders>
            <w:noWrap/>
            <w:vAlign w:val="bottom"/>
            <w:hideMark/>
          </w:tcPr>
          <w:p w14:paraId="297C885E" w14:textId="77777777" w:rsidR="0024083D" w:rsidRPr="00234FBD" w:rsidRDefault="0024083D" w:rsidP="002A21C0">
            <w:pPr>
              <w:spacing w:after="0" w:line="240" w:lineRule="auto"/>
              <w:jc w:val="left"/>
              <w:rPr>
                <w:rFonts w:ascii="Aptos Narrow" w:eastAsia="Times New Roman" w:hAnsi="Aptos Narrow" w:cs="Times New Roman"/>
                <w:color w:val="000000"/>
              </w:rPr>
            </w:pPr>
            <w:r w:rsidRPr="00234FBD">
              <w:rPr>
                <w:rFonts w:ascii="Aptos Narrow" w:eastAsia="Times New Roman" w:hAnsi="Aptos Narrow" w:cs="Times New Roman"/>
                <w:color w:val="000000"/>
              </w:rPr>
              <w:t>CCNL</w:t>
            </w:r>
          </w:p>
        </w:tc>
        <w:tc>
          <w:tcPr>
            <w:tcW w:w="3060" w:type="dxa"/>
            <w:tcBorders>
              <w:top w:val="nil"/>
              <w:left w:val="nil"/>
              <w:bottom w:val="single" w:sz="4" w:space="0" w:color="A6A6A6"/>
              <w:right w:val="single" w:sz="4" w:space="0" w:color="A6A6A6"/>
            </w:tcBorders>
            <w:noWrap/>
            <w:vAlign w:val="bottom"/>
            <w:hideMark/>
          </w:tcPr>
          <w:p w14:paraId="2988572A" w14:textId="77777777" w:rsidR="0024083D" w:rsidRPr="00234FBD" w:rsidRDefault="0024083D" w:rsidP="002A21C0">
            <w:pPr>
              <w:spacing w:after="0" w:line="240" w:lineRule="auto"/>
              <w:jc w:val="right"/>
              <w:rPr>
                <w:rFonts w:ascii="Aptos Narrow" w:eastAsia="Times New Roman" w:hAnsi="Aptos Narrow" w:cs="Times New Roman"/>
                <w:color w:val="000000"/>
              </w:rPr>
            </w:pPr>
            <w:r w:rsidRPr="00234FBD">
              <w:rPr>
                <w:rFonts w:ascii="Aptos Narrow" w:eastAsia="Times New Roman" w:hAnsi="Aptos Narrow" w:cs="Times New Roman"/>
                <w:color w:val="000000"/>
              </w:rPr>
              <w:t>2.637.694</w:t>
            </w:r>
          </w:p>
        </w:tc>
      </w:tr>
      <w:tr w:rsidR="0024083D" w:rsidRPr="00234FBD" w14:paraId="51476E01" w14:textId="77777777" w:rsidTr="002A21C0">
        <w:trPr>
          <w:trHeight w:val="300"/>
          <w:jc w:val="center"/>
        </w:trPr>
        <w:tc>
          <w:tcPr>
            <w:tcW w:w="2600" w:type="dxa"/>
            <w:tcBorders>
              <w:top w:val="nil"/>
              <w:left w:val="single" w:sz="4" w:space="0" w:color="A6A6A6"/>
              <w:bottom w:val="single" w:sz="4" w:space="0" w:color="A6A6A6"/>
              <w:right w:val="single" w:sz="4" w:space="0" w:color="A6A6A6"/>
            </w:tcBorders>
            <w:noWrap/>
            <w:vAlign w:val="bottom"/>
            <w:hideMark/>
          </w:tcPr>
          <w:p w14:paraId="7493DEB8" w14:textId="77777777" w:rsidR="0024083D" w:rsidRPr="00234FBD" w:rsidRDefault="0024083D" w:rsidP="002A21C0">
            <w:pPr>
              <w:spacing w:after="0" w:line="240" w:lineRule="auto"/>
              <w:jc w:val="left"/>
              <w:rPr>
                <w:rFonts w:ascii="Aptos Narrow" w:eastAsia="Times New Roman" w:hAnsi="Aptos Narrow" w:cs="Times New Roman"/>
                <w:b/>
                <w:bCs/>
                <w:color w:val="000000"/>
              </w:rPr>
            </w:pPr>
            <w:r w:rsidRPr="00234FBD">
              <w:rPr>
                <w:rFonts w:ascii="Aptos Narrow" w:eastAsia="Times New Roman" w:hAnsi="Aptos Narrow" w:cs="Times New Roman"/>
                <w:b/>
                <w:bCs/>
                <w:color w:val="000000"/>
              </w:rPr>
              <w:t>Totale risorse impegnate</w:t>
            </w:r>
          </w:p>
        </w:tc>
        <w:tc>
          <w:tcPr>
            <w:tcW w:w="3060" w:type="dxa"/>
            <w:tcBorders>
              <w:top w:val="nil"/>
              <w:left w:val="nil"/>
              <w:bottom w:val="single" w:sz="4" w:space="0" w:color="A6A6A6"/>
              <w:right w:val="single" w:sz="4" w:space="0" w:color="A6A6A6"/>
            </w:tcBorders>
            <w:noWrap/>
            <w:vAlign w:val="bottom"/>
            <w:hideMark/>
          </w:tcPr>
          <w:p w14:paraId="67D42975" w14:textId="77777777" w:rsidR="0024083D" w:rsidRPr="00234FBD" w:rsidRDefault="0024083D" w:rsidP="002A21C0">
            <w:pPr>
              <w:spacing w:after="0" w:line="240" w:lineRule="auto"/>
              <w:jc w:val="right"/>
              <w:rPr>
                <w:rFonts w:ascii="Aptos Narrow" w:eastAsia="Times New Roman" w:hAnsi="Aptos Narrow" w:cs="Times New Roman"/>
                <w:b/>
                <w:bCs/>
                <w:color w:val="000000"/>
              </w:rPr>
            </w:pPr>
            <w:r w:rsidRPr="00234FBD">
              <w:rPr>
                <w:rFonts w:ascii="Aptos Narrow" w:eastAsia="Times New Roman" w:hAnsi="Aptos Narrow" w:cs="Times New Roman"/>
                <w:b/>
                <w:bCs/>
                <w:color w:val="000000"/>
              </w:rPr>
              <w:t>29.092.916</w:t>
            </w:r>
          </w:p>
        </w:tc>
      </w:tr>
    </w:tbl>
    <w:p w14:paraId="3C5409E9" w14:textId="17B3BD59" w:rsidR="0024083D" w:rsidRPr="002D5E2F" w:rsidRDefault="0024083D" w:rsidP="0024083D">
      <w:pPr>
        <w:pStyle w:val="Didascalia"/>
        <w:spacing w:after="0"/>
        <w:jc w:val="center"/>
        <w:rPr>
          <w:iCs w:val="0"/>
          <w:color w:val="auto"/>
        </w:rPr>
      </w:pPr>
      <w:r w:rsidRPr="001D5603">
        <w:rPr>
          <w:color w:val="003366"/>
        </w:rPr>
        <w:t xml:space="preserve">Tabella </w:t>
      </w:r>
      <w:r w:rsidRPr="001D5603">
        <w:rPr>
          <w:color w:val="003366"/>
        </w:rPr>
        <w:fldChar w:fldCharType="begin"/>
      </w:r>
      <w:r w:rsidRPr="001D5603">
        <w:rPr>
          <w:color w:val="003366"/>
        </w:rPr>
        <w:instrText xml:space="preserve"> SEQ Tabella \* ARABIC </w:instrText>
      </w:r>
      <w:r w:rsidRPr="001D5603">
        <w:rPr>
          <w:color w:val="003366"/>
        </w:rPr>
        <w:fldChar w:fldCharType="separate"/>
      </w:r>
      <w:r w:rsidR="00670903">
        <w:rPr>
          <w:noProof/>
          <w:color w:val="003366"/>
        </w:rPr>
        <w:t>37</w:t>
      </w:r>
      <w:r w:rsidRPr="001D5603">
        <w:rPr>
          <w:noProof/>
          <w:color w:val="003366"/>
        </w:rPr>
        <w:fldChar w:fldCharType="end"/>
      </w:r>
      <w:r w:rsidRPr="001D5603">
        <w:rPr>
          <w:i w:val="0"/>
          <w:color w:val="003366"/>
        </w:rPr>
        <w:t xml:space="preserve"> </w:t>
      </w:r>
      <w:r w:rsidRPr="001D5603">
        <w:rPr>
          <w:iCs w:val="0"/>
          <w:color w:val="003366"/>
        </w:rPr>
        <w:t>– Quadro risorse 2023 per i servizi del Bacino Sud Est</w:t>
      </w:r>
    </w:p>
    <w:p w14:paraId="2FA808F3" w14:textId="77777777" w:rsidR="0024083D" w:rsidRPr="002510CB" w:rsidRDefault="0024083D" w:rsidP="0024083D">
      <w:pPr>
        <w:spacing w:before="120" w:after="0" w:line="240" w:lineRule="auto"/>
      </w:pPr>
      <w:r w:rsidRPr="002510CB">
        <w:t>Si rimanda al capitolo sull’identificazione dei lotti per un confronto tra le compensazioni attuali e le compensazioni stimate per i servizi oggetto di affidamento. Si ricorda che gli importi indicati in tabella sono al netto dell’iva 10%.</w:t>
      </w:r>
    </w:p>
    <w:p w14:paraId="5C6C0FF1" w14:textId="77777777" w:rsidR="0024083D" w:rsidRPr="002510CB" w:rsidRDefault="0024083D" w:rsidP="0024083D">
      <w:pPr>
        <w:spacing w:before="120" w:after="0" w:line="240" w:lineRule="auto"/>
      </w:pPr>
      <w:r w:rsidRPr="002510CB">
        <w:t>Come noto, le compensazioni per obblighi di servizio garantiscono la copertura dei costi al netto dei ricavi dall’attività di vendita dei titoli di viaggio, delle compensazioni per le agevolazioni tariffarie e altre fonti strettamente connesse al TLP (es. pubblicità, sanzioni, ecc.), nonché degli effetti di rete e di ulteriori fonti che dovessero essere individuate.</w:t>
      </w:r>
    </w:p>
    <w:p w14:paraId="38AC7D33" w14:textId="77777777" w:rsidR="0024083D" w:rsidRPr="002D5E2F" w:rsidRDefault="0024083D" w:rsidP="0024083D">
      <w:pPr>
        <w:spacing w:before="120" w:after="0" w:line="240" w:lineRule="auto"/>
      </w:pPr>
      <w:r w:rsidRPr="002510CB">
        <w:t>I valori riportati nel presente paragrafo sono estratti dalle banche dati del Ministero delle Infrastrutture e dei Trasporti (MIT) sono al netto dell’IVA, la suddivisione per classi di titoli dovendo uniformare a livello nazionale il dato, comporta che ogni azienda inserisca il numero dei titoli di viaggio venduti per categoria a cui viene assegnato un valore unitario medio per ottenere i ricavi.</w:t>
      </w:r>
    </w:p>
    <w:p w14:paraId="4C4BCF8A" w14:textId="448A3B7F" w:rsidR="0024083D" w:rsidRDefault="0024083D" w:rsidP="0024083D">
      <w:pPr>
        <w:spacing w:before="120" w:after="0" w:line="240" w:lineRule="auto"/>
      </w:pPr>
      <w:r w:rsidRPr="002D5E2F">
        <w:lastRenderedPageBreak/>
        <w:t xml:space="preserve">Nella </w:t>
      </w:r>
      <w:r w:rsidRPr="002D5E2F">
        <w:fldChar w:fldCharType="begin"/>
      </w:r>
      <w:r w:rsidRPr="002D5E2F">
        <w:instrText xml:space="preserve"> REF _Ref191544858 \h </w:instrText>
      </w:r>
      <w:r>
        <w:instrText xml:space="preserve"> \* MERGEFORMAT </w:instrText>
      </w:r>
      <w:r w:rsidRPr="002D5E2F">
        <w:fldChar w:fldCharType="separate"/>
      </w:r>
      <w:r w:rsidR="00670903" w:rsidRPr="008F32D0">
        <w:t xml:space="preserve">Tabella </w:t>
      </w:r>
      <w:r w:rsidR="00670903">
        <w:rPr>
          <w:noProof/>
        </w:rPr>
        <w:t>38</w:t>
      </w:r>
      <w:r w:rsidRPr="002D5E2F">
        <w:fldChar w:fldCharType="end"/>
      </w:r>
      <w:r w:rsidRPr="002D5E2F">
        <w:t xml:space="preserve"> sono riportati i ricavi da traffico per tipologia di titolo di viaggio del contratto relativo ai servizi urbani ed extraurbani, mentre i ricavi relativi ai servizi erogati attraverso gli accordi di programma sono accorpati in un’unica voce.</w:t>
      </w:r>
    </w:p>
    <w:p w14:paraId="1365BBF3" w14:textId="77777777" w:rsidR="0024083D" w:rsidRDefault="0024083D" w:rsidP="0024083D">
      <w:pPr>
        <w:spacing w:before="120" w:after="0" w:line="240" w:lineRule="auto"/>
      </w:pPr>
    </w:p>
    <w:tbl>
      <w:tblPr>
        <w:tblW w:w="6482" w:type="dxa"/>
        <w:jc w:val="center"/>
        <w:tblCellMar>
          <w:left w:w="70" w:type="dxa"/>
          <w:right w:w="70" w:type="dxa"/>
        </w:tblCellMar>
        <w:tblLook w:val="04A0" w:firstRow="1" w:lastRow="0" w:firstColumn="1" w:lastColumn="0" w:noHBand="0" w:noVBand="1"/>
      </w:tblPr>
      <w:tblGrid>
        <w:gridCol w:w="4100"/>
        <w:gridCol w:w="1380"/>
        <w:gridCol w:w="1002"/>
      </w:tblGrid>
      <w:tr w:rsidR="0024083D" w:rsidRPr="002D5E2F" w14:paraId="6E6712C7" w14:textId="77777777" w:rsidTr="002A21C0">
        <w:trPr>
          <w:trHeight w:val="315"/>
          <w:jc w:val="center"/>
        </w:trPr>
        <w:tc>
          <w:tcPr>
            <w:tcW w:w="4100" w:type="dxa"/>
            <w:tcBorders>
              <w:top w:val="single" w:sz="8" w:space="0" w:color="A6A6A6"/>
              <w:left w:val="single" w:sz="8" w:space="0" w:color="A6A6A6"/>
              <w:bottom w:val="single" w:sz="8" w:space="0" w:color="A6A6A6"/>
              <w:right w:val="single" w:sz="8" w:space="0" w:color="A6A6A6"/>
            </w:tcBorders>
            <w:shd w:val="clear" w:color="000000" w:fill="A5C34C"/>
            <w:vAlign w:val="center"/>
          </w:tcPr>
          <w:p w14:paraId="40E81273" w14:textId="77777777" w:rsidR="0024083D" w:rsidRPr="002D5E2F" w:rsidRDefault="0024083D" w:rsidP="002A21C0">
            <w:pPr>
              <w:spacing w:after="0" w:line="240" w:lineRule="auto"/>
              <w:jc w:val="left"/>
              <w:rPr>
                <w:rFonts w:ascii="Calibri" w:eastAsia="Times New Roman" w:hAnsi="Calibri" w:cs="Calibri"/>
                <w:b/>
                <w:bCs/>
                <w:color w:val="000000"/>
              </w:rPr>
            </w:pPr>
            <w:r w:rsidRPr="002D5E2F">
              <w:rPr>
                <w:rFonts w:ascii="Calibri" w:eastAsia="Times New Roman" w:hAnsi="Calibri" w:cs="Calibri"/>
                <w:b/>
                <w:bCs/>
                <w:i/>
                <w:iCs/>
                <w:color w:val="000000"/>
              </w:rPr>
              <w:t>Titolo di viaggio</w:t>
            </w:r>
          </w:p>
        </w:tc>
        <w:tc>
          <w:tcPr>
            <w:tcW w:w="1380" w:type="dxa"/>
            <w:tcBorders>
              <w:top w:val="single" w:sz="8" w:space="0" w:color="A6A6A6"/>
              <w:left w:val="nil"/>
              <w:bottom w:val="single" w:sz="8" w:space="0" w:color="A6A6A6"/>
              <w:right w:val="single" w:sz="8" w:space="0" w:color="A6A6A6"/>
            </w:tcBorders>
            <w:shd w:val="clear" w:color="000000" w:fill="A5C34C"/>
            <w:noWrap/>
            <w:vAlign w:val="center"/>
            <w:hideMark/>
          </w:tcPr>
          <w:p w14:paraId="22188FF5" w14:textId="77777777" w:rsidR="0024083D" w:rsidRPr="002D5E2F" w:rsidRDefault="0024083D" w:rsidP="002A21C0">
            <w:pPr>
              <w:spacing w:after="0" w:line="240" w:lineRule="auto"/>
              <w:jc w:val="center"/>
              <w:rPr>
                <w:rFonts w:ascii="Calibri" w:eastAsia="Times New Roman" w:hAnsi="Calibri" w:cs="Calibri"/>
                <w:b/>
                <w:bCs/>
                <w:color w:val="000000"/>
              </w:rPr>
            </w:pPr>
            <w:r w:rsidRPr="002D5E2F">
              <w:rPr>
                <w:rFonts w:ascii="Calibri" w:eastAsia="Times New Roman" w:hAnsi="Calibri" w:cs="Calibri"/>
                <w:b/>
                <w:bCs/>
                <w:color w:val="000000"/>
              </w:rPr>
              <w:t>€/anno</w:t>
            </w:r>
          </w:p>
        </w:tc>
        <w:tc>
          <w:tcPr>
            <w:tcW w:w="1002" w:type="dxa"/>
            <w:tcBorders>
              <w:top w:val="single" w:sz="8" w:space="0" w:color="A6A6A6"/>
              <w:left w:val="nil"/>
              <w:bottom w:val="single" w:sz="8" w:space="0" w:color="A6A6A6"/>
              <w:right w:val="single" w:sz="8" w:space="0" w:color="A6A6A6"/>
            </w:tcBorders>
            <w:shd w:val="clear" w:color="000000" w:fill="A5C34C"/>
            <w:noWrap/>
            <w:vAlign w:val="center"/>
            <w:hideMark/>
          </w:tcPr>
          <w:p w14:paraId="23577D1A" w14:textId="77777777" w:rsidR="0024083D" w:rsidRPr="002D5E2F" w:rsidRDefault="0024083D" w:rsidP="002A21C0">
            <w:pPr>
              <w:spacing w:after="0" w:line="240" w:lineRule="auto"/>
              <w:jc w:val="center"/>
              <w:rPr>
                <w:rFonts w:ascii="Calibri" w:eastAsia="Times New Roman" w:hAnsi="Calibri" w:cs="Calibri"/>
                <w:b/>
                <w:bCs/>
                <w:color w:val="000000"/>
              </w:rPr>
            </w:pPr>
            <w:r w:rsidRPr="002D5E2F">
              <w:rPr>
                <w:rFonts w:ascii="Calibri" w:eastAsia="Times New Roman" w:hAnsi="Calibri" w:cs="Calibri"/>
                <w:b/>
                <w:bCs/>
                <w:color w:val="000000"/>
              </w:rPr>
              <w:t>incidenza</w:t>
            </w:r>
          </w:p>
        </w:tc>
      </w:tr>
      <w:tr w:rsidR="0024083D" w:rsidRPr="002D5E2F" w14:paraId="49569F47" w14:textId="77777777" w:rsidTr="002A21C0">
        <w:trPr>
          <w:trHeight w:val="315"/>
          <w:jc w:val="center"/>
        </w:trPr>
        <w:tc>
          <w:tcPr>
            <w:tcW w:w="4100" w:type="dxa"/>
            <w:tcBorders>
              <w:top w:val="nil"/>
              <w:left w:val="single" w:sz="8" w:space="0" w:color="A6A6A6"/>
              <w:bottom w:val="single" w:sz="8" w:space="0" w:color="A6A6A6"/>
              <w:right w:val="single" w:sz="8" w:space="0" w:color="A6A6A6"/>
            </w:tcBorders>
            <w:vAlign w:val="center"/>
          </w:tcPr>
          <w:p w14:paraId="03484F50"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Carnet titoli di viaggio</w:t>
            </w:r>
          </w:p>
        </w:tc>
        <w:tc>
          <w:tcPr>
            <w:tcW w:w="1380" w:type="dxa"/>
            <w:tcBorders>
              <w:top w:val="nil"/>
              <w:left w:val="nil"/>
              <w:bottom w:val="single" w:sz="8" w:space="0" w:color="A6A6A6"/>
              <w:right w:val="single" w:sz="8" w:space="0" w:color="A6A6A6"/>
            </w:tcBorders>
            <w:noWrap/>
            <w:vAlign w:val="center"/>
            <w:hideMark/>
          </w:tcPr>
          <w:p w14:paraId="08175CA6"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285.460€</w:t>
            </w:r>
          </w:p>
        </w:tc>
        <w:tc>
          <w:tcPr>
            <w:tcW w:w="1002" w:type="dxa"/>
            <w:tcBorders>
              <w:top w:val="nil"/>
              <w:left w:val="nil"/>
              <w:bottom w:val="single" w:sz="8" w:space="0" w:color="A6A6A6"/>
              <w:right w:val="single" w:sz="8" w:space="0" w:color="A6A6A6"/>
            </w:tcBorders>
            <w:noWrap/>
            <w:vAlign w:val="center"/>
            <w:hideMark/>
          </w:tcPr>
          <w:p w14:paraId="034A02B6"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3,22%</w:t>
            </w:r>
          </w:p>
        </w:tc>
      </w:tr>
      <w:tr w:rsidR="0024083D" w:rsidRPr="002D5E2F" w14:paraId="4880C78B" w14:textId="77777777" w:rsidTr="002A21C0">
        <w:trPr>
          <w:trHeight w:val="315"/>
          <w:jc w:val="center"/>
        </w:trPr>
        <w:tc>
          <w:tcPr>
            <w:tcW w:w="4100" w:type="dxa"/>
            <w:tcBorders>
              <w:top w:val="nil"/>
              <w:left w:val="single" w:sz="8" w:space="0" w:color="A6A6A6"/>
              <w:bottom w:val="single" w:sz="8" w:space="0" w:color="A6A6A6"/>
              <w:right w:val="single" w:sz="8" w:space="0" w:color="A6A6A6"/>
            </w:tcBorders>
            <w:vAlign w:val="center"/>
          </w:tcPr>
          <w:p w14:paraId="1B2946F5"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TdV corsa semplice</w:t>
            </w:r>
          </w:p>
        </w:tc>
        <w:tc>
          <w:tcPr>
            <w:tcW w:w="1380" w:type="dxa"/>
            <w:tcBorders>
              <w:top w:val="nil"/>
              <w:left w:val="nil"/>
              <w:bottom w:val="single" w:sz="8" w:space="0" w:color="A6A6A6"/>
              <w:right w:val="single" w:sz="8" w:space="0" w:color="A6A6A6"/>
            </w:tcBorders>
            <w:noWrap/>
            <w:vAlign w:val="center"/>
            <w:hideMark/>
          </w:tcPr>
          <w:p w14:paraId="1993F8A0"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3.031.973€</w:t>
            </w:r>
          </w:p>
        </w:tc>
        <w:tc>
          <w:tcPr>
            <w:tcW w:w="1002" w:type="dxa"/>
            <w:tcBorders>
              <w:top w:val="nil"/>
              <w:left w:val="nil"/>
              <w:bottom w:val="single" w:sz="8" w:space="0" w:color="A6A6A6"/>
              <w:right w:val="single" w:sz="8" w:space="0" w:color="A6A6A6"/>
            </w:tcBorders>
            <w:noWrap/>
            <w:vAlign w:val="center"/>
            <w:hideMark/>
          </w:tcPr>
          <w:p w14:paraId="5CB5E0E0"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34,25%</w:t>
            </w:r>
          </w:p>
        </w:tc>
      </w:tr>
      <w:tr w:rsidR="0024083D" w:rsidRPr="002D5E2F" w14:paraId="08D41E99" w14:textId="77777777" w:rsidTr="002A21C0">
        <w:trPr>
          <w:trHeight w:val="315"/>
          <w:jc w:val="center"/>
        </w:trPr>
        <w:tc>
          <w:tcPr>
            <w:tcW w:w="4100" w:type="dxa"/>
            <w:tcBorders>
              <w:top w:val="nil"/>
              <w:left w:val="single" w:sz="8" w:space="0" w:color="A6A6A6"/>
              <w:bottom w:val="single" w:sz="8" w:space="0" w:color="A6A6A6"/>
              <w:right w:val="single" w:sz="8" w:space="0" w:color="A6A6A6"/>
            </w:tcBorders>
            <w:vAlign w:val="center"/>
          </w:tcPr>
          <w:p w14:paraId="0F73F4FE"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TdV a tempo</w:t>
            </w:r>
          </w:p>
        </w:tc>
        <w:tc>
          <w:tcPr>
            <w:tcW w:w="1380" w:type="dxa"/>
            <w:tcBorders>
              <w:top w:val="nil"/>
              <w:left w:val="nil"/>
              <w:bottom w:val="single" w:sz="8" w:space="0" w:color="A6A6A6"/>
              <w:right w:val="single" w:sz="8" w:space="0" w:color="A6A6A6"/>
            </w:tcBorders>
            <w:noWrap/>
            <w:vAlign w:val="center"/>
            <w:hideMark/>
          </w:tcPr>
          <w:p w14:paraId="6E8A716A"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557.040€</w:t>
            </w:r>
          </w:p>
        </w:tc>
        <w:tc>
          <w:tcPr>
            <w:tcW w:w="1002" w:type="dxa"/>
            <w:tcBorders>
              <w:top w:val="nil"/>
              <w:left w:val="nil"/>
              <w:bottom w:val="single" w:sz="8" w:space="0" w:color="A6A6A6"/>
              <w:right w:val="single" w:sz="8" w:space="0" w:color="A6A6A6"/>
            </w:tcBorders>
            <w:noWrap/>
            <w:vAlign w:val="center"/>
            <w:hideMark/>
          </w:tcPr>
          <w:p w14:paraId="502DD1BD"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6,29%</w:t>
            </w:r>
          </w:p>
        </w:tc>
      </w:tr>
      <w:tr w:rsidR="0024083D" w:rsidRPr="002D5E2F" w14:paraId="5E78D54A" w14:textId="77777777" w:rsidTr="002A21C0">
        <w:trPr>
          <w:trHeight w:val="315"/>
          <w:jc w:val="center"/>
        </w:trPr>
        <w:tc>
          <w:tcPr>
            <w:tcW w:w="4100" w:type="dxa"/>
            <w:tcBorders>
              <w:top w:val="nil"/>
              <w:left w:val="single" w:sz="8" w:space="0" w:color="A6A6A6"/>
              <w:bottom w:val="single" w:sz="8" w:space="0" w:color="A6A6A6"/>
              <w:right w:val="single" w:sz="8" w:space="0" w:color="A6A6A6"/>
            </w:tcBorders>
            <w:vAlign w:val="center"/>
          </w:tcPr>
          <w:p w14:paraId="4CA68C61"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TdV abbonamenti giornalieri / settimanali</w:t>
            </w:r>
          </w:p>
        </w:tc>
        <w:tc>
          <w:tcPr>
            <w:tcW w:w="1380" w:type="dxa"/>
            <w:tcBorders>
              <w:top w:val="nil"/>
              <w:left w:val="nil"/>
              <w:bottom w:val="single" w:sz="8" w:space="0" w:color="A6A6A6"/>
              <w:right w:val="single" w:sz="8" w:space="0" w:color="A6A6A6"/>
            </w:tcBorders>
            <w:noWrap/>
            <w:vAlign w:val="center"/>
            <w:hideMark/>
          </w:tcPr>
          <w:p w14:paraId="2C6432F1"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778.272€</w:t>
            </w:r>
          </w:p>
        </w:tc>
        <w:tc>
          <w:tcPr>
            <w:tcW w:w="1002" w:type="dxa"/>
            <w:tcBorders>
              <w:top w:val="nil"/>
              <w:left w:val="nil"/>
              <w:bottom w:val="single" w:sz="8" w:space="0" w:color="A6A6A6"/>
              <w:right w:val="single" w:sz="8" w:space="0" w:color="A6A6A6"/>
            </w:tcBorders>
            <w:noWrap/>
            <w:vAlign w:val="center"/>
            <w:hideMark/>
          </w:tcPr>
          <w:p w14:paraId="1B0308E4"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8,79%</w:t>
            </w:r>
          </w:p>
        </w:tc>
      </w:tr>
      <w:tr w:rsidR="0024083D" w:rsidRPr="002D5E2F" w14:paraId="471FD82D" w14:textId="77777777" w:rsidTr="002A21C0">
        <w:trPr>
          <w:trHeight w:val="315"/>
          <w:jc w:val="center"/>
        </w:trPr>
        <w:tc>
          <w:tcPr>
            <w:tcW w:w="4100" w:type="dxa"/>
            <w:tcBorders>
              <w:top w:val="nil"/>
              <w:left w:val="single" w:sz="8" w:space="0" w:color="A6A6A6"/>
              <w:bottom w:val="single" w:sz="8" w:space="0" w:color="A6A6A6"/>
              <w:right w:val="single" w:sz="8" w:space="0" w:color="A6A6A6"/>
            </w:tcBorders>
            <w:vAlign w:val="center"/>
          </w:tcPr>
          <w:p w14:paraId="5C9B5624"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TdV abbonamenti mensili / annuali</w:t>
            </w:r>
          </w:p>
        </w:tc>
        <w:tc>
          <w:tcPr>
            <w:tcW w:w="1380" w:type="dxa"/>
            <w:tcBorders>
              <w:top w:val="nil"/>
              <w:left w:val="nil"/>
              <w:bottom w:val="single" w:sz="8" w:space="0" w:color="A6A6A6"/>
              <w:right w:val="single" w:sz="8" w:space="0" w:color="A6A6A6"/>
            </w:tcBorders>
            <w:noWrap/>
            <w:vAlign w:val="center"/>
            <w:hideMark/>
          </w:tcPr>
          <w:p w14:paraId="4E449040"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3.923.888€</w:t>
            </w:r>
          </w:p>
        </w:tc>
        <w:tc>
          <w:tcPr>
            <w:tcW w:w="1002" w:type="dxa"/>
            <w:tcBorders>
              <w:top w:val="nil"/>
              <w:left w:val="nil"/>
              <w:bottom w:val="single" w:sz="8" w:space="0" w:color="A6A6A6"/>
              <w:right w:val="single" w:sz="8" w:space="0" w:color="A6A6A6"/>
            </w:tcBorders>
            <w:noWrap/>
            <w:vAlign w:val="center"/>
            <w:hideMark/>
          </w:tcPr>
          <w:p w14:paraId="375EB3AD"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44,33%</w:t>
            </w:r>
          </w:p>
        </w:tc>
      </w:tr>
      <w:tr w:rsidR="0024083D" w:rsidRPr="002D5E2F" w14:paraId="2B02D30C" w14:textId="77777777" w:rsidTr="002A21C0">
        <w:trPr>
          <w:trHeight w:val="315"/>
          <w:jc w:val="center"/>
        </w:trPr>
        <w:tc>
          <w:tcPr>
            <w:tcW w:w="4100" w:type="dxa"/>
            <w:tcBorders>
              <w:top w:val="nil"/>
              <w:left w:val="single" w:sz="8" w:space="0" w:color="A6A6A6"/>
              <w:bottom w:val="double" w:sz="6" w:space="0" w:color="A6A6A6"/>
              <w:right w:val="single" w:sz="8" w:space="0" w:color="A6A6A6"/>
            </w:tcBorders>
            <w:vAlign w:val="center"/>
          </w:tcPr>
          <w:p w14:paraId="2BB51881"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TdV venduti per i servizi erogati con AdP</w:t>
            </w:r>
          </w:p>
        </w:tc>
        <w:tc>
          <w:tcPr>
            <w:tcW w:w="1380" w:type="dxa"/>
            <w:tcBorders>
              <w:top w:val="nil"/>
              <w:left w:val="nil"/>
              <w:bottom w:val="double" w:sz="6" w:space="0" w:color="A6A6A6"/>
              <w:right w:val="single" w:sz="8" w:space="0" w:color="A6A6A6"/>
            </w:tcBorders>
            <w:noWrap/>
            <w:vAlign w:val="center"/>
            <w:hideMark/>
          </w:tcPr>
          <w:p w14:paraId="5D79E4C1"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8.774€</w:t>
            </w:r>
          </w:p>
        </w:tc>
        <w:tc>
          <w:tcPr>
            <w:tcW w:w="1002" w:type="dxa"/>
            <w:tcBorders>
              <w:top w:val="nil"/>
              <w:left w:val="nil"/>
              <w:bottom w:val="double" w:sz="6" w:space="0" w:color="A6A6A6"/>
              <w:right w:val="single" w:sz="8" w:space="0" w:color="A6A6A6"/>
            </w:tcBorders>
            <w:noWrap/>
            <w:vAlign w:val="center"/>
            <w:hideMark/>
          </w:tcPr>
          <w:p w14:paraId="28499C6D"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0,10%</w:t>
            </w:r>
          </w:p>
        </w:tc>
      </w:tr>
      <w:tr w:rsidR="0024083D" w:rsidRPr="002D5E2F" w14:paraId="23954BCF" w14:textId="77777777" w:rsidTr="002A21C0">
        <w:trPr>
          <w:trHeight w:val="330"/>
          <w:jc w:val="center"/>
        </w:trPr>
        <w:tc>
          <w:tcPr>
            <w:tcW w:w="4100" w:type="dxa"/>
            <w:tcBorders>
              <w:top w:val="nil"/>
              <w:left w:val="single" w:sz="8" w:space="0" w:color="A6A6A6"/>
              <w:bottom w:val="double" w:sz="6" w:space="0" w:color="A6A6A6"/>
              <w:right w:val="single" w:sz="8" w:space="0" w:color="A6A6A6"/>
            </w:tcBorders>
            <w:shd w:val="clear" w:color="000000" w:fill="A5C34C"/>
            <w:vAlign w:val="center"/>
          </w:tcPr>
          <w:p w14:paraId="266737D9" w14:textId="77777777" w:rsidR="0024083D" w:rsidRPr="002D5E2F" w:rsidRDefault="0024083D" w:rsidP="002A21C0">
            <w:pPr>
              <w:spacing w:after="0" w:line="240" w:lineRule="auto"/>
              <w:jc w:val="left"/>
              <w:rPr>
                <w:rFonts w:ascii="Calibri" w:eastAsia="Times New Roman" w:hAnsi="Calibri" w:cs="Calibri"/>
                <w:b/>
                <w:bCs/>
                <w:i/>
                <w:iCs/>
                <w:color w:val="000000"/>
              </w:rPr>
            </w:pPr>
            <w:r w:rsidRPr="002D5E2F">
              <w:rPr>
                <w:rFonts w:ascii="Calibri" w:eastAsia="Times New Roman" w:hAnsi="Calibri" w:cs="Calibri"/>
                <w:b/>
                <w:bCs/>
                <w:i/>
                <w:iCs/>
                <w:color w:val="000000"/>
              </w:rPr>
              <w:t xml:space="preserve">Totale </w:t>
            </w:r>
          </w:p>
        </w:tc>
        <w:tc>
          <w:tcPr>
            <w:tcW w:w="1380" w:type="dxa"/>
            <w:tcBorders>
              <w:top w:val="nil"/>
              <w:left w:val="nil"/>
              <w:bottom w:val="double" w:sz="6" w:space="0" w:color="A6A6A6"/>
              <w:right w:val="single" w:sz="8" w:space="0" w:color="A6A6A6"/>
            </w:tcBorders>
            <w:shd w:val="clear" w:color="000000" w:fill="A5C34C"/>
            <w:noWrap/>
            <w:vAlign w:val="center"/>
            <w:hideMark/>
          </w:tcPr>
          <w:p w14:paraId="60D6340E" w14:textId="77777777" w:rsidR="0024083D" w:rsidRPr="002D5E2F" w:rsidRDefault="0024083D" w:rsidP="002A21C0">
            <w:pPr>
              <w:spacing w:after="0" w:line="240" w:lineRule="auto"/>
              <w:jc w:val="right"/>
              <w:rPr>
                <w:rFonts w:ascii="Calibri" w:eastAsia="Times New Roman" w:hAnsi="Calibri" w:cs="Calibri"/>
                <w:b/>
                <w:bCs/>
                <w:i/>
                <w:iCs/>
                <w:color w:val="000000"/>
              </w:rPr>
            </w:pPr>
            <w:r w:rsidRPr="002D5E2F">
              <w:rPr>
                <w:rFonts w:ascii="Calibri" w:eastAsia="Times New Roman" w:hAnsi="Calibri" w:cs="Calibri"/>
                <w:b/>
                <w:bCs/>
                <w:i/>
                <w:iCs/>
                <w:color w:val="000000"/>
              </w:rPr>
              <w:t>8.585.407€</w:t>
            </w:r>
          </w:p>
        </w:tc>
        <w:tc>
          <w:tcPr>
            <w:tcW w:w="1002" w:type="dxa"/>
            <w:tcBorders>
              <w:top w:val="nil"/>
              <w:left w:val="nil"/>
              <w:bottom w:val="double" w:sz="6" w:space="0" w:color="A6A6A6"/>
              <w:right w:val="single" w:sz="8" w:space="0" w:color="A6A6A6"/>
            </w:tcBorders>
            <w:shd w:val="clear" w:color="000000" w:fill="A5C34C"/>
            <w:noWrap/>
            <w:vAlign w:val="center"/>
            <w:hideMark/>
          </w:tcPr>
          <w:p w14:paraId="1497EE15" w14:textId="77777777" w:rsidR="0024083D" w:rsidRPr="002D5E2F" w:rsidRDefault="0024083D" w:rsidP="002A21C0">
            <w:pPr>
              <w:spacing w:after="0" w:line="240" w:lineRule="auto"/>
              <w:jc w:val="right"/>
              <w:rPr>
                <w:rFonts w:ascii="Calibri" w:eastAsia="Times New Roman" w:hAnsi="Calibri" w:cs="Calibri"/>
                <w:b/>
                <w:bCs/>
                <w:i/>
                <w:iCs/>
                <w:color w:val="000000"/>
              </w:rPr>
            </w:pPr>
            <w:r w:rsidRPr="002D5E2F">
              <w:rPr>
                <w:rFonts w:ascii="Calibri" w:eastAsia="Times New Roman" w:hAnsi="Calibri" w:cs="Calibri"/>
                <w:b/>
                <w:bCs/>
                <w:i/>
                <w:iCs/>
                <w:color w:val="000000"/>
              </w:rPr>
              <w:t>96,98%</w:t>
            </w:r>
          </w:p>
        </w:tc>
      </w:tr>
      <w:tr w:rsidR="0024083D" w:rsidRPr="002D5E2F" w14:paraId="1548BC82" w14:textId="77777777" w:rsidTr="002A21C0">
        <w:trPr>
          <w:trHeight w:val="330"/>
          <w:jc w:val="center"/>
        </w:trPr>
        <w:tc>
          <w:tcPr>
            <w:tcW w:w="4100" w:type="dxa"/>
            <w:tcBorders>
              <w:top w:val="nil"/>
              <w:left w:val="single" w:sz="8" w:space="0" w:color="A6A6A6"/>
              <w:bottom w:val="double" w:sz="6" w:space="0" w:color="A6A6A6"/>
              <w:right w:val="single" w:sz="8" w:space="0" w:color="A6A6A6"/>
            </w:tcBorders>
            <w:vAlign w:val="center"/>
          </w:tcPr>
          <w:p w14:paraId="318A162C"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Agevolazioni ed altri ricavi</w:t>
            </w:r>
          </w:p>
        </w:tc>
        <w:tc>
          <w:tcPr>
            <w:tcW w:w="1380" w:type="dxa"/>
            <w:tcBorders>
              <w:top w:val="nil"/>
              <w:left w:val="nil"/>
              <w:bottom w:val="double" w:sz="6" w:space="0" w:color="A6A6A6"/>
              <w:right w:val="single" w:sz="8" w:space="0" w:color="A6A6A6"/>
            </w:tcBorders>
            <w:noWrap/>
            <w:vAlign w:val="center"/>
            <w:hideMark/>
          </w:tcPr>
          <w:p w14:paraId="198164E3"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267.068€</w:t>
            </w:r>
          </w:p>
        </w:tc>
        <w:tc>
          <w:tcPr>
            <w:tcW w:w="1002" w:type="dxa"/>
            <w:tcBorders>
              <w:top w:val="nil"/>
              <w:left w:val="nil"/>
              <w:bottom w:val="double" w:sz="6" w:space="0" w:color="A6A6A6"/>
              <w:right w:val="single" w:sz="8" w:space="0" w:color="A6A6A6"/>
            </w:tcBorders>
            <w:noWrap/>
            <w:vAlign w:val="center"/>
            <w:hideMark/>
          </w:tcPr>
          <w:p w14:paraId="14081635"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3,02%</w:t>
            </w:r>
          </w:p>
        </w:tc>
      </w:tr>
      <w:tr w:rsidR="0024083D" w:rsidRPr="002D5E2F" w14:paraId="5F1BCD4C" w14:textId="77777777" w:rsidTr="002A21C0">
        <w:trPr>
          <w:trHeight w:val="330"/>
          <w:jc w:val="center"/>
        </w:trPr>
        <w:tc>
          <w:tcPr>
            <w:tcW w:w="4100" w:type="dxa"/>
            <w:tcBorders>
              <w:top w:val="nil"/>
              <w:left w:val="single" w:sz="8" w:space="0" w:color="A6A6A6"/>
              <w:bottom w:val="double" w:sz="6" w:space="0" w:color="A6A6A6"/>
              <w:right w:val="single" w:sz="8" w:space="0" w:color="A6A6A6"/>
            </w:tcBorders>
            <w:vAlign w:val="center"/>
          </w:tcPr>
          <w:p w14:paraId="2274851F" w14:textId="77777777" w:rsidR="0024083D" w:rsidRPr="002D5E2F" w:rsidRDefault="0024083D" w:rsidP="002A21C0">
            <w:pPr>
              <w:spacing w:after="0" w:line="240" w:lineRule="auto"/>
              <w:jc w:val="left"/>
              <w:rPr>
                <w:rFonts w:ascii="Calibri" w:eastAsia="Times New Roman" w:hAnsi="Calibri" w:cs="Calibri"/>
                <w:color w:val="000000"/>
              </w:rPr>
            </w:pPr>
            <w:r w:rsidRPr="002D5E2F">
              <w:rPr>
                <w:rFonts w:ascii="Calibri" w:eastAsia="Times New Roman" w:hAnsi="Calibri" w:cs="Calibri"/>
                <w:color w:val="000000"/>
              </w:rPr>
              <w:t>Agevolazioni ed altri ricavi AdP</w:t>
            </w:r>
          </w:p>
        </w:tc>
        <w:tc>
          <w:tcPr>
            <w:tcW w:w="1380" w:type="dxa"/>
            <w:tcBorders>
              <w:top w:val="nil"/>
              <w:left w:val="nil"/>
              <w:bottom w:val="double" w:sz="6" w:space="0" w:color="A6A6A6"/>
              <w:right w:val="single" w:sz="8" w:space="0" w:color="A6A6A6"/>
            </w:tcBorders>
            <w:noWrap/>
            <w:vAlign w:val="center"/>
            <w:hideMark/>
          </w:tcPr>
          <w:p w14:paraId="6B23AB15"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9€</w:t>
            </w:r>
          </w:p>
        </w:tc>
        <w:tc>
          <w:tcPr>
            <w:tcW w:w="1002" w:type="dxa"/>
            <w:tcBorders>
              <w:top w:val="nil"/>
              <w:left w:val="nil"/>
              <w:bottom w:val="double" w:sz="6" w:space="0" w:color="A6A6A6"/>
              <w:right w:val="single" w:sz="8" w:space="0" w:color="A6A6A6"/>
            </w:tcBorders>
            <w:noWrap/>
            <w:vAlign w:val="center"/>
            <w:hideMark/>
          </w:tcPr>
          <w:p w14:paraId="52674701" w14:textId="77777777" w:rsidR="0024083D" w:rsidRPr="002D5E2F" w:rsidRDefault="0024083D" w:rsidP="002A21C0">
            <w:pPr>
              <w:spacing w:after="0" w:line="240" w:lineRule="auto"/>
              <w:jc w:val="right"/>
              <w:rPr>
                <w:rFonts w:ascii="Calibri" w:eastAsia="Times New Roman" w:hAnsi="Calibri" w:cs="Calibri"/>
                <w:color w:val="000000"/>
              </w:rPr>
            </w:pPr>
            <w:r w:rsidRPr="002D5E2F">
              <w:rPr>
                <w:rFonts w:ascii="Calibri" w:eastAsia="Times New Roman" w:hAnsi="Calibri" w:cs="Calibri"/>
                <w:color w:val="000000"/>
              </w:rPr>
              <w:t>0,00%</w:t>
            </w:r>
          </w:p>
        </w:tc>
      </w:tr>
      <w:tr w:rsidR="0024083D" w:rsidRPr="00AA2E1C" w14:paraId="0EDEAE7C" w14:textId="77777777" w:rsidTr="002A21C0">
        <w:trPr>
          <w:trHeight w:val="330"/>
          <w:jc w:val="center"/>
        </w:trPr>
        <w:tc>
          <w:tcPr>
            <w:tcW w:w="4100" w:type="dxa"/>
            <w:tcBorders>
              <w:top w:val="nil"/>
              <w:left w:val="single" w:sz="8" w:space="0" w:color="A6A6A6"/>
              <w:bottom w:val="single" w:sz="8" w:space="0" w:color="A6A6A6"/>
              <w:right w:val="single" w:sz="8" w:space="0" w:color="A6A6A6"/>
            </w:tcBorders>
            <w:shd w:val="clear" w:color="000000" w:fill="A5C34C"/>
            <w:vAlign w:val="center"/>
          </w:tcPr>
          <w:p w14:paraId="489FD7F1" w14:textId="77777777" w:rsidR="0024083D" w:rsidRPr="002D5E2F" w:rsidRDefault="0024083D" w:rsidP="002A21C0">
            <w:pPr>
              <w:spacing w:after="0" w:line="240" w:lineRule="auto"/>
              <w:jc w:val="left"/>
              <w:rPr>
                <w:rFonts w:ascii="Calibri" w:eastAsia="Times New Roman" w:hAnsi="Calibri" w:cs="Calibri"/>
                <w:b/>
                <w:bCs/>
                <w:i/>
                <w:iCs/>
                <w:color w:val="000000"/>
              </w:rPr>
            </w:pPr>
            <w:r w:rsidRPr="002D5E2F">
              <w:rPr>
                <w:rFonts w:ascii="Calibri" w:eastAsia="Times New Roman" w:hAnsi="Calibri" w:cs="Calibri"/>
                <w:b/>
                <w:bCs/>
                <w:i/>
                <w:iCs/>
                <w:color w:val="000000"/>
              </w:rPr>
              <w:t>Totale Ricavi</w:t>
            </w:r>
          </w:p>
        </w:tc>
        <w:tc>
          <w:tcPr>
            <w:tcW w:w="1380" w:type="dxa"/>
            <w:tcBorders>
              <w:top w:val="nil"/>
              <w:left w:val="nil"/>
              <w:bottom w:val="single" w:sz="8" w:space="0" w:color="A6A6A6"/>
              <w:right w:val="single" w:sz="8" w:space="0" w:color="A6A6A6"/>
            </w:tcBorders>
            <w:shd w:val="clear" w:color="000000" w:fill="A5C34C"/>
            <w:noWrap/>
            <w:vAlign w:val="center"/>
            <w:hideMark/>
          </w:tcPr>
          <w:p w14:paraId="372C11A4" w14:textId="77777777" w:rsidR="0024083D" w:rsidRPr="002D5E2F" w:rsidRDefault="0024083D" w:rsidP="002A21C0">
            <w:pPr>
              <w:spacing w:after="0" w:line="240" w:lineRule="auto"/>
              <w:jc w:val="right"/>
              <w:rPr>
                <w:rFonts w:ascii="Calibri" w:eastAsia="Times New Roman" w:hAnsi="Calibri" w:cs="Calibri"/>
                <w:b/>
                <w:bCs/>
                <w:i/>
                <w:iCs/>
                <w:color w:val="000000"/>
              </w:rPr>
            </w:pPr>
            <w:r w:rsidRPr="002D5E2F">
              <w:rPr>
                <w:rFonts w:ascii="Calibri" w:eastAsia="Times New Roman" w:hAnsi="Calibri" w:cs="Calibri"/>
                <w:b/>
                <w:bCs/>
                <w:i/>
                <w:iCs/>
                <w:color w:val="000000"/>
              </w:rPr>
              <w:t>8.852.484€</w:t>
            </w:r>
          </w:p>
        </w:tc>
        <w:tc>
          <w:tcPr>
            <w:tcW w:w="1002" w:type="dxa"/>
            <w:tcBorders>
              <w:top w:val="nil"/>
              <w:left w:val="nil"/>
              <w:bottom w:val="single" w:sz="8" w:space="0" w:color="A6A6A6"/>
              <w:right w:val="single" w:sz="8" w:space="0" w:color="A6A6A6"/>
            </w:tcBorders>
            <w:shd w:val="clear" w:color="000000" w:fill="A5C34C"/>
            <w:noWrap/>
            <w:vAlign w:val="center"/>
            <w:hideMark/>
          </w:tcPr>
          <w:p w14:paraId="30AD994B" w14:textId="77777777" w:rsidR="0024083D" w:rsidRPr="00AA2E1C" w:rsidRDefault="0024083D" w:rsidP="002A21C0">
            <w:pPr>
              <w:spacing w:after="0" w:line="240" w:lineRule="auto"/>
              <w:jc w:val="right"/>
              <w:rPr>
                <w:rFonts w:ascii="Calibri" w:eastAsia="Times New Roman" w:hAnsi="Calibri" w:cs="Calibri"/>
                <w:b/>
                <w:bCs/>
                <w:i/>
                <w:iCs/>
                <w:color w:val="000000"/>
              </w:rPr>
            </w:pPr>
            <w:r w:rsidRPr="002D5E2F">
              <w:rPr>
                <w:rFonts w:ascii="Calibri" w:eastAsia="Times New Roman" w:hAnsi="Calibri" w:cs="Calibri"/>
                <w:b/>
                <w:bCs/>
                <w:i/>
                <w:iCs/>
                <w:color w:val="000000"/>
              </w:rPr>
              <w:t>100,00%</w:t>
            </w:r>
          </w:p>
        </w:tc>
      </w:tr>
    </w:tbl>
    <w:p w14:paraId="0FD89587" w14:textId="697923DA" w:rsidR="0024083D" w:rsidRDefault="0024083D" w:rsidP="0024083D">
      <w:pPr>
        <w:pStyle w:val="Didascalia"/>
        <w:jc w:val="center"/>
        <w:rPr>
          <w:iCs w:val="0"/>
        </w:rPr>
      </w:pPr>
      <w:bookmarkStart w:id="295" w:name="_Ref191544858"/>
      <w:bookmarkStart w:id="296" w:name="_Toc193218191"/>
      <w:bookmarkStart w:id="297" w:name="_Toc1886160692"/>
      <w:bookmarkStart w:id="298" w:name="_Ref193882650"/>
      <w:bookmarkStart w:id="299" w:name="_Ref193882675"/>
      <w:bookmarkStart w:id="300" w:name="_Toc197695702"/>
      <w:bookmarkStart w:id="301" w:name="_Ref204248938"/>
      <w:bookmarkStart w:id="302" w:name="_Ref204249032"/>
      <w:bookmarkStart w:id="303" w:name="_Ref204249057"/>
      <w:bookmarkStart w:id="304" w:name="_Toc204616512"/>
      <w:r w:rsidRPr="008F32D0">
        <w:t xml:space="preserve">Tabella </w:t>
      </w:r>
      <w:r>
        <w:fldChar w:fldCharType="begin"/>
      </w:r>
      <w:r>
        <w:instrText xml:space="preserve"> SEQ Tabella \* ARABIC </w:instrText>
      </w:r>
      <w:r>
        <w:fldChar w:fldCharType="separate"/>
      </w:r>
      <w:r w:rsidR="00670903">
        <w:rPr>
          <w:noProof/>
        </w:rPr>
        <w:t>38</w:t>
      </w:r>
      <w:r>
        <w:rPr>
          <w:noProof/>
        </w:rPr>
        <w:fldChar w:fldCharType="end"/>
      </w:r>
      <w:bookmarkEnd w:id="295"/>
      <w:r w:rsidRPr="008F32D0">
        <w:rPr>
          <w:i w:val="0"/>
        </w:rPr>
        <w:t xml:space="preserve"> </w:t>
      </w:r>
      <w:r w:rsidRPr="00677A61">
        <w:rPr>
          <w:iCs w:val="0"/>
        </w:rPr>
        <w:t>– Ripartizione dei ricavi da traffico 2023 (elaborazione fonte MIT)</w:t>
      </w:r>
    </w:p>
    <w:p w14:paraId="02ED24A7" w14:textId="77777777" w:rsidR="0024083D" w:rsidRDefault="0024083D" w:rsidP="0024083D">
      <w:pPr>
        <w:pStyle w:val="Titolo3"/>
        <w:ind w:left="720"/>
      </w:pPr>
      <w:bookmarkStart w:id="305" w:name="_Toc204328743"/>
      <w:bookmarkStart w:id="306" w:name="_Toc205213743"/>
      <w:bookmarkEnd w:id="296"/>
      <w:bookmarkEnd w:id="297"/>
      <w:bookmarkEnd w:id="298"/>
      <w:bookmarkEnd w:id="299"/>
      <w:bookmarkEnd w:id="300"/>
      <w:bookmarkEnd w:id="301"/>
      <w:bookmarkEnd w:id="302"/>
      <w:bookmarkEnd w:id="303"/>
      <w:bookmarkEnd w:id="304"/>
      <w:r w:rsidRPr="008D4AB1">
        <w:rPr>
          <w:bCs w:val="0"/>
        </w:rPr>
        <w:t>Ricognizione</w:t>
      </w:r>
      <w:r>
        <w:t xml:space="preserve"> risorse periodo 2027 – 2032</w:t>
      </w:r>
      <w:bookmarkEnd w:id="305"/>
      <w:bookmarkEnd w:id="306"/>
      <w:r>
        <w:t xml:space="preserve"> </w:t>
      </w:r>
    </w:p>
    <w:p w14:paraId="5EA3CE84" w14:textId="77777777" w:rsidR="0024083D" w:rsidRPr="002D5E2F" w:rsidRDefault="0024083D" w:rsidP="0024083D">
      <w:pPr>
        <w:spacing w:before="120" w:after="0" w:line="240" w:lineRule="auto"/>
      </w:pPr>
      <w:r w:rsidRPr="002D5E2F">
        <w:t xml:space="preserve">Come anticipato precedentemente, le risorse pubbliche a coperture dei servizi di TPL disponibili da parte dell’Agenzia sono legate ai trasferimenti del FNT, della regione Piemonte e degli Enti Locali che si stima possa mantenersi invariato per il 2027. </w:t>
      </w:r>
    </w:p>
    <w:p w14:paraId="4D369278" w14:textId="77777777" w:rsidR="0024083D" w:rsidRPr="002D5E2F" w:rsidRDefault="0024083D" w:rsidP="0024083D">
      <w:pPr>
        <w:spacing w:before="120" w:after="0" w:line="240" w:lineRule="auto"/>
      </w:pPr>
      <w:r w:rsidRPr="002D5E2F">
        <w:t xml:space="preserve">Occorre precisare che nel corso delle consultazioni degli Enti territoriali del Bacino è emersa la richiesta di inserire all’interno delle future gare oltre al servizio TPL anche la gestione di infrastrutture e servizi complementari al servizio di trasporto pubblico, quali </w:t>
      </w:r>
      <w:r>
        <w:t xml:space="preserve">i </w:t>
      </w:r>
      <w:r w:rsidRPr="002D5E2F">
        <w:t>nodi d’interscambio.</w:t>
      </w:r>
    </w:p>
    <w:p w14:paraId="419DE162" w14:textId="77777777" w:rsidR="0024083D" w:rsidRPr="006E260A" w:rsidRDefault="0024083D" w:rsidP="006E260A">
      <w:pPr>
        <w:spacing w:before="120" w:after="0" w:line="240" w:lineRule="auto"/>
        <w:rPr>
          <w:rFonts w:eastAsia="Times New Roman" w:cstheme="minorHAnsi"/>
          <w:color w:val="242424"/>
        </w:rPr>
      </w:pPr>
      <w:r w:rsidRPr="006E260A">
        <w:rPr>
          <w:rFonts w:eastAsia="Times New Roman" w:cstheme="minorHAnsi"/>
          <w:color w:val="242424"/>
        </w:rPr>
        <w:t>La gestione unitaria ed integrata del servizio di Trasporto Pubblico Locale (TPL) con infrastrutture e servizi complementari come i nodi d’interscambio rappresenta un approccio strategico per migliorare l'efficienza e l'esperienza dell'utente. Tuttavia, questa integrazione comporta un aumento dei costi operativi e di gestione, che non può essere sostenuto dalle risorse attualmente destinate al TPL senza compromettere l’offerta complessiva e/o la qualità del servizio.</w:t>
      </w:r>
    </w:p>
    <w:p w14:paraId="60DC33A2" w14:textId="77777777" w:rsidR="0024083D" w:rsidRPr="006E260A" w:rsidRDefault="0024083D" w:rsidP="006E260A">
      <w:pPr>
        <w:spacing w:before="120" w:after="0" w:line="240" w:lineRule="auto"/>
        <w:rPr>
          <w:rFonts w:eastAsia="Times New Roman" w:cstheme="minorHAnsi"/>
          <w:color w:val="242424"/>
        </w:rPr>
      </w:pPr>
      <w:r w:rsidRPr="006E260A">
        <w:rPr>
          <w:rFonts w:eastAsia="Times New Roman" w:cstheme="minorHAnsi"/>
          <w:color w:val="242424"/>
        </w:rPr>
        <w:t>Per affrontare questa sfida, è necessario un processo di ricognizione sulla disponibilità degli Enti Locali, d’intesa con la Regione Piemonte, a compartecipare economicamente.</w:t>
      </w:r>
    </w:p>
    <w:p w14:paraId="7AB5AF2E" w14:textId="77777777" w:rsidR="0024083D" w:rsidRPr="006E260A" w:rsidRDefault="0024083D" w:rsidP="006E260A">
      <w:pPr>
        <w:spacing w:before="120" w:after="0" w:line="240" w:lineRule="auto"/>
        <w:rPr>
          <w:rFonts w:eastAsia="Times New Roman" w:cstheme="minorHAnsi"/>
          <w:color w:val="242424"/>
        </w:rPr>
      </w:pPr>
      <w:r w:rsidRPr="006E260A">
        <w:rPr>
          <w:rFonts w:eastAsia="Times New Roman" w:cstheme="minorHAnsi"/>
          <w:color w:val="242424"/>
        </w:rPr>
        <w:t>Questo processo implica:</w:t>
      </w:r>
    </w:p>
    <w:p w14:paraId="270E760B" w14:textId="77777777" w:rsidR="0024083D" w:rsidRPr="006E260A" w:rsidRDefault="0024083D" w:rsidP="006E260A">
      <w:pPr>
        <w:numPr>
          <w:ilvl w:val="0"/>
          <w:numId w:val="45"/>
        </w:numPr>
        <w:spacing w:before="120" w:after="0" w:line="240" w:lineRule="auto"/>
        <w:ind w:left="960"/>
        <w:rPr>
          <w:rFonts w:eastAsia="Times New Roman" w:cstheme="minorHAnsi"/>
          <w:color w:val="242424"/>
        </w:rPr>
      </w:pPr>
      <w:r w:rsidRPr="006E260A">
        <w:rPr>
          <w:rFonts w:eastAsia="Times New Roman" w:cstheme="minorHAnsi"/>
          <w:b/>
          <w:bCs/>
          <w:color w:val="242424"/>
        </w:rPr>
        <w:t>Ricognizione dei Costi ed analisi dei Benefici</w:t>
      </w:r>
      <w:r w:rsidRPr="006E260A">
        <w:rPr>
          <w:rFonts w:eastAsia="Times New Roman" w:cstheme="minorHAnsi"/>
          <w:color w:val="242424"/>
        </w:rPr>
        <w:t>: Una valutazione dettagliata dei costi aggiuntivi associati alla gestione delle infrastrutture e dei servizi complementari, confrontata con i benefici attesi in termini di miglioramento del servizio e aumento della soddisfazione degli utenti.</w:t>
      </w:r>
    </w:p>
    <w:p w14:paraId="70D3410F" w14:textId="77777777" w:rsidR="0024083D" w:rsidRPr="006E260A" w:rsidRDefault="0024083D" w:rsidP="006E260A">
      <w:pPr>
        <w:numPr>
          <w:ilvl w:val="0"/>
          <w:numId w:val="45"/>
        </w:numPr>
        <w:spacing w:before="120" w:after="0" w:line="240" w:lineRule="auto"/>
        <w:ind w:left="960"/>
        <w:rPr>
          <w:rFonts w:eastAsia="Times New Roman" w:cstheme="minorHAnsi"/>
          <w:color w:val="242424"/>
        </w:rPr>
      </w:pPr>
      <w:r w:rsidRPr="006E260A">
        <w:rPr>
          <w:rFonts w:eastAsia="Times New Roman" w:cstheme="minorHAnsi"/>
          <w:b/>
          <w:bCs/>
          <w:color w:val="242424"/>
        </w:rPr>
        <w:t>Modelli di Finanziamento</w:t>
      </w:r>
      <w:r w:rsidRPr="006E260A">
        <w:rPr>
          <w:rFonts w:eastAsia="Times New Roman" w:cstheme="minorHAnsi"/>
          <w:color w:val="242424"/>
        </w:rPr>
        <w:t>: Identificazione di modelli di finanziamento sostenibili che coinvolgano gli Enti Locali, la Regione Piemonte e altri soggetti pubblici interessati. Questo potrebbe includere contributi diretti, partenariati pubblico-privato, e l'utilizzo di fondi europei o nazionali destinati allo sviluppo delle infrastrutture di trasporto.</w:t>
      </w:r>
    </w:p>
    <w:p w14:paraId="7373DE13" w14:textId="77777777" w:rsidR="0024083D" w:rsidRPr="006E260A" w:rsidRDefault="0024083D" w:rsidP="006E260A">
      <w:pPr>
        <w:numPr>
          <w:ilvl w:val="0"/>
          <w:numId w:val="45"/>
        </w:numPr>
        <w:spacing w:before="120" w:after="0" w:line="240" w:lineRule="auto"/>
        <w:ind w:left="960"/>
        <w:rPr>
          <w:rFonts w:eastAsia="Times New Roman" w:cstheme="minorHAnsi"/>
          <w:color w:val="242424"/>
        </w:rPr>
      </w:pPr>
      <w:r w:rsidRPr="006E260A">
        <w:rPr>
          <w:rFonts w:eastAsia="Times New Roman" w:cstheme="minorHAnsi"/>
          <w:b/>
          <w:bCs/>
          <w:color w:val="242424"/>
        </w:rPr>
        <w:lastRenderedPageBreak/>
        <w:t>Monitoraggio e Valutazione</w:t>
      </w:r>
      <w:r w:rsidRPr="006E260A">
        <w:rPr>
          <w:rFonts w:eastAsia="Times New Roman" w:cstheme="minorHAnsi"/>
          <w:color w:val="242424"/>
        </w:rPr>
        <w:t>: Implementazione di sistemi di monitoraggio e valutazione per garantire che gli obiettivi di integrazione e miglioramento del servizio siano raggiunti, e per adattare le strategie di gestione in base ai risultati ottenuti.</w:t>
      </w:r>
    </w:p>
    <w:p w14:paraId="3F1B6208" w14:textId="77777777" w:rsidR="0024083D" w:rsidRPr="006E260A" w:rsidRDefault="0024083D" w:rsidP="006E260A">
      <w:pPr>
        <w:spacing w:before="120" w:after="0" w:line="240" w:lineRule="auto"/>
        <w:rPr>
          <w:rFonts w:eastAsia="Times New Roman" w:cstheme="minorHAnsi"/>
          <w:color w:val="242424"/>
        </w:rPr>
      </w:pPr>
      <w:r w:rsidRPr="006E260A">
        <w:rPr>
          <w:rFonts w:eastAsia="Times New Roman" w:cstheme="minorHAnsi"/>
          <w:color w:val="242424"/>
        </w:rPr>
        <w:t>Questo approccio tecnico mira a creare un sistema di trasporto pubblico più efficiente e integrato, che possa rispondere alle esigenze degli utenti senza gravare eccessivamente sulle risorse finanziarie disponibili.</w:t>
      </w:r>
    </w:p>
    <w:p w14:paraId="188CB2BD" w14:textId="77777777" w:rsidR="0024083D" w:rsidRPr="00D411AF" w:rsidRDefault="0024083D" w:rsidP="006E260A">
      <w:pPr>
        <w:spacing w:before="120" w:after="0" w:line="240" w:lineRule="auto"/>
        <w:rPr>
          <w:rFonts w:eastAsia="Times New Roman" w:cstheme="minorHAnsi"/>
          <w:color w:val="242424"/>
        </w:rPr>
      </w:pPr>
      <w:r w:rsidRPr="00D411AF">
        <w:rPr>
          <w:rFonts w:eastAsia="Times New Roman" w:cstheme="minorHAnsi"/>
          <w:color w:val="242424"/>
        </w:rPr>
        <w:t>A valle della valutazione il tema sarà inserito nelle procedure di Gara che includano specifiche tecniche e requisiti per la gestione integrata del TPL e delle infrastrutture complementari, alla luce delle risorse individuate allo scopo con la partecipazione economica degli Enti Locali e della Regione Piemonte, assicurando così la sostenibilità finanziaria del progetto.</w:t>
      </w:r>
    </w:p>
    <w:p w14:paraId="113825C3" w14:textId="77777777" w:rsidR="00C2569D" w:rsidRPr="00D411AF" w:rsidRDefault="0024083D" w:rsidP="006E260A">
      <w:pPr>
        <w:pStyle w:val="NormaleWeb"/>
        <w:spacing w:before="120" w:after="0" w:line="240" w:lineRule="auto"/>
        <w:rPr>
          <w:rFonts w:asciiTheme="minorHAnsi" w:eastAsia="Times New Roman" w:hAnsiTheme="minorHAnsi" w:cstheme="minorHAnsi"/>
          <w:color w:val="242424"/>
          <w:sz w:val="22"/>
          <w:szCs w:val="22"/>
        </w:rPr>
        <w:sectPr w:rsidR="00C2569D" w:rsidRPr="00D411AF" w:rsidSect="0031622C">
          <w:footerReference w:type="default" r:id="rId70"/>
          <w:pgSz w:w="11906" w:h="16838"/>
          <w:pgMar w:top="1418" w:right="1418" w:bottom="1418" w:left="1418" w:header="709" w:footer="709" w:gutter="0"/>
          <w:pgBorders w:offsetFrom="page">
            <w:right w:val="single" w:sz="48" w:space="24" w:color="A5C34C" w:themeColor="accent6" w:themeShade="BF"/>
          </w:pgBorders>
          <w:cols w:space="708"/>
          <w:docGrid w:linePitch="360"/>
        </w:sectPr>
      </w:pPr>
      <w:r w:rsidRPr="00D411AF">
        <w:rPr>
          <w:rFonts w:asciiTheme="minorHAnsi" w:eastAsia="Times New Roman" w:hAnsiTheme="minorHAnsi" w:cstheme="minorHAnsi"/>
          <w:color w:val="242424"/>
          <w:sz w:val="22"/>
          <w:szCs w:val="22"/>
        </w:rPr>
        <w:t>I Piani economici finanziari affronteranno gli specifici temi e valuteranno l’efficienza, l’efficacia e l’economicità della gestione integrata del sistema.</w:t>
      </w:r>
    </w:p>
    <w:p w14:paraId="2B83FF15" w14:textId="77777777" w:rsidR="00C2569D" w:rsidRDefault="00C2569D" w:rsidP="00C2569D">
      <w:pPr>
        <w:pStyle w:val="Titolo1"/>
        <w:ind w:left="426"/>
      </w:pPr>
      <w:bookmarkStart w:id="307" w:name="_Toc204328744"/>
      <w:bookmarkStart w:id="308" w:name="_Toc205213744"/>
      <w:r>
        <w:lastRenderedPageBreak/>
        <w:t>Determinazione e modalità di aggiornamento delle tariffe</w:t>
      </w:r>
      <w:bookmarkEnd w:id="307"/>
      <w:bookmarkEnd w:id="308"/>
    </w:p>
    <w:p w14:paraId="01DD8241" w14:textId="77777777" w:rsidR="00C2569D" w:rsidRDefault="00C2569D" w:rsidP="00C2569D">
      <w:pPr>
        <w:spacing w:before="120" w:after="0" w:line="240" w:lineRule="auto"/>
      </w:pPr>
      <w:bookmarkStart w:id="309" w:name="_Toc191378244"/>
      <w:bookmarkStart w:id="310" w:name="_Ref193205654"/>
      <w:bookmarkStart w:id="311" w:name="_Toc889782535"/>
      <w:bookmarkStart w:id="312" w:name="_Toc197695704"/>
      <w:bookmarkStart w:id="313" w:name="_Toc204616514"/>
      <w:r w:rsidRPr="005053DF">
        <w:t>L’art. 12 della L.R. 1/2000 stabilisce che la Giunta regionale definisca, d'intesa con gli Enti</w:t>
      </w:r>
      <w:r>
        <w:t xml:space="preserve"> </w:t>
      </w:r>
      <w:r w:rsidRPr="005053DF">
        <w:t xml:space="preserve">locali delegati, la politica tariffaria e le sue modalità di applicazione </w:t>
      </w:r>
      <w:r w:rsidRPr="005053DF">
        <w:rPr>
          <w:i/>
        </w:rPr>
        <w:t>“…in coerenza con i principi di integrazione ed uniformità tra i diversi sistemi, modi e tipi di trasporto, in coerenza con gli obiettivi in materia di rapporto tra ricavi e costi dei servizi fissati dalla stessa L.R. 1/2000 e nel rispetto dei parametri dell'inflazione programmata.</w:t>
      </w:r>
      <w:r w:rsidRPr="005053DF">
        <w:t>”</w:t>
      </w:r>
    </w:p>
    <w:p w14:paraId="29DA9EE1" w14:textId="77777777" w:rsidR="00C2569D" w:rsidRDefault="00C2569D" w:rsidP="00C2569D">
      <w:pPr>
        <w:spacing w:before="120" w:after="0" w:line="240" w:lineRule="auto"/>
      </w:pPr>
      <w:r w:rsidRPr="005053DF">
        <w:t xml:space="preserve">Con la Deliberazione </w:t>
      </w:r>
      <w:r>
        <w:t xml:space="preserve">D.G.R. </w:t>
      </w:r>
      <w:r w:rsidRPr="005053DF">
        <w:t>n. 13-6608/2013 la Giunta Regionale del Piemonte ha fissato le tariffe per tutti i servizi di TPL, riportate per esteso nell’allegato A alla Deliberazione stessa.</w:t>
      </w:r>
      <w:r>
        <w:t xml:space="preserve"> </w:t>
      </w:r>
      <w:r w:rsidRPr="005053DF">
        <w:t xml:space="preserve">Con la stessa Deliberazione la Giunta Regionale stabiliva che </w:t>
      </w:r>
      <w:r>
        <w:t>“</w:t>
      </w:r>
      <w:r w:rsidRPr="005053DF">
        <w:rPr>
          <w:i/>
        </w:rPr>
        <w:t>A partire dal 2015, sarà ristabilito l'adeguamento automatico delle tariffe dei servizi di trasporto pubblico locale per cui, a decorrere dal 1° gennaio di ogni anno sarà autorizzato un incremento tariffario percentualmente quantificabile nel 100% dell’inflazione programmata dal Governo nell’anno precedente...</w:t>
      </w:r>
      <w:r>
        <w:t>”</w:t>
      </w:r>
    </w:p>
    <w:p w14:paraId="430DD81C" w14:textId="77777777" w:rsidR="00C2569D" w:rsidRDefault="00C2569D" w:rsidP="00C2569D">
      <w:pPr>
        <w:spacing w:before="120" w:after="0" w:line="240" w:lineRule="auto"/>
      </w:pPr>
      <w:r>
        <w:t>Si richiama l’attenzione sui due principi che ispirano la politica tariffaria piemontese:</w:t>
      </w:r>
    </w:p>
    <w:p w14:paraId="052887C3" w14:textId="77777777" w:rsidR="00C2569D" w:rsidRDefault="00C2569D" w:rsidP="00C2569D">
      <w:pPr>
        <w:pStyle w:val="Paragrafoelenco"/>
        <w:numPr>
          <w:ilvl w:val="0"/>
          <w:numId w:val="56"/>
        </w:numPr>
        <w:spacing w:before="120" w:after="0" w:line="240" w:lineRule="auto"/>
      </w:pPr>
      <w:r>
        <w:t>uniformità tariffaria tra i diversi sistemi, modi e tipi di trasporto pubblico;</w:t>
      </w:r>
    </w:p>
    <w:p w14:paraId="7EECF24B" w14:textId="77777777" w:rsidR="00C2569D" w:rsidRPr="00C44C6B" w:rsidRDefault="00C2569D" w:rsidP="00C2569D">
      <w:pPr>
        <w:pStyle w:val="Paragrafoelenco"/>
        <w:numPr>
          <w:ilvl w:val="0"/>
          <w:numId w:val="56"/>
        </w:numPr>
        <w:spacing w:before="120" w:after="0" w:line="240" w:lineRule="auto"/>
      </w:pPr>
      <w:r>
        <w:t>adeguamento automatico delle tariffe all’inflazione programmata.</w:t>
      </w:r>
    </w:p>
    <w:p w14:paraId="631818C3" w14:textId="77777777" w:rsidR="00C2569D" w:rsidRDefault="00C2569D" w:rsidP="00C2569D">
      <w:pPr>
        <w:spacing w:before="120" w:after="0" w:line="240" w:lineRule="auto"/>
      </w:pPr>
      <w:r>
        <w:t>La medesima D.G.R. n. 13-6608, nel prevedere l’adeguamento tariffario, limita il suo intervento di adeguamento alla parte inflattiva, in coerenza con il dettato della l.r. 1/2000 e con le politiche tariffarie regionali.</w:t>
      </w:r>
    </w:p>
    <w:p w14:paraId="2E7AD1E0" w14:textId="77777777" w:rsidR="00C2569D" w:rsidRDefault="00C2569D" w:rsidP="00C2569D">
      <w:pPr>
        <w:spacing w:before="120" w:after="0" w:line="240" w:lineRule="auto"/>
      </w:pPr>
      <w:r>
        <w:t xml:space="preserve">L’adozione di un metodo di adeguamento pesato non solo sull’inflazione ma anche su indicatori di qualità effettiva del servizio, in presenza di molteplici contratti di servizio porterebbe nel tempo a disallineamenti nei livelli tariffari dei diversi contratti, pregiudicando </w:t>
      </w:r>
      <w:r w:rsidRPr="00164178">
        <w:t>l’omogeneità</w:t>
      </w:r>
      <w:r>
        <w:t xml:space="preserve"> delle tariffe tra servizi ferroviari e servizi di autolinea e tra i servizi di autolinea afferenti a contratti diversi vanificando il percorso di armonizzazione dei livelli tariffari perseguito dalla Regione Piemonte con la legge regionale e i successivi provvedimenti attuativi.</w:t>
      </w:r>
    </w:p>
    <w:p w14:paraId="38D23A78" w14:textId="77777777" w:rsidR="00C2569D" w:rsidRPr="005053DF" w:rsidRDefault="00C2569D" w:rsidP="00C2569D">
      <w:pPr>
        <w:spacing w:before="120" w:after="0" w:line="240" w:lineRule="auto"/>
      </w:pPr>
      <w:r>
        <w:t>L’armonizzazione delle tariffe e l’integrazione tariffaria sono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7419DAFE" w14:textId="77777777" w:rsidR="00C2569D" w:rsidRDefault="00C2569D" w:rsidP="00C2569D">
      <w:pPr>
        <w:pStyle w:val="Titolo2"/>
        <w:ind w:left="567"/>
      </w:pPr>
      <w:bookmarkStart w:id="314" w:name="_Toc204328745"/>
      <w:bookmarkStart w:id="315" w:name="_Toc205213745"/>
      <w:bookmarkEnd w:id="309"/>
      <w:bookmarkEnd w:id="310"/>
      <w:bookmarkEnd w:id="311"/>
      <w:bookmarkEnd w:id="312"/>
      <w:bookmarkEnd w:id="313"/>
      <w:r>
        <w:t>Determinazione delle tariffe</w:t>
      </w:r>
      <w:bookmarkEnd w:id="314"/>
      <w:bookmarkEnd w:id="315"/>
    </w:p>
    <w:p w14:paraId="1EF33477" w14:textId="77777777" w:rsidR="00C2569D" w:rsidRPr="004467A7" w:rsidRDefault="00C2569D" w:rsidP="00C2569D">
      <w:pPr>
        <w:pStyle w:val="Titolo3"/>
        <w:ind w:left="720"/>
      </w:pPr>
      <w:bookmarkStart w:id="316" w:name="_Toc191378245"/>
      <w:bookmarkStart w:id="317" w:name="_Toc1113029794"/>
      <w:bookmarkStart w:id="318" w:name="_Toc197695705"/>
      <w:bookmarkStart w:id="319" w:name="_Toc204616515"/>
      <w:bookmarkStart w:id="320" w:name="_Toc205213746"/>
      <w:r>
        <w:t>Tariffe servizi extraurbani</w:t>
      </w:r>
      <w:bookmarkEnd w:id="316"/>
      <w:bookmarkEnd w:id="317"/>
      <w:bookmarkEnd w:id="318"/>
      <w:bookmarkEnd w:id="319"/>
      <w:bookmarkEnd w:id="320"/>
    </w:p>
    <w:p w14:paraId="73308C2C" w14:textId="77777777" w:rsidR="00C2569D" w:rsidRDefault="00C2569D" w:rsidP="00C2569D">
      <w:pPr>
        <w:spacing w:before="120" w:after="0" w:line="240" w:lineRule="auto"/>
      </w:pPr>
      <w:r>
        <w:t>La struttura tariffaria, per i servizi di TPL extraurbani e ferroviari prevista dalla DGR n. 13-6608/2013 è stata adeguata secondo il tasso d’inflazione programmato.</w:t>
      </w:r>
    </w:p>
    <w:p w14:paraId="287E771C" w14:textId="77777777" w:rsidR="00C2569D" w:rsidRDefault="00C2569D" w:rsidP="00C2569D">
      <w:pPr>
        <w:spacing w:before="120" w:after="0" w:line="240" w:lineRule="auto"/>
      </w:pPr>
      <w:r>
        <w:t>Gli aumenti tariffari che si sono susseguiti sono stati deliberati dall’Agenzia e sono evidenziati nella tabella riportata nella pagina seguente.</w:t>
      </w:r>
    </w:p>
    <w:p w14:paraId="16AC4238" w14:textId="77777777" w:rsidR="00C2569D" w:rsidRDefault="00C2569D" w:rsidP="00C2569D">
      <w:pPr>
        <w:spacing w:before="120" w:after="0" w:line="240" w:lineRule="auto"/>
      </w:pPr>
      <w:r w:rsidRPr="00C44C6B">
        <w:t>L’ultimo adeguamento è stato approvato con la deliberazione del CdA dell’Agenzia in data 19 febbraio 2025</w:t>
      </w:r>
      <w:r>
        <w:rPr>
          <w:rStyle w:val="Rimandonotaapidipagina"/>
        </w:rPr>
        <w:footnoteReference w:id="35"/>
      </w:r>
      <w:r w:rsidRPr="00C44C6B">
        <w:t xml:space="preserve"> e prevede, come ogni anno, che l’aumento delle tariffe sia applicato a valere dal 1 Luglio 2025. </w:t>
      </w:r>
      <w:r w:rsidRPr="00C44C6B">
        <w:lastRenderedPageBreak/>
        <w:t>Le tariffe approvate sono dettagliate nelle tabelle allegate alla deliberazione (Allegato A punti 1, 2, 3, 4, 4bis, 5, 6a, 6b, 6c, 7).</w:t>
      </w:r>
    </w:p>
    <w:p w14:paraId="69751809" w14:textId="77777777" w:rsidR="00C2569D" w:rsidRDefault="00C2569D" w:rsidP="00C2569D">
      <w:pPr>
        <w:spacing w:before="120" w:after="0" w:line="240" w:lineRule="auto"/>
      </w:pPr>
    </w:p>
    <w:p w14:paraId="4C280C3A" w14:textId="77777777" w:rsidR="00C2569D" w:rsidRPr="00450BAF" w:rsidRDefault="00C2569D" w:rsidP="00C2569D">
      <w:pPr>
        <w:spacing w:before="120" w:after="0" w:line="240" w:lineRule="auto"/>
        <w:rPr>
          <w:color w:val="EE0000"/>
        </w:rPr>
      </w:pPr>
      <w:r w:rsidRPr="00450BAF">
        <w:rPr>
          <w:noProof/>
          <w:color w:val="EE0000"/>
        </w:rPr>
        <w:drawing>
          <wp:inline distT="0" distB="0" distL="0" distR="0" wp14:anchorId="074328F6" wp14:editId="36871B64">
            <wp:extent cx="5759450" cy="5898801"/>
            <wp:effectExtent l="0" t="0" r="0"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9450" cy="5898801"/>
                    </a:xfrm>
                    <a:prstGeom prst="rect">
                      <a:avLst/>
                    </a:prstGeom>
                    <a:noFill/>
                    <a:ln>
                      <a:noFill/>
                    </a:ln>
                  </pic:spPr>
                </pic:pic>
              </a:graphicData>
            </a:graphic>
          </wp:inline>
        </w:drawing>
      </w:r>
    </w:p>
    <w:p w14:paraId="3769E9AF" w14:textId="462E8F47" w:rsidR="00C2569D" w:rsidRPr="002E2843" w:rsidRDefault="00C2569D" w:rsidP="00C2569D">
      <w:pPr>
        <w:pStyle w:val="Didascalia"/>
        <w:spacing w:after="0"/>
        <w:jc w:val="center"/>
        <w:rPr>
          <w:iCs w:val="0"/>
        </w:rPr>
      </w:pPr>
      <w:r>
        <w:t xml:space="preserve">Tabella </w:t>
      </w:r>
      <w:r>
        <w:fldChar w:fldCharType="begin"/>
      </w:r>
      <w:r>
        <w:instrText xml:space="preserve"> SEQ Tabella \* ARABIC </w:instrText>
      </w:r>
      <w:r>
        <w:fldChar w:fldCharType="separate"/>
      </w:r>
      <w:r w:rsidR="00670903">
        <w:rPr>
          <w:noProof/>
        </w:rPr>
        <w:t>39</w:t>
      </w:r>
      <w:r>
        <w:rPr>
          <w:noProof/>
        </w:rPr>
        <w:fldChar w:fldCharType="end"/>
      </w:r>
      <w:r>
        <w:rPr>
          <w:i w:val="0"/>
        </w:rPr>
        <w:t xml:space="preserve"> – </w:t>
      </w:r>
      <w:r w:rsidRPr="002E2843">
        <w:rPr>
          <w:iCs w:val="0"/>
        </w:rPr>
        <w:t>Serie degli adeguamenti tariffari</w:t>
      </w:r>
    </w:p>
    <w:p w14:paraId="7536A587" w14:textId="77777777" w:rsidR="00C2569D" w:rsidRPr="008A6CE3" w:rsidRDefault="00C2569D" w:rsidP="00C2569D">
      <w:pPr>
        <w:spacing w:before="120" w:after="0" w:line="240" w:lineRule="auto"/>
      </w:pPr>
      <w:r w:rsidRPr="008A6CE3">
        <w:t>Le tariffe riguardano svariate tipologie di Titoli di Viaggio (TdV). Le tipologie possono comprendere sia TdV aziendali, validi solo sui servizi afferenti al CdS sottoscritto dall’OE, sia TdV integrati, validi anche su servizi afferenti ad altri CdS, eventualmente sottoscritti da altri OE. Tali altri servizi possono essere espletati con una pluralità di modalità di trasporto.</w:t>
      </w:r>
    </w:p>
    <w:p w14:paraId="4C792CC5" w14:textId="77777777" w:rsidR="00C2569D" w:rsidRPr="008A6CE3" w:rsidRDefault="00C2569D" w:rsidP="00C2569D">
      <w:pPr>
        <w:spacing w:before="120" w:after="0" w:line="240" w:lineRule="auto"/>
      </w:pPr>
      <w:r w:rsidRPr="008A6CE3">
        <w:t>Le tipologie di TdV, sia aziendali sia integrati comprendono</w:t>
      </w:r>
    </w:p>
    <w:p w14:paraId="5FB75DCD" w14:textId="77777777" w:rsidR="00C2569D" w:rsidRPr="008A6CE3" w:rsidRDefault="00C2569D" w:rsidP="00C2569D">
      <w:pPr>
        <w:pStyle w:val="Paragrafoelenco"/>
        <w:numPr>
          <w:ilvl w:val="0"/>
          <w:numId w:val="57"/>
        </w:numPr>
        <w:spacing w:before="120" w:after="0" w:line="240" w:lineRule="auto"/>
      </w:pPr>
      <w:r w:rsidRPr="008A6CE3">
        <w:t>biglietti singoli a corsa o a tempo</w:t>
      </w:r>
    </w:p>
    <w:p w14:paraId="18967251" w14:textId="77777777" w:rsidR="00C2569D" w:rsidRPr="008A6CE3" w:rsidRDefault="00C2569D" w:rsidP="00C2569D">
      <w:pPr>
        <w:pStyle w:val="Paragrafoelenco"/>
        <w:numPr>
          <w:ilvl w:val="0"/>
          <w:numId w:val="57"/>
        </w:numPr>
        <w:spacing w:before="120" w:after="0" w:line="240" w:lineRule="auto"/>
      </w:pPr>
      <w:r w:rsidRPr="008A6CE3">
        <w:t>carnet di biglietti singoli</w:t>
      </w:r>
    </w:p>
    <w:p w14:paraId="5EAC5608" w14:textId="77777777" w:rsidR="00C2569D" w:rsidRPr="008A6CE3" w:rsidRDefault="00C2569D" w:rsidP="00C2569D">
      <w:pPr>
        <w:pStyle w:val="Paragrafoelenco"/>
        <w:numPr>
          <w:ilvl w:val="0"/>
          <w:numId w:val="57"/>
        </w:numPr>
        <w:spacing w:before="120" w:after="0" w:line="240" w:lineRule="auto"/>
      </w:pPr>
      <w:r w:rsidRPr="008A6CE3">
        <w:t>abbonamenti settimanali, mensili, plurimensili, annuali</w:t>
      </w:r>
    </w:p>
    <w:p w14:paraId="146D4B1F" w14:textId="77777777" w:rsidR="00C2569D" w:rsidRPr="008A6CE3" w:rsidRDefault="00C2569D" w:rsidP="00C2569D">
      <w:pPr>
        <w:pStyle w:val="Paragrafoelenco"/>
        <w:numPr>
          <w:ilvl w:val="0"/>
          <w:numId w:val="57"/>
        </w:numPr>
        <w:spacing w:before="120" w:after="0" w:line="240" w:lineRule="auto"/>
      </w:pPr>
      <w:r w:rsidRPr="008A6CE3">
        <w:t>titoli prepagati a consumo (credito trasporti)</w:t>
      </w:r>
    </w:p>
    <w:p w14:paraId="3FE7B26A" w14:textId="77777777" w:rsidR="00C2569D" w:rsidRDefault="00C2569D" w:rsidP="00C2569D">
      <w:pPr>
        <w:spacing w:before="120" w:after="0" w:line="240" w:lineRule="auto"/>
      </w:pPr>
      <w:r>
        <w:lastRenderedPageBreak/>
        <w:t>A livello regionale lo schema tariffario si basa su fasce chilometriche con scaglioni ogni 5 km di seguito riportate per titolo di viaggio</w:t>
      </w:r>
    </w:p>
    <w:p w14:paraId="36B4514B" w14:textId="77777777" w:rsidR="00C2569D" w:rsidRDefault="00C2569D" w:rsidP="00C2569D">
      <w:pPr>
        <w:spacing w:before="120" w:after="0" w:line="240" w:lineRule="auto"/>
      </w:pPr>
    </w:p>
    <w:tbl>
      <w:tblPr>
        <w:tblStyle w:val="Tabellasemplice-1"/>
        <w:tblW w:w="0" w:type="auto"/>
        <w:jc w:val="center"/>
        <w:tblLook w:val="04A0" w:firstRow="1" w:lastRow="0" w:firstColumn="1" w:lastColumn="0" w:noHBand="0" w:noVBand="1"/>
      </w:tblPr>
      <w:tblGrid>
        <w:gridCol w:w="1037"/>
        <w:gridCol w:w="1458"/>
        <w:gridCol w:w="2120"/>
        <w:gridCol w:w="2150"/>
      </w:tblGrid>
      <w:tr w:rsidR="00C2569D" w:rsidRPr="00C63E3A" w14:paraId="2EC6A0B1" w14:textId="77777777" w:rsidTr="002A21C0">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9F7A58" w14:textId="77777777" w:rsidR="00C2569D" w:rsidRPr="00C63E3A" w:rsidRDefault="00C2569D" w:rsidP="002A21C0">
            <w:pPr>
              <w:spacing w:before="20" w:after="20" w:line="240" w:lineRule="auto"/>
              <w:jc w:val="left"/>
              <w:rPr>
                <w:sz w:val="20"/>
                <w:szCs w:val="20"/>
              </w:rPr>
            </w:pPr>
            <w:r w:rsidRPr="00C63E3A">
              <w:rPr>
                <w:sz w:val="20"/>
                <w:szCs w:val="20"/>
              </w:rPr>
              <w:t>Fascia Km</w:t>
            </w:r>
          </w:p>
        </w:tc>
        <w:tc>
          <w:tcPr>
            <w:tcW w:w="0" w:type="auto"/>
            <w:vAlign w:val="center"/>
            <w:hideMark/>
          </w:tcPr>
          <w:p w14:paraId="0725627B" w14:textId="77777777" w:rsidR="00C2569D" w:rsidRPr="00C63E3A"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63E3A">
              <w:rPr>
                <w:sz w:val="20"/>
                <w:szCs w:val="20"/>
              </w:rPr>
              <w:t>Corsa semplice</w:t>
            </w:r>
          </w:p>
        </w:tc>
        <w:tc>
          <w:tcPr>
            <w:tcW w:w="0" w:type="auto"/>
            <w:vAlign w:val="center"/>
          </w:tcPr>
          <w:p w14:paraId="403FBA5D"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M</w:t>
            </w:r>
            <w:r w:rsidRPr="00F917CC">
              <w:rPr>
                <w:sz w:val="20"/>
                <w:szCs w:val="20"/>
              </w:rPr>
              <w:t>ensile</w:t>
            </w:r>
          </w:p>
        </w:tc>
        <w:tc>
          <w:tcPr>
            <w:tcW w:w="0" w:type="auto"/>
            <w:vAlign w:val="center"/>
          </w:tcPr>
          <w:p w14:paraId="67DD45AB"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A</w:t>
            </w:r>
            <w:r w:rsidRPr="00F917CC">
              <w:rPr>
                <w:sz w:val="20"/>
                <w:szCs w:val="20"/>
              </w:rPr>
              <w:t>nnuale</w:t>
            </w:r>
          </w:p>
        </w:tc>
      </w:tr>
      <w:tr w:rsidR="00C2569D" w:rsidRPr="00C63E3A" w14:paraId="66430D9D"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0F6B8A" w14:textId="77777777" w:rsidR="00C2569D" w:rsidRPr="00F917CC" w:rsidRDefault="00C2569D" w:rsidP="002A21C0">
            <w:pPr>
              <w:spacing w:before="20" w:after="20" w:line="240" w:lineRule="auto"/>
              <w:rPr>
                <w:b w:val="0"/>
                <w:sz w:val="20"/>
                <w:szCs w:val="20"/>
              </w:rPr>
            </w:pPr>
            <w:r w:rsidRPr="00F917CC">
              <w:rPr>
                <w:b w:val="0"/>
                <w:sz w:val="20"/>
                <w:szCs w:val="20"/>
              </w:rPr>
              <w:t xml:space="preserve">0-5 </w:t>
            </w:r>
          </w:p>
        </w:tc>
        <w:tc>
          <w:tcPr>
            <w:tcW w:w="0" w:type="auto"/>
            <w:vAlign w:val="center"/>
            <w:hideMark/>
          </w:tcPr>
          <w:p w14:paraId="0B9D3A5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1,80 </w:t>
            </w:r>
          </w:p>
        </w:tc>
        <w:tc>
          <w:tcPr>
            <w:tcW w:w="0" w:type="auto"/>
            <w:vAlign w:val="center"/>
          </w:tcPr>
          <w:p w14:paraId="29D2FD35"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37,00 </w:t>
            </w:r>
          </w:p>
        </w:tc>
        <w:tc>
          <w:tcPr>
            <w:tcW w:w="0" w:type="auto"/>
            <w:vAlign w:val="center"/>
          </w:tcPr>
          <w:p w14:paraId="1E48B48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333,00 </w:t>
            </w:r>
          </w:p>
        </w:tc>
      </w:tr>
      <w:tr w:rsidR="00C2569D" w:rsidRPr="00C63E3A" w14:paraId="46349F84"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6E2710" w14:textId="77777777" w:rsidR="00C2569D" w:rsidRPr="00F917CC" w:rsidRDefault="00C2569D" w:rsidP="002A21C0">
            <w:pPr>
              <w:spacing w:before="20" w:after="20" w:line="240" w:lineRule="auto"/>
              <w:rPr>
                <w:b w:val="0"/>
                <w:sz w:val="20"/>
                <w:szCs w:val="20"/>
              </w:rPr>
            </w:pPr>
            <w:r w:rsidRPr="00F917CC">
              <w:rPr>
                <w:b w:val="0"/>
                <w:sz w:val="20"/>
                <w:szCs w:val="20"/>
              </w:rPr>
              <w:t>5,1-10</w:t>
            </w:r>
          </w:p>
        </w:tc>
        <w:tc>
          <w:tcPr>
            <w:tcW w:w="0" w:type="auto"/>
            <w:vAlign w:val="center"/>
            <w:hideMark/>
          </w:tcPr>
          <w:p w14:paraId="5DDD6149"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2,30 </w:t>
            </w:r>
          </w:p>
        </w:tc>
        <w:tc>
          <w:tcPr>
            <w:tcW w:w="0" w:type="auto"/>
            <w:vAlign w:val="center"/>
          </w:tcPr>
          <w:p w14:paraId="10EA0A82"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46,00 </w:t>
            </w:r>
          </w:p>
        </w:tc>
        <w:tc>
          <w:tcPr>
            <w:tcW w:w="0" w:type="auto"/>
            <w:vAlign w:val="center"/>
          </w:tcPr>
          <w:p w14:paraId="7DA1E0A9"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419,00 </w:t>
            </w:r>
          </w:p>
        </w:tc>
      </w:tr>
      <w:tr w:rsidR="00C2569D" w:rsidRPr="00C63E3A" w14:paraId="132835E0"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D868FC" w14:textId="77777777" w:rsidR="00C2569D" w:rsidRPr="00F917CC" w:rsidRDefault="00C2569D" w:rsidP="002A21C0">
            <w:pPr>
              <w:spacing w:before="20" w:after="20" w:line="240" w:lineRule="auto"/>
              <w:rPr>
                <w:b w:val="0"/>
                <w:sz w:val="20"/>
                <w:szCs w:val="20"/>
              </w:rPr>
            </w:pPr>
            <w:r w:rsidRPr="00F917CC">
              <w:rPr>
                <w:b w:val="0"/>
                <w:sz w:val="20"/>
                <w:szCs w:val="20"/>
              </w:rPr>
              <w:t>10,1-15</w:t>
            </w:r>
          </w:p>
        </w:tc>
        <w:tc>
          <w:tcPr>
            <w:tcW w:w="0" w:type="auto"/>
            <w:vAlign w:val="center"/>
            <w:hideMark/>
          </w:tcPr>
          <w:p w14:paraId="68408A2C"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2,60 </w:t>
            </w:r>
          </w:p>
        </w:tc>
        <w:tc>
          <w:tcPr>
            <w:tcW w:w="0" w:type="auto"/>
            <w:vAlign w:val="center"/>
          </w:tcPr>
          <w:p w14:paraId="0F01B94A"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56,50 </w:t>
            </w:r>
          </w:p>
        </w:tc>
        <w:tc>
          <w:tcPr>
            <w:tcW w:w="0" w:type="auto"/>
            <w:vAlign w:val="center"/>
          </w:tcPr>
          <w:p w14:paraId="502E16A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505,50 </w:t>
            </w:r>
          </w:p>
        </w:tc>
      </w:tr>
      <w:tr w:rsidR="00C2569D" w:rsidRPr="00C63E3A" w14:paraId="60CD2844"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A79C1C" w14:textId="77777777" w:rsidR="00C2569D" w:rsidRPr="00F917CC" w:rsidRDefault="00C2569D" w:rsidP="002A21C0">
            <w:pPr>
              <w:spacing w:before="20" w:after="20" w:line="240" w:lineRule="auto"/>
              <w:rPr>
                <w:b w:val="0"/>
                <w:sz w:val="20"/>
                <w:szCs w:val="20"/>
              </w:rPr>
            </w:pPr>
            <w:r w:rsidRPr="00F917CC">
              <w:rPr>
                <w:b w:val="0"/>
                <w:sz w:val="20"/>
                <w:szCs w:val="20"/>
              </w:rPr>
              <w:t>15,1-20</w:t>
            </w:r>
          </w:p>
        </w:tc>
        <w:tc>
          <w:tcPr>
            <w:tcW w:w="0" w:type="auto"/>
            <w:vAlign w:val="center"/>
            <w:hideMark/>
          </w:tcPr>
          <w:p w14:paraId="211C8776"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3,30 </w:t>
            </w:r>
          </w:p>
        </w:tc>
        <w:tc>
          <w:tcPr>
            <w:tcW w:w="0" w:type="auto"/>
            <w:vAlign w:val="center"/>
          </w:tcPr>
          <w:p w14:paraId="5E85709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71,00 </w:t>
            </w:r>
          </w:p>
        </w:tc>
        <w:tc>
          <w:tcPr>
            <w:tcW w:w="0" w:type="auto"/>
            <w:vAlign w:val="center"/>
          </w:tcPr>
          <w:p w14:paraId="403C3514"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636,50 </w:t>
            </w:r>
          </w:p>
        </w:tc>
      </w:tr>
      <w:tr w:rsidR="00C2569D" w:rsidRPr="00C63E3A" w14:paraId="27425952"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8E970A" w14:textId="77777777" w:rsidR="00C2569D" w:rsidRPr="00F917CC" w:rsidRDefault="00C2569D" w:rsidP="002A21C0">
            <w:pPr>
              <w:spacing w:before="20" w:after="20" w:line="240" w:lineRule="auto"/>
              <w:rPr>
                <w:b w:val="0"/>
                <w:sz w:val="20"/>
                <w:szCs w:val="20"/>
              </w:rPr>
            </w:pPr>
            <w:r w:rsidRPr="00F917CC">
              <w:rPr>
                <w:b w:val="0"/>
                <w:sz w:val="20"/>
                <w:szCs w:val="20"/>
              </w:rPr>
              <w:t>20,1-25</w:t>
            </w:r>
          </w:p>
        </w:tc>
        <w:tc>
          <w:tcPr>
            <w:tcW w:w="0" w:type="auto"/>
            <w:vAlign w:val="center"/>
            <w:hideMark/>
          </w:tcPr>
          <w:p w14:paraId="2E45286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3,70 </w:t>
            </w:r>
          </w:p>
        </w:tc>
        <w:tc>
          <w:tcPr>
            <w:tcW w:w="0" w:type="auto"/>
            <w:vAlign w:val="center"/>
          </w:tcPr>
          <w:p w14:paraId="2E2C0C7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79,50 </w:t>
            </w:r>
          </w:p>
        </w:tc>
        <w:tc>
          <w:tcPr>
            <w:tcW w:w="0" w:type="auto"/>
            <w:vAlign w:val="center"/>
          </w:tcPr>
          <w:p w14:paraId="6AE67C7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716,00 </w:t>
            </w:r>
          </w:p>
        </w:tc>
      </w:tr>
      <w:tr w:rsidR="00C2569D" w:rsidRPr="00C63E3A" w14:paraId="051C2E72"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696227" w14:textId="77777777" w:rsidR="00C2569D" w:rsidRPr="00F917CC" w:rsidRDefault="00C2569D" w:rsidP="002A21C0">
            <w:pPr>
              <w:spacing w:before="20" w:after="20" w:line="240" w:lineRule="auto"/>
              <w:rPr>
                <w:b w:val="0"/>
                <w:sz w:val="20"/>
                <w:szCs w:val="20"/>
              </w:rPr>
            </w:pPr>
            <w:r w:rsidRPr="00F917CC">
              <w:rPr>
                <w:b w:val="0"/>
                <w:sz w:val="20"/>
                <w:szCs w:val="20"/>
              </w:rPr>
              <w:t>25,1-30</w:t>
            </w:r>
          </w:p>
        </w:tc>
        <w:tc>
          <w:tcPr>
            <w:tcW w:w="0" w:type="auto"/>
            <w:vAlign w:val="center"/>
            <w:hideMark/>
          </w:tcPr>
          <w:p w14:paraId="60E730F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4,30 </w:t>
            </w:r>
          </w:p>
        </w:tc>
        <w:tc>
          <w:tcPr>
            <w:tcW w:w="0" w:type="auto"/>
            <w:vAlign w:val="center"/>
          </w:tcPr>
          <w:p w14:paraId="204E0916"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88,00 </w:t>
            </w:r>
          </w:p>
        </w:tc>
        <w:tc>
          <w:tcPr>
            <w:tcW w:w="0" w:type="auto"/>
            <w:vAlign w:val="center"/>
          </w:tcPr>
          <w:p w14:paraId="6CBF61EA"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787,00 </w:t>
            </w:r>
          </w:p>
        </w:tc>
      </w:tr>
      <w:tr w:rsidR="00C2569D" w:rsidRPr="00C63E3A" w14:paraId="5DF62308"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2E7633" w14:textId="77777777" w:rsidR="00C2569D" w:rsidRPr="00F917CC" w:rsidRDefault="00C2569D" w:rsidP="002A21C0">
            <w:pPr>
              <w:spacing w:before="20" w:after="20" w:line="240" w:lineRule="auto"/>
              <w:rPr>
                <w:b w:val="0"/>
                <w:sz w:val="20"/>
                <w:szCs w:val="20"/>
              </w:rPr>
            </w:pPr>
            <w:r w:rsidRPr="00F917CC">
              <w:rPr>
                <w:b w:val="0"/>
                <w:sz w:val="20"/>
                <w:szCs w:val="20"/>
              </w:rPr>
              <w:t>30,1-35</w:t>
            </w:r>
          </w:p>
        </w:tc>
        <w:tc>
          <w:tcPr>
            <w:tcW w:w="0" w:type="auto"/>
            <w:vAlign w:val="center"/>
            <w:hideMark/>
          </w:tcPr>
          <w:p w14:paraId="0279518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4,60 </w:t>
            </w:r>
          </w:p>
        </w:tc>
        <w:tc>
          <w:tcPr>
            <w:tcW w:w="0" w:type="auto"/>
            <w:vAlign w:val="center"/>
          </w:tcPr>
          <w:p w14:paraId="0338869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93,50 </w:t>
            </w:r>
          </w:p>
        </w:tc>
        <w:tc>
          <w:tcPr>
            <w:tcW w:w="0" w:type="auto"/>
            <w:vAlign w:val="center"/>
          </w:tcPr>
          <w:p w14:paraId="2A8F7E8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843,50 </w:t>
            </w:r>
          </w:p>
        </w:tc>
      </w:tr>
      <w:tr w:rsidR="00C2569D" w:rsidRPr="00C63E3A" w14:paraId="013AB293"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AAD73A" w14:textId="77777777" w:rsidR="00C2569D" w:rsidRPr="00F917CC" w:rsidRDefault="00C2569D" w:rsidP="002A21C0">
            <w:pPr>
              <w:spacing w:before="20" w:after="20" w:line="240" w:lineRule="auto"/>
              <w:rPr>
                <w:b w:val="0"/>
                <w:sz w:val="20"/>
                <w:szCs w:val="20"/>
              </w:rPr>
            </w:pPr>
            <w:r>
              <w:rPr>
                <w:b w:val="0"/>
                <w:sz w:val="20"/>
                <w:szCs w:val="20"/>
              </w:rPr>
              <w:t>35,1-40</w:t>
            </w:r>
          </w:p>
        </w:tc>
        <w:tc>
          <w:tcPr>
            <w:tcW w:w="0" w:type="auto"/>
            <w:vAlign w:val="center"/>
            <w:hideMark/>
          </w:tcPr>
          <w:p w14:paraId="230FA67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5,00 </w:t>
            </w:r>
          </w:p>
        </w:tc>
        <w:tc>
          <w:tcPr>
            <w:tcW w:w="0" w:type="auto"/>
            <w:vAlign w:val="center"/>
          </w:tcPr>
          <w:p w14:paraId="2A70CC6A"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101,50 </w:t>
            </w:r>
          </w:p>
        </w:tc>
        <w:tc>
          <w:tcPr>
            <w:tcW w:w="0" w:type="auto"/>
            <w:vAlign w:val="center"/>
          </w:tcPr>
          <w:p w14:paraId="445EBB0D"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907,50 </w:t>
            </w:r>
          </w:p>
        </w:tc>
      </w:tr>
      <w:tr w:rsidR="00C2569D" w:rsidRPr="00C63E3A" w14:paraId="267F45D1"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E16481" w14:textId="77777777" w:rsidR="00C2569D" w:rsidRPr="00F917CC" w:rsidRDefault="00C2569D" w:rsidP="002A21C0">
            <w:pPr>
              <w:spacing w:before="20" w:after="20" w:line="240" w:lineRule="auto"/>
              <w:rPr>
                <w:b w:val="0"/>
                <w:sz w:val="20"/>
                <w:szCs w:val="20"/>
              </w:rPr>
            </w:pPr>
            <w:r>
              <w:rPr>
                <w:b w:val="0"/>
                <w:sz w:val="20"/>
                <w:szCs w:val="20"/>
              </w:rPr>
              <w:t>40,1-45</w:t>
            </w:r>
          </w:p>
        </w:tc>
        <w:tc>
          <w:tcPr>
            <w:tcW w:w="0" w:type="auto"/>
            <w:vAlign w:val="center"/>
            <w:hideMark/>
          </w:tcPr>
          <w:p w14:paraId="38D97E0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5,30 </w:t>
            </w:r>
          </w:p>
        </w:tc>
        <w:tc>
          <w:tcPr>
            <w:tcW w:w="0" w:type="auto"/>
            <w:vAlign w:val="center"/>
          </w:tcPr>
          <w:p w14:paraId="0AC5D88C"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108,50 </w:t>
            </w:r>
          </w:p>
        </w:tc>
        <w:tc>
          <w:tcPr>
            <w:tcW w:w="0" w:type="auto"/>
            <w:vAlign w:val="center"/>
          </w:tcPr>
          <w:p w14:paraId="6311373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978,50 </w:t>
            </w:r>
          </w:p>
        </w:tc>
      </w:tr>
      <w:tr w:rsidR="00C2569D" w:rsidRPr="00C63E3A" w14:paraId="55D6F349"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A635CB" w14:textId="77777777" w:rsidR="00C2569D" w:rsidRPr="00F917CC" w:rsidRDefault="00C2569D" w:rsidP="002A21C0">
            <w:pPr>
              <w:spacing w:before="20" w:after="20" w:line="240" w:lineRule="auto"/>
              <w:rPr>
                <w:b w:val="0"/>
                <w:sz w:val="20"/>
                <w:szCs w:val="20"/>
              </w:rPr>
            </w:pPr>
            <w:r>
              <w:rPr>
                <w:b w:val="0"/>
                <w:sz w:val="20"/>
                <w:szCs w:val="20"/>
              </w:rPr>
              <w:t>45,1-50</w:t>
            </w:r>
          </w:p>
        </w:tc>
        <w:tc>
          <w:tcPr>
            <w:tcW w:w="0" w:type="auto"/>
            <w:vAlign w:val="center"/>
            <w:hideMark/>
          </w:tcPr>
          <w:p w14:paraId="326AA8E7"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5,60 </w:t>
            </w:r>
          </w:p>
        </w:tc>
        <w:tc>
          <w:tcPr>
            <w:tcW w:w="0" w:type="auto"/>
            <w:vAlign w:val="center"/>
          </w:tcPr>
          <w:p w14:paraId="40DE7F02"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113,50 </w:t>
            </w:r>
          </w:p>
        </w:tc>
        <w:tc>
          <w:tcPr>
            <w:tcW w:w="0" w:type="auto"/>
            <w:vAlign w:val="center"/>
          </w:tcPr>
          <w:p w14:paraId="32BB487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1.021,00 </w:t>
            </w:r>
          </w:p>
        </w:tc>
      </w:tr>
      <w:tr w:rsidR="00C2569D" w:rsidRPr="00C63E3A" w14:paraId="5A00C516"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40285D" w14:textId="77777777" w:rsidR="00C2569D" w:rsidRPr="00F917CC" w:rsidRDefault="00C2569D" w:rsidP="002A21C0">
            <w:pPr>
              <w:spacing w:before="20" w:after="20" w:line="240" w:lineRule="auto"/>
              <w:rPr>
                <w:b w:val="0"/>
                <w:sz w:val="20"/>
                <w:szCs w:val="20"/>
              </w:rPr>
            </w:pPr>
            <w:r>
              <w:rPr>
                <w:b w:val="0"/>
                <w:sz w:val="20"/>
                <w:szCs w:val="20"/>
              </w:rPr>
              <w:t>50,1-60</w:t>
            </w:r>
          </w:p>
        </w:tc>
        <w:tc>
          <w:tcPr>
            <w:tcW w:w="0" w:type="auto"/>
            <w:vAlign w:val="center"/>
            <w:hideMark/>
          </w:tcPr>
          <w:p w14:paraId="6259406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 </w:t>
            </w:r>
          </w:p>
        </w:tc>
        <w:tc>
          <w:tcPr>
            <w:tcW w:w="0" w:type="auto"/>
            <w:vAlign w:val="center"/>
          </w:tcPr>
          <w:p w14:paraId="1508168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122,00 </w:t>
            </w:r>
          </w:p>
        </w:tc>
        <w:tc>
          <w:tcPr>
            <w:tcW w:w="0" w:type="auto"/>
            <w:vAlign w:val="center"/>
          </w:tcPr>
          <w:p w14:paraId="7255A0A5"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1.102,50 </w:t>
            </w:r>
          </w:p>
        </w:tc>
      </w:tr>
      <w:tr w:rsidR="00C2569D" w:rsidRPr="00C63E3A" w14:paraId="0F81534A"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95D39A" w14:textId="77777777" w:rsidR="00C2569D" w:rsidRPr="00F917CC" w:rsidRDefault="00C2569D" w:rsidP="002A21C0">
            <w:pPr>
              <w:spacing w:before="20" w:after="20" w:line="240" w:lineRule="auto"/>
              <w:rPr>
                <w:b w:val="0"/>
                <w:sz w:val="20"/>
                <w:szCs w:val="20"/>
              </w:rPr>
            </w:pPr>
            <w:r w:rsidRPr="00F917CC">
              <w:rPr>
                <w:b w:val="0"/>
                <w:sz w:val="20"/>
                <w:szCs w:val="20"/>
              </w:rPr>
              <w:t>6</w:t>
            </w:r>
            <w:r>
              <w:rPr>
                <w:b w:val="0"/>
                <w:sz w:val="20"/>
                <w:szCs w:val="20"/>
              </w:rPr>
              <w:t>0,1-70</w:t>
            </w:r>
          </w:p>
        </w:tc>
        <w:tc>
          <w:tcPr>
            <w:tcW w:w="0" w:type="auto"/>
            <w:vAlign w:val="center"/>
            <w:hideMark/>
          </w:tcPr>
          <w:p w14:paraId="10E3A96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7,00 </w:t>
            </w:r>
          </w:p>
        </w:tc>
        <w:tc>
          <w:tcPr>
            <w:tcW w:w="0" w:type="auto"/>
            <w:vAlign w:val="center"/>
          </w:tcPr>
          <w:p w14:paraId="08E6312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126,50 </w:t>
            </w:r>
          </w:p>
        </w:tc>
        <w:tc>
          <w:tcPr>
            <w:tcW w:w="0" w:type="auto"/>
            <w:vAlign w:val="center"/>
          </w:tcPr>
          <w:p w14:paraId="01F783A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1.142,50 </w:t>
            </w:r>
          </w:p>
        </w:tc>
      </w:tr>
      <w:tr w:rsidR="00C2569D" w:rsidRPr="00C63E3A" w14:paraId="43E4F7A3"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650045" w14:textId="77777777" w:rsidR="00C2569D" w:rsidRPr="00F917CC" w:rsidRDefault="00C2569D" w:rsidP="002A21C0">
            <w:pPr>
              <w:spacing w:before="20" w:after="20" w:line="240" w:lineRule="auto"/>
              <w:rPr>
                <w:b w:val="0"/>
                <w:sz w:val="20"/>
                <w:szCs w:val="20"/>
              </w:rPr>
            </w:pPr>
            <w:r>
              <w:rPr>
                <w:b w:val="0"/>
                <w:sz w:val="20"/>
                <w:szCs w:val="20"/>
              </w:rPr>
              <w:t>70,1-80</w:t>
            </w:r>
          </w:p>
        </w:tc>
        <w:tc>
          <w:tcPr>
            <w:tcW w:w="0" w:type="auto"/>
            <w:vAlign w:val="center"/>
            <w:hideMark/>
          </w:tcPr>
          <w:p w14:paraId="10C8455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7,70 </w:t>
            </w:r>
          </w:p>
        </w:tc>
        <w:tc>
          <w:tcPr>
            <w:tcW w:w="0" w:type="auto"/>
            <w:vAlign w:val="center"/>
          </w:tcPr>
          <w:p w14:paraId="6E19C2A5"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130,50 </w:t>
            </w:r>
          </w:p>
        </w:tc>
        <w:tc>
          <w:tcPr>
            <w:tcW w:w="0" w:type="auto"/>
            <w:vAlign w:val="center"/>
          </w:tcPr>
          <w:p w14:paraId="6D4D272E"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1.179,00 </w:t>
            </w:r>
          </w:p>
        </w:tc>
      </w:tr>
      <w:tr w:rsidR="00C2569D" w:rsidRPr="00C63E3A" w14:paraId="105BB253"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FCFFA8" w14:textId="77777777" w:rsidR="00C2569D" w:rsidRPr="00F917CC" w:rsidRDefault="00C2569D" w:rsidP="002A21C0">
            <w:pPr>
              <w:spacing w:before="20" w:after="20" w:line="240" w:lineRule="auto"/>
              <w:rPr>
                <w:b w:val="0"/>
                <w:sz w:val="20"/>
                <w:szCs w:val="20"/>
              </w:rPr>
            </w:pPr>
            <w:r>
              <w:rPr>
                <w:b w:val="0"/>
                <w:sz w:val="20"/>
                <w:szCs w:val="20"/>
              </w:rPr>
              <w:t>80,1-90</w:t>
            </w:r>
          </w:p>
        </w:tc>
        <w:tc>
          <w:tcPr>
            <w:tcW w:w="0" w:type="auto"/>
            <w:vAlign w:val="center"/>
            <w:hideMark/>
          </w:tcPr>
          <w:p w14:paraId="21E8A8E6"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8,50 </w:t>
            </w:r>
          </w:p>
        </w:tc>
        <w:tc>
          <w:tcPr>
            <w:tcW w:w="0" w:type="auto"/>
            <w:vAlign w:val="center"/>
          </w:tcPr>
          <w:p w14:paraId="75A4435D"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134,00 </w:t>
            </w:r>
          </w:p>
        </w:tc>
        <w:tc>
          <w:tcPr>
            <w:tcW w:w="0" w:type="auto"/>
            <w:vAlign w:val="center"/>
          </w:tcPr>
          <w:p w14:paraId="39B92F63"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1.213,00 </w:t>
            </w:r>
          </w:p>
        </w:tc>
      </w:tr>
      <w:tr w:rsidR="00C2569D" w:rsidRPr="00C63E3A" w14:paraId="6381164C"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4C6F6" w14:textId="77777777" w:rsidR="00C2569D" w:rsidRPr="00F917CC" w:rsidRDefault="00C2569D" w:rsidP="002A21C0">
            <w:pPr>
              <w:spacing w:before="20" w:after="20" w:line="240" w:lineRule="auto"/>
              <w:rPr>
                <w:b w:val="0"/>
                <w:sz w:val="20"/>
                <w:szCs w:val="20"/>
              </w:rPr>
            </w:pPr>
            <w:r>
              <w:rPr>
                <w:b w:val="0"/>
                <w:sz w:val="20"/>
                <w:szCs w:val="20"/>
              </w:rPr>
              <w:t>90,1-100</w:t>
            </w:r>
          </w:p>
        </w:tc>
        <w:tc>
          <w:tcPr>
            <w:tcW w:w="0" w:type="auto"/>
            <w:vAlign w:val="center"/>
            <w:hideMark/>
          </w:tcPr>
          <w:p w14:paraId="05E196A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 </w:t>
            </w:r>
          </w:p>
        </w:tc>
        <w:tc>
          <w:tcPr>
            <w:tcW w:w="0" w:type="auto"/>
            <w:vAlign w:val="center"/>
          </w:tcPr>
          <w:p w14:paraId="3A5E0D0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138,00 </w:t>
            </w:r>
          </w:p>
        </w:tc>
        <w:tc>
          <w:tcPr>
            <w:tcW w:w="0" w:type="auto"/>
            <w:vAlign w:val="center"/>
          </w:tcPr>
          <w:p w14:paraId="452625B3"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1.245,50 </w:t>
            </w:r>
          </w:p>
        </w:tc>
      </w:tr>
      <w:tr w:rsidR="00C2569D" w:rsidRPr="00C63E3A" w14:paraId="685F3DFA" w14:textId="77777777" w:rsidTr="002A21C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414C61" w14:textId="77777777" w:rsidR="00C2569D" w:rsidRPr="00F917CC" w:rsidRDefault="00C2569D" w:rsidP="002A21C0">
            <w:pPr>
              <w:spacing w:before="20" w:after="20" w:line="240" w:lineRule="auto"/>
              <w:rPr>
                <w:b w:val="0"/>
                <w:sz w:val="20"/>
                <w:szCs w:val="20"/>
              </w:rPr>
            </w:pPr>
            <w:r>
              <w:rPr>
                <w:b w:val="0"/>
                <w:sz w:val="20"/>
                <w:szCs w:val="20"/>
              </w:rPr>
              <w:t>100,1-125</w:t>
            </w:r>
          </w:p>
        </w:tc>
        <w:tc>
          <w:tcPr>
            <w:tcW w:w="0" w:type="auto"/>
            <w:vAlign w:val="center"/>
            <w:hideMark/>
          </w:tcPr>
          <w:p w14:paraId="661C1F38"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10,60 </w:t>
            </w:r>
          </w:p>
        </w:tc>
        <w:tc>
          <w:tcPr>
            <w:tcW w:w="0" w:type="auto"/>
            <w:vAlign w:val="center"/>
          </w:tcPr>
          <w:p w14:paraId="5FE69C74"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141,00 </w:t>
            </w:r>
          </w:p>
        </w:tc>
        <w:tc>
          <w:tcPr>
            <w:tcW w:w="0" w:type="auto"/>
            <w:vAlign w:val="center"/>
          </w:tcPr>
          <w:p w14:paraId="2D0D0AAC"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1.275,00 </w:t>
            </w:r>
          </w:p>
        </w:tc>
      </w:tr>
      <w:tr w:rsidR="00C2569D" w:rsidRPr="00C63E3A" w14:paraId="32802746" w14:textId="77777777" w:rsidTr="002A21C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98354" w14:textId="77777777" w:rsidR="00C2569D" w:rsidRPr="00F917CC" w:rsidRDefault="00C2569D" w:rsidP="002A21C0">
            <w:pPr>
              <w:spacing w:before="20" w:after="20" w:line="240" w:lineRule="auto"/>
              <w:rPr>
                <w:b w:val="0"/>
                <w:sz w:val="20"/>
                <w:szCs w:val="20"/>
              </w:rPr>
            </w:pPr>
            <w:r>
              <w:rPr>
                <w:b w:val="0"/>
                <w:sz w:val="20"/>
                <w:szCs w:val="20"/>
              </w:rPr>
              <w:t>125,1-150</w:t>
            </w:r>
          </w:p>
        </w:tc>
        <w:tc>
          <w:tcPr>
            <w:tcW w:w="0" w:type="auto"/>
            <w:vAlign w:val="center"/>
            <w:hideMark/>
          </w:tcPr>
          <w:p w14:paraId="3B8FE962"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11,20 </w:t>
            </w:r>
          </w:p>
        </w:tc>
        <w:tc>
          <w:tcPr>
            <w:tcW w:w="0" w:type="auto"/>
            <w:vAlign w:val="center"/>
          </w:tcPr>
          <w:p w14:paraId="1AF93377"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155,50 </w:t>
            </w:r>
          </w:p>
        </w:tc>
        <w:tc>
          <w:tcPr>
            <w:tcW w:w="0" w:type="auto"/>
            <w:vAlign w:val="center"/>
          </w:tcPr>
          <w:p w14:paraId="65380E0E"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1.399,50 </w:t>
            </w:r>
          </w:p>
        </w:tc>
      </w:tr>
    </w:tbl>
    <w:p w14:paraId="796F6964" w14:textId="6616A79C" w:rsidR="00C2569D" w:rsidRDefault="00C2569D" w:rsidP="00C2569D">
      <w:pPr>
        <w:pStyle w:val="Didascalia"/>
        <w:spacing w:before="120" w:after="0"/>
        <w:jc w:val="center"/>
        <w:rPr>
          <w:i w:val="0"/>
        </w:rPr>
      </w:pPr>
      <w:r>
        <w:t xml:space="preserve">Tabella </w:t>
      </w:r>
      <w:r>
        <w:fldChar w:fldCharType="begin"/>
      </w:r>
      <w:r>
        <w:instrText xml:space="preserve"> SEQ Tabella \* ARABIC </w:instrText>
      </w:r>
      <w:r>
        <w:fldChar w:fldCharType="separate"/>
      </w:r>
      <w:r w:rsidR="00670903">
        <w:rPr>
          <w:noProof/>
        </w:rPr>
        <w:t>40</w:t>
      </w:r>
      <w:r>
        <w:rPr>
          <w:noProof/>
        </w:rPr>
        <w:fldChar w:fldCharType="end"/>
      </w:r>
      <w:r>
        <w:rPr>
          <w:i w:val="0"/>
        </w:rPr>
        <w:t xml:space="preserve"> – </w:t>
      </w:r>
      <w:r w:rsidRPr="002E2843">
        <w:rPr>
          <w:iCs w:val="0"/>
        </w:rPr>
        <w:t>Principali Tariffe a fasce chilometriche</w:t>
      </w:r>
    </w:p>
    <w:p w14:paraId="422B0DAD" w14:textId="77777777" w:rsidR="00C2569D" w:rsidRPr="00F917CC" w:rsidRDefault="00C2569D" w:rsidP="00C2569D"/>
    <w:tbl>
      <w:tblPr>
        <w:tblStyle w:val="Tabellasemplice-1"/>
        <w:tblW w:w="9209" w:type="dxa"/>
        <w:tblLayout w:type="fixed"/>
        <w:tblLook w:val="04A0" w:firstRow="1" w:lastRow="0" w:firstColumn="1" w:lastColumn="0" w:noHBand="0" w:noVBand="1"/>
      </w:tblPr>
      <w:tblGrid>
        <w:gridCol w:w="1129"/>
        <w:gridCol w:w="1276"/>
        <w:gridCol w:w="1418"/>
        <w:gridCol w:w="1559"/>
        <w:gridCol w:w="1559"/>
        <w:gridCol w:w="1276"/>
        <w:gridCol w:w="992"/>
      </w:tblGrid>
      <w:tr w:rsidR="00C2569D" w:rsidRPr="00F917CC" w14:paraId="6DB31460" w14:textId="77777777" w:rsidTr="002A21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8B87281" w14:textId="77777777" w:rsidR="00C2569D" w:rsidRPr="00F917CC" w:rsidRDefault="00C2569D" w:rsidP="002A21C0">
            <w:pPr>
              <w:spacing w:before="20" w:after="20" w:line="240" w:lineRule="auto"/>
              <w:jc w:val="left"/>
              <w:rPr>
                <w:sz w:val="20"/>
                <w:szCs w:val="20"/>
              </w:rPr>
            </w:pPr>
            <w:r w:rsidRPr="00F917CC">
              <w:rPr>
                <w:sz w:val="20"/>
                <w:szCs w:val="20"/>
              </w:rPr>
              <w:t>Fascia km</w:t>
            </w:r>
          </w:p>
        </w:tc>
        <w:tc>
          <w:tcPr>
            <w:tcW w:w="1276" w:type="dxa"/>
            <w:vAlign w:val="center"/>
          </w:tcPr>
          <w:p w14:paraId="270D6B5F"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Settimanale</w:t>
            </w:r>
          </w:p>
        </w:tc>
        <w:tc>
          <w:tcPr>
            <w:tcW w:w="1418" w:type="dxa"/>
            <w:vAlign w:val="center"/>
          </w:tcPr>
          <w:p w14:paraId="48DCF14E"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Annuale 10 mesi studenti</w:t>
            </w:r>
          </w:p>
        </w:tc>
        <w:tc>
          <w:tcPr>
            <w:tcW w:w="1559" w:type="dxa"/>
            <w:vAlign w:val="center"/>
          </w:tcPr>
          <w:p w14:paraId="5F221659"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Mensile fer 5gg 42 corse</w:t>
            </w:r>
          </w:p>
        </w:tc>
        <w:tc>
          <w:tcPr>
            <w:tcW w:w="1559" w:type="dxa"/>
            <w:vAlign w:val="center"/>
          </w:tcPr>
          <w:p w14:paraId="39C04C71"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fer 5gg 126 corse</w:t>
            </w:r>
          </w:p>
        </w:tc>
        <w:tc>
          <w:tcPr>
            <w:tcW w:w="1276" w:type="dxa"/>
            <w:vAlign w:val="center"/>
          </w:tcPr>
          <w:p w14:paraId="21416B69"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illimitato</w:t>
            </w:r>
          </w:p>
        </w:tc>
        <w:tc>
          <w:tcPr>
            <w:tcW w:w="992" w:type="dxa"/>
            <w:vAlign w:val="center"/>
          </w:tcPr>
          <w:p w14:paraId="65C2653F" w14:textId="77777777" w:rsidR="00C2569D" w:rsidRPr="00F917CC" w:rsidRDefault="00C2569D" w:rsidP="002A21C0">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Tessera 20 corse</w:t>
            </w:r>
          </w:p>
        </w:tc>
      </w:tr>
      <w:tr w:rsidR="00C2569D" w:rsidRPr="00C63E3A" w14:paraId="4422180B"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A2195B3" w14:textId="77777777" w:rsidR="00C2569D" w:rsidRPr="00C63E3A" w:rsidRDefault="00C2569D" w:rsidP="002A21C0">
            <w:pPr>
              <w:spacing w:before="20" w:after="20" w:line="240" w:lineRule="auto"/>
              <w:rPr>
                <w:b w:val="0"/>
                <w:sz w:val="20"/>
                <w:szCs w:val="20"/>
              </w:rPr>
            </w:pPr>
            <w:r w:rsidRPr="00C63E3A">
              <w:rPr>
                <w:b w:val="0"/>
                <w:sz w:val="20"/>
                <w:szCs w:val="20"/>
              </w:rPr>
              <w:t>0-5</w:t>
            </w:r>
          </w:p>
        </w:tc>
        <w:tc>
          <w:tcPr>
            <w:tcW w:w="1276" w:type="dxa"/>
          </w:tcPr>
          <w:p w14:paraId="45789A0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10,40 </w:t>
            </w:r>
          </w:p>
        </w:tc>
        <w:tc>
          <w:tcPr>
            <w:tcW w:w="1418" w:type="dxa"/>
            <w:vAlign w:val="center"/>
          </w:tcPr>
          <w:p w14:paraId="3EB968D0"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296,00 </w:t>
            </w:r>
          </w:p>
        </w:tc>
        <w:tc>
          <w:tcPr>
            <w:tcW w:w="1559" w:type="dxa"/>
            <w:vAlign w:val="center"/>
          </w:tcPr>
          <w:p w14:paraId="69F6D9D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c>
          <w:tcPr>
            <w:tcW w:w="1559" w:type="dxa"/>
            <w:vAlign w:val="center"/>
          </w:tcPr>
          <w:p w14:paraId="3E0FE49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95,00 </w:t>
            </w:r>
          </w:p>
        </w:tc>
        <w:tc>
          <w:tcPr>
            <w:tcW w:w="1276" w:type="dxa"/>
            <w:vAlign w:val="center"/>
          </w:tcPr>
          <w:p w14:paraId="02C2879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99,50 </w:t>
            </w:r>
          </w:p>
        </w:tc>
        <w:tc>
          <w:tcPr>
            <w:tcW w:w="992" w:type="dxa"/>
            <w:vAlign w:val="center"/>
          </w:tcPr>
          <w:p w14:paraId="7BD8B845"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25,50 </w:t>
            </w:r>
          </w:p>
        </w:tc>
      </w:tr>
      <w:tr w:rsidR="00C2569D" w:rsidRPr="00C63E3A" w14:paraId="6BCAC096"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6B013AD4" w14:textId="77777777" w:rsidR="00C2569D" w:rsidRPr="00C63E3A" w:rsidRDefault="00C2569D" w:rsidP="002A21C0">
            <w:pPr>
              <w:spacing w:before="20" w:after="20" w:line="240" w:lineRule="auto"/>
              <w:rPr>
                <w:b w:val="0"/>
                <w:sz w:val="20"/>
                <w:szCs w:val="20"/>
              </w:rPr>
            </w:pPr>
            <w:r w:rsidRPr="00C63E3A">
              <w:rPr>
                <w:b w:val="0"/>
                <w:sz w:val="20"/>
                <w:szCs w:val="20"/>
              </w:rPr>
              <w:t>5,1-10</w:t>
            </w:r>
          </w:p>
        </w:tc>
        <w:tc>
          <w:tcPr>
            <w:tcW w:w="1276" w:type="dxa"/>
          </w:tcPr>
          <w:p w14:paraId="293AD93E"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12,90 </w:t>
            </w:r>
          </w:p>
        </w:tc>
        <w:tc>
          <w:tcPr>
            <w:tcW w:w="1418" w:type="dxa"/>
            <w:vAlign w:val="center"/>
          </w:tcPr>
          <w:p w14:paraId="51ACEDAC"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368,00 </w:t>
            </w:r>
          </w:p>
        </w:tc>
        <w:tc>
          <w:tcPr>
            <w:tcW w:w="1559" w:type="dxa"/>
            <w:vAlign w:val="center"/>
          </w:tcPr>
          <w:p w14:paraId="7226CAA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43,50 </w:t>
            </w:r>
          </w:p>
        </w:tc>
        <w:tc>
          <w:tcPr>
            <w:tcW w:w="1559" w:type="dxa"/>
            <w:vAlign w:val="center"/>
          </w:tcPr>
          <w:p w14:paraId="553878F3"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118,00 </w:t>
            </w:r>
          </w:p>
        </w:tc>
        <w:tc>
          <w:tcPr>
            <w:tcW w:w="1276" w:type="dxa"/>
            <w:vAlign w:val="center"/>
          </w:tcPr>
          <w:p w14:paraId="7284E2DB"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124,50 </w:t>
            </w:r>
          </w:p>
        </w:tc>
        <w:tc>
          <w:tcPr>
            <w:tcW w:w="992" w:type="dxa"/>
            <w:vAlign w:val="center"/>
          </w:tcPr>
          <w:p w14:paraId="6EFFF0EE"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32,50 </w:t>
            </w:r>
          </w:p>
        </w:tc>
      </w:tr>
      <w:tr w:rsidR="00C2569D" w:rsidRPr="00C63E3A" w14:paraId="2413C4C6"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C4B2A82" w14:textId="77777777" w:rsidR="00C2569D" w:rsidRPr="00C63E3A" w:rsidRDefault="00C2569D" w:rsidP="002A21C0">
            <w:pPr>
              <w:spacing w:before="20" w:after="20" w:line="240" w:lineRule="auto"/>
              <w:rPr>
                <w:b w:val="0"/>
                <w:sz w:val="20"/>
                <w:szCs w:val="20"/>
              </w:rPr>
            </w:pPr>
            <w:r w:rsidRPr="00C63E3A">
              <w:rPr>
                <w:b w:val="0"/>
                <w:sz w:val="20"/>
                <w:szCs w:val="20"/>
              </w:rPr>
              <w:t>10,1-15</w:t>
            </w:r>
          </w:p>
        </w:tc>
        <w:tc>
          <w:tcPr>
            <w:tcW w:w="1276" w:type="dxa"/>
          </w:tcPr>
          <w:p w14:paraId="4AAAAC58"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15,70 </w:t>
            </w:r>
          </w:p>
        </w:tc>
        <w:tc>
          <w:tcPr>
            <w:tcW w:w="1418" w:type="dxa"/>
            <w:vAlign w:val="center"/>
          </w:tcPr>
          <w:p w14:paraId="10A2941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450,00 </w:t>
            </w:r>
          </w:p>
        </w:tc>
        <w:tc>
          <w:tcPr>
            <w:tcW w:w="1559" w:type="dxa"/>
            <w:vAlign w:val="center"/>
          </w:tcPr>
          <w:p w14:paraId="48192F2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53,50 </w:t>
            </w:r>
          </w:p>
        </w:tc>
        <w:tc>
          <w:tcPr>
            <w:tcW w:w="1559" w:type="dxa"/>
            <w:vAlign w:val="center"/>
          </w:tcPr>
          <w:p w14:paraId="0933708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146,00 </w:t>
            </w:r>
          </w:p>
        </w:tc>
        <w:tc>
          <w:tcPr>
            <w:tcW w:w="1276" w:type="dxa"/>
            <w:vAlign w:val="center"/>
          </w:tcPr>
          <w:p w14:paraId="15706760"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153,50 </w:t>
            </w:r>
          </w:p>
        </w:tc>
        <w:tc>
          <w:tcPr>
            <w:tcW w:w="992" w:type="dxa"/>
            <w:vAlign w:val="center"/>
          </w:tcPr>
          <w:p w14:paraId="143A852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r>
      <w:tr w:rsidR="00C2569D" w:rsidRPr="00C63E3A" w14:paraId="19E6589C"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2570A6F7" w14:textId="77777777" w:rsidR="00C2569D" w:rsidRPr="00C63E3A" w:rsidRDefault="00C2569D" w:rsidP="002A21C0">
            <w:pPr>
              <w:spacing w:before="20" w:after="20" w:line="240" w:lineRule="auto"/>
              <w:rPr>
                <w:b w:val="0"/>
                <w:sz w:val="20"/>
                <w:szCs w:val="20"/>
              </w:rPr>
            </w:pPr>
            <w:r w:rsidRPr="00C63E3A">
              <w:rPr>
                <w:b w:val="0"/>
                <w:sz w:val="20"/>
                <w:szCs w:val="20"/>
              </w:rPr>
              <w:t>15,1-20</w:t>
            </w:r>
          </w:p>
        </w:tc>
        <w:tc>
          <w:tcPr>
            <w:tcW w:w="1276" w:type="dxa"/>
          </w:tcPr>
          <w:p w14:paraId="6DC20CB2"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19,70 </w:t>
            </w:r>
          </w:p>
        </w:tc>
        <w:tc>
          <w:tcPr>
            <w:tcW w:w="1418" w:type="dxa"/>
            <w:vAlign w:val="center"/>
          </w:tcPr>
          <w:p w14:paraId="486E06FE"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566,00 </w:t>
            </w:r>
          </w:p>
        </w:tc>
        <w:tc>
          <w:tcPr>
            <w:tcW w:w="1559" w:type="dxa"/>
            <w:vAlign w:val="center"/>
          </w:tcPr>
          <w:p w14:paraId="400F21B4"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67,50 </w:t>
            </w:r>
          </w:p>
        </w:tc>
        <w:tc>
          <w:tcPr>
            <w:tcW w:w="1559" w:type="dxa"/>
            <w:vAlign w:val="center"/>
          </w:tcPr>
          <w:p w14:paraId="1F8CD1A8"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181,00 </w:t>
            </w:r>
          </w:p>
        </w:tc>
        <w:tc>
          <w:tcPr>
            <w:tcW w:w="1276" w:type="dxa"/>
            <w:vAlign w:val="center"/>
          </w:tcPr>
          <w:p w14:paraId="7853D6A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190,50 </w:t>
            </w:r>
          </w:p>
        </w:tc>
        <w:tc>
          <w:tcPr>
            <w:tcW w:w="992" w:type="dxa"/>
            <w:vAlign w:val="center"/>
          </w:tcPr>
          <w:p w14:paraId="435E761F"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45,50 </w:t>
            </w:r>
          </w:p>
        </w:tc>
      </w:tr>
      <w:tr w:rsidR="00C2569D" w:rsidRPr="00C63E3A" w14:paraId="680F75D9"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4E207E1" w14:textId="77777777" w:rsidR="00C2569D" w:rsidRPr="00C63E3A" w:rsidRDefault="00C2569D" w:rsidP="002A21C0">
            <w:pPr>
              <w:spacing w:before="20" w:after="20" w:line="240" w:lineRule="auto"/>
              <w:rPr>
                <w:b w:val="0"/>
                <w:sz w:val="20"/>
                <w:szCs w:val="20"/>
              </w:rPr>
            </w:pPr>
            <w:r w:rsidRPr="00C63E3A">
              <w:rPr>
                <w:b w:val="0"/>
                <w:sz w:val="20"/>
                <w:szCs w:val="20"/>
              </w:rPr>
              <w:t>20,1-25</w:t>
            </w:r>
          </w:p>
        </w:tc>
        <w:tc>
          <w:tcPr>
            <w:tcW w:w="1276" w:type="dxa"/>
          </w:tcPr>
          <w:p w14:paraId="5E5506D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22,40 </w:t>
            </w:r>
          </w:p>
        </w:tc>
        <w:tc>
          <w:tcPr>
            <w:tcW w:w="1418" w:type="dxa"/>
            <w:vAlign w:val="center"/>
          </w:tcPr>
          <w:p w14:paraId="7EF490F0"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634,00 </w:t>
            </w:r>
          </w:p>
        </w:tc>
        <w:tc>
          <w:tcPr>
            <w:tcW w:w="1559" w:type="dxa"/>
            <w:vAlign w:val="center"/>
          </w:tcPr>
          <w:p w14:paraId="07694CCA"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75,50 </w:t>
            </w:r>
          </w:p>
        </w:tc>
        <w:tc>
          <w:tcPr>
            <w:tcW w:w="1559" w:type="dxa"/>
            <w:vAlign w:val="center"/>
          </w:tcPr>
          <w:p w14:paraId="6DB38FC3"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204,00 </w:t>
            </w:r>
          </w:p>
        </w:tc>
        <w:tc>
          <w:tcPr>
            <w:tcW w:w="1276" w:type="dxa"/>
            <w:vAlign w:val="center"/>
          </w:tcPr>
          <w:p w14:paraId="1C9F166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215,00 </w:t>
            </w:r>
          </w:p>
        </w:tc>
        <w:tc>
          <w:tcPr>
            <w:tcW w:w="992" w:type="dxa"/>
            <w:vAlign w:val="center"/>
          </w:tcPr>
          <w:p w14:paraId="1E2AB932"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51,00 </w:t>
            </w:r>
          </w:p>
        </w:tc>
      </w:tr>
      <w:tr w:rsidR="00C2569D" w:rsidRPr="00C63E3A" w14:paraId="3B02EA9A"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3428F8FF" w14:textId="77777777" w:rsidR="00C2569D" w:rsidRPr="00C63E3A" w:rsidRDefault="00C2569D" w:rsidP="002A21C0">
            <w:pPr>
              <w:spacing w:before="20" w:after="20" w:line="240" w:lineRule="auto"/>
              <w:rPr>
                <w:b w:val="0"/>
                <w:sz w:val="20"/>
                <w:szCs w:val="20"/>
              </w:rPr>
            </w:pPr>
            <w:r w:rsidRPr="00C63E3A">
              <w:rPr>
                <w:b w:val="0"/>
                <w:sz w:val="20"/>
                <w:szCs w:val="20"/>
              </w:rPr>
              <w:t>25,1-30</w:t>
            </w:r>
          </w:p>
        </w:tc>
        <w:tc>
          <w:tcPr>
            <w:tcW w:w="1276" w:type="dxa"/>
          </w:tcPr>
          <w:p w14:paraId="22E52F72"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24,40 </w:t>
            </w:r>
          </w:p>
        </w:tc>
        <w:tc>
          <w:tcPr>
            <w:tcW w:w="1418" w:type="dxa"/>
            <w:vAlign w:val="center"/>
          </w:tcPr>
          <w:p w14:paraId="4D59F5F7"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701,50 </w:t>
            </w:r>
          </w:p>
        </w:tc>
        <w:tc>
          <w:tcPr>
            <w:tcW w:w="1559" w:type="dxa"/>
            <w:vAlign w:val="center"/>
          </w:tcPr>
          <w:p w14:paraId="0F3DDE7F"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83,00 </w:t>
            </w:r>
          </w:p>
        </w:tc>
        <w:tc>
          <w:tcPr>
            <w:tcW w:w="1559" w:type="dxa"/>
            <w:vAlign w:val="center"/>
          </w:tcPr>
          <w:p w14:paraId="538D78D7"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225,00 </w:t>
            </w:r>
          </w:p>
        </w:tc>
        <w:tc>
          <w:tcPr>
            <w:tcW w:w="1276" w:type="dxa"/>
            <w:vAlign w:val="center"/>
          </w:tcPr>
          <w:p w14:paraId="7561AD9D"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237,00 </w:t>
            </w:r>
          </w:p>
        </w:tc>
        <w:tc>
          <w:tcPr>
            <w:tcW w:w="992" w:type="dxa"/>
            <w:vAlign w:val="center"/>
          </w:tcPr>
          <w:p w14:paraId="3F4E544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60,50 </w:t>
            </w:r>
          </w:p>
        </w:tc>
      </w:tr>
      <w:tr w:rsidR="00C2569D" w:rsidRPr="00C63E3A" w14:paraId="7D4FA6D6"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9EED721" w14:textId="77777777" w:rsidR="00C2569D" w:rsidRPr="00C63E3A" w:rsidRDefault="00C2569D" w:rsidP="002A21C0">
            <w:pPr>
              <w:spacing w:before="20" w:after="20" w:line="240" w:lineRule="auto"/>
              <w:rPr>
                <w:b w:val="0"/>
                <w:sz w:val="20"/>
                <w:szCs w:val="20"/>
              </w:rPr>
            </w:pPr>
            <w:r w:rsidRPr="00C63E3A">
              <w:rPr>
                <w:b w:val="0"/>
                <w:sz w:val="20"/>
                <w:szCs w:val="20"/>
              </w:rPr>
              <w:t>30,1-35</w:t>
            </w:r>
          </w:p>
        </w:tc>
        <w:tc>
          <w:tcPr>
            <w:tcW w:w="1276" w:type="dxa"/>
          </w:tcPr>
          <w:p w14:paraId="5AC00E3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25,90 </w:t>
            </w:r>
          </w:p>
        </w:tc>
        <w:tc>
          <w:tcPr>
            <w:tcW w:w="1418" w:type="dxa"/>
            <w:vAlign w:val="center"/>
          </w:tcPr>
          <w:p w14:paraId="14EF20B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745,50 </w:t>
            </w:r>
          </w:p>
        </w:tc>
        <w:tc>
          <w:tcPr>
            <w:tcW w:w="1559" w:type="dxa"/>
            <w:vAlign w:val="center"/>
          </w:tcPr>
          <w:p w14:paraId="34C7BFB0"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88,50 </w:t>
            </w:r>
          </w:p>
        </w:tc>
        <w:tc>
          <w:tcPr>
            <w:tcW w:w="1559" w:type="dxa"/>
            <w:vAlign w:val="center"/>
          </w:tcPr>
          <w:p w14:paraId="6E11924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240,00 </w:t>
            </w:r>
          </w:p>
        </w:tc>
        <w:tc>
          <w:tcPr>
            <w:tcW w:w="1276" w:type="dxa"/>
            <w:vAlign w:val="center"/>
          </w:tcPr>
          <w:p w14:paraId="3325E212"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252,50 </w:t>
            </w:r>
          </w:p>
        </w:tc>
        <w:tc>
          <w:tcPr>
            <w:tcW w:w="992" w:type="dxa"/>
            <w:vAlign w:val="center"/>
          </w:tcPr>
          <w:p w14:paraId="4F5EA79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64,00 </w:t>
            </w:r>
          </w:p>
        </w:tc>
      </w:tr>
      <w:tr w:rsidR="00C2569D" w:rsidRPr="00C63E3A" w14:paraId="4B63FDDE"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73C06A48" w14:textId="77777777" w:rsidR="00C2569D" w:rsidRPr="00C63E3A" w:rsidRDefault="00C2569D" w:rsidP="002A21C0">
            <w:pPr>
              <w:spacing w:before="20" w:after="20" w:line="240" w:lineRule="auto"/>
              <w:rPr>
                <w:b w:val="0"/>
                <w:sz w:val="20"/>
                <w:szCs w:val="20"/>
              </w:rPr>
            </w:pPr>
            <w:r w:rsidRPr="00C63E3A">
              <w:rPr>
                <w:b w:val="0"/>
                <w:sz w:val="20"/>
                <w:szCs w:val="20"/>
              </w:rPr>
              <w:t>35,1-40</w:t>
            </w:r>
          </w:p>
        </w:tc>
        <w:tc>
          <w:tcPr>
            <w:tcW w:w="1276" w:type="dxa"/>
          </w:tcPr>
          <w:p w14:paraId="37BA46D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27,80 </w:t>
            </w:r>
          </w:p>
        </w:tc>
        <w:tc>
          <w:tcPr>
            <w:tcW w:w="1418" w:type="dxa"/>
            <w:vAlign w:val="center"/>
          </w:tcPr>
          <w:p w14:paraId="003B80BE"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808,50 </w:t>
            </w:r>
          </w:p>
        </w:tc>
        <w:tc>
          <w:tcPr>
            <w:tcW w:w="1559" w:type="dxa"/>
            <w:vAlign w:val="center"/>
          </w:tcPr>
          <w:p w14:paraId="05C6B113"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96,00 </w:t>
            </w:r>
          </w:p>
        </w:tc>
        <w:tc>
          <w:tcPr>
            <w:tcW w:w="1559" w:type="dxa"/>
            <w:vAlign w:val="center"/>
          </w:tcPr>
          <w:p w14:paraId="3283D449"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260,00 </w:t>
            </w:r>
          </w:p>
        </w:tc>
        <w:tc>
          <w:tcPr>
            <w:tcW w:w="1276" w:type="dxa"/>
            <w:vAlign w:val="center"/>
          </w:tcPr>
          <w:p w14:paraId="0673C71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274,00 </w:t>
            </w:r>
          </w:p>
        </w:tc>
        <w:tc>
          <w:tcPr>
            <w:tcW w:w="992" w:type="dxa"/>
            <w:vAlign w:val="center"/>
          </w:tcPr>
          <w:p w14:paraId="22A913A9"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70,50 </w:t>
            </w:r>
          </w:p>
        </w:tc>
      </w:tr>
      <w:tr w:rsidR="00C2569D" w:rsidRPr="00C63E3A" w14:paraId="70138B2B"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60F0A12" w14:textId="77777777" w:rsidR="00C2569D" w:rsidRPr="00C63E3A" w:rsidRDefault="00C2569D" w:rsidP="002A21C0">
            <w:pPr>
              <w:spacing w:before="20" w:after="20" w:line="240" w:lineRule="auto"/>
              <w:rPr>
                <w:b w:val="0"/>
                <w:sz w:val="20"/>
                <w:szCs w:val="20"/>
              </w:rPr>
            </w:pPr>
            <w:r w:rsidRPr="00C63E3A">
              <w:rPr>
                <w:b w:val="0"/>
                <w:sz w:val="20"/>
                <w:szCs w:val="20"/>
              </w:rPr>
              <w:t>40,1-45</w:t>
            </w:r>
          </w:p>
        </w:tc>
        <w:tc>
          <w:tcPr>
            <w:tcW w:w="1276" w:type="dxa"/>
          </w:tcPr>
          <w:p w14:paraId="1A02439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30,60 </w:t>
            </w:r>
          </w:p>
        </w:tc>
        <w:tc>
          <w:tcPr>
            <w:tcW w:w="1418" w:type="dxa"/>
            <w:vAlign w:val="center"/>
          </w:tcPr>
          <w:p w14:paraId="63E78C4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866,00 </w:t>
            </w:r>
          </w:p>
        </w:tc>
        <w:tc>
          <w:tcPr>
            <w:tcW w:w="1559" w:type="dxa"/>
            <w:vAlign w:val="center"/>
          </w:tcPr>
          <w:p w14:paraId="44FEA317"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102,50 </w:t>
            </w:r>
          </w:p>
        </w:tc>
        <w:tc>
          <w:tcPr>
            <w:tcW w:w="1559" w:type="dxa"/>
            <w:vAlign w:val="center"/>
          </w:tcPr>
          <w:p w14:paraId="77C394E0"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277,50 </w:t>
            </w:r>
          </w:p>
        </w:tc>
        <w:tc>
          <w:tcPr>
            <w:tcW w:w="1276" w:type="dxa"/>
            <w:vAlign w:val="center"/>
          </w:tcPr>
          <w:p w14:paraId="2533485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293,00 </w:t>
            </w:r>
          </w:p>
        </w:tc>
        <w:tc>
          <w:tcPr>
            <w:tcW w:w="992" w:type="dxa"/>
            <w:vAlign w:val="center"/>
          </w:tcPr>
          <w:p w14:paraId="3B6A177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74,50 </w:t>
            </w:r>
          </w:p>
        </w:tc>
      </w:tr>
      <w:tr w:rsidR="00C2569D" w:rsidRPr="00C63E3A" w14:paraId="1D18AF8F"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38CEE762" w14:textId="77777777" w:rsidR="00C2569D" w:rsidRPr="00C63E3A" w:rsidRDefault="00C2569D" w:rsidP="002A21C0">
            <w:pPr>
              <w:spacing w:before="20" w:after="20" w:line="240" w:lineRule="auto"/>
              <w:rPr>
                <w:b w:val="0"/>
                <w:sz w:val="20"/>
                <w:szCs w:val="20"/>
              </w:rPr>
            </w:pPr>
            <w:r w:rsidRPr="00C63E3A">
              <w:rPr>
                <w:b w:val="0"/>
                <w:sz w:val="20"/>
                <w:szCs w:val="20"/>
              </w:rPr>
              <w:t>45,1-50</w:t>
            </w:r>
          </w:p>
        </w:tc>
        <w:tc>
          <w:tcPr>
            <w:tcW w:w="1276" w:type="dxa"/>
          </w:tcPr>
          <w:p w14:paraId="748F70B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32,20 </w:t>
            </w:r>
          </w:p>
        </w:tc>
        <w:tc>
          <w:tcPr>
            <w:tcW w:w="1418" w:type="dxa"/>
            <w:vAlign w:val="center"/>
          </w:tcPr>
          <w:p w14:paraId="3DE32B3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905,00 </w:t>
            </w:r>
          </w:p>
        </w:tc>
        <w:tc>
          <w:tcPr>
            <w:tcW w:w="1559" w:type="dxa"/>
            <w:vAlign w:val="center"/>
          </w:tcPr>
          <w:p w14:paraId="4EFCB81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107,50 </w:t>
            </w:r>
          </w:p>
        </w:tc>
        <w:tc>
          <w:tcPr>
            <w:tcW w:w="1559" w:type="dxa"/>
            <w:vAlign w:val="center"/>
          </w:tcPr>
          <w:p w14:paraId="502E1FAB"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292,00 </w:t>
            </w:r>
          </w:p>
        </w:tc>
        <w:tc>
          <w:tcPr>
            <w:tcW w:w="1276" w:type="dxa"/>
            <w:vAlign w:val="center"/>
          </w:tcPr>
          <w:p w14:paraId="1481C58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308,00 </w:t>
            </w:r>
          </w:p>
        </w:tc>
        <w:tc>
          <w:tcPr>
            <w:tcW w:w="992" w:type="dxa"/>
            <w:vAlign w:val="center"/>
          </w:tcPr>
          <w:p w14:paraId="5182AC4C"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78,50 </w:t>
            </w:r>
          </w:p>
        </w:tc>
      </w:tr>
      <w:tr w:rsidR="00C2569D" w:rsidRPr="00C63E3A" w14:paraId="6D24F06F"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713D385" w14:textId="77777777" w:rsidR="00C2569D" w:rsidRPr="00C63E3A" w:rsidRDefault="00C2569D" w:rsidP="002A21C0">
            <w:pPr>
              <w:spacing w:before="20" w:after="20" w:line="240" w:lineRule="auto"/>
              <w:rPr>
                <w:b w:val="0"/>
                <w:sz w:val="20"/>
                <w:szCs w:val="20"/>
              </w:rPr>
            </w:pPr>
            <w:r w:rsidRPr="00C63E3A">
              <w:rPr>
                <w:b w:val="0"/>
                <w:sz w:val="20"/>
                <w:szCs w:val="20"/>
              </w:rPr>
              <w:t>50,1-60</w:t>
            </w:r>
          </w:p>
        </w:tc>
        <w:tc>
          <w:tcPr>
            <w:tcW w:w="1276" w:type="dxa"/>
          </w:tcPr>
          <w:p w14:paraId="2EA6759A"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33,70 </w:t>
            </w:r>
          </w:p>
        </w:tc>
        <w:tc>
          <w:tcPr>
            <w:tcW w:w="1418" w:type="dxa"/>
            <w:vAlign w:val="center"/>
          </w:tcPr>
          <w:p w14:paraId="42FA5815"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973,00 </w:t>
            </w:r>
          </w:p>
        </w:tc>
        <w:tc>
          <w:tcPr>
            <w:tcW w:w="1559" w:type="dxa"/>
            <w:vAlign w:val="center"/>
          </w:tcPr>
          <w:p w14:paraId="1911EDE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115,50 </w:t>
            </w:r>
          </w:p>
        </w:tc>
        <w:tc>
          <w:tcPr>
            <w:tcW w:w="1559" w:type="dxa"/>
            <w:vAlign w:val="center"/>
          </w:tcPr>
          <w:p w14:paraId="5FDF98D1"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311,50 </w:t>
            </w:r>
          </w:p>
        </w:tc>
        <w:tc>
          <w:tcPr>
            <w:tcW w:w="1276" w:type="dxa"/>
            <w:vAlign w:val="center"/>
          </w:tcPr>
          <w:p w14:paraId="1FF68017"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328,50 </w:t>
            </w:r>
          </w:p>
        </w:tc>
        <w:tc>
          <w:tcPr>
            <w:tcW w:w="992" w:type="dxa"/>
            <w:vAlign w:val="center"/>
          </w:tcPr>
          <w:p w14:paraId="4E9CB6F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89,50 </w:t>
            </w:r>
          </w:p>
        </w:tc>
      </w:tr>
      <w:tr w:rsidR="00C2569D" w:rsidRPr="00C63E3A" w14:paraId="09C02EDC"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3D28BB13" w14:textId="77777777" w:rsidR="00C2569D" w:rsidRPr="00C63E3A" w:rsidRDefault="00C2569D" w:rsidP="002A21C0">
            <w:pPr>
              <w:spacing w:before="20" w:after="20" w:line="240" w:lineRule="auto"/>
              <w:rPr>
                <w:b w:val="0"/>
                <w:sz w:val="20"/>
                <w:szCs w:val="20"/>
              </w:rPr>
            </w:pPr>
            <w:r w:rsidRPr="00C63E3A">
              <w:rPr>
                <w:b w:val="0"/>
                <w:sz w:val="20"/>
                <w:szCs w:val="20"/>
              </w:rPr>
              <w:t>60,1-70</w:t>
            </w:r>
          </w:p>
        </w:tc>
        <w:tc>
          <w:tcPr>
            <w:tcW w:w="1276" w:type="dxa"/>
          </w:tcPr>
          <w:p w14:paraId="5E9D9F58"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34,90 </w:t>
            </w:r>
          </w:p>
        </w:tc>
        <w:tc>
          <w:tcPr>
            <w:tcW w:w="1418" w:type="dxa"/>
            <w:vAlign w:val="center"/>
          </w:tcPr>
          <w:p w14:paraId="5FF6CBD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1.006,50 </w:t>
            </w:r>
          </w:p>
        </w:tc>
        <w:tc>
          <w:tcPr>
            <w:tcW w:w="1559" w:type="dxa"/>
            <w:vAlign w:val="center"/>
          </w:tcPr>
          <w:p w14:paraId="19F6948E"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119,50 </w:t>
            </w:r>
          </w:p>
        </w:tc>
        <w:tc>
          <w:tcPr>
            <w:tcW w:w="1559" w:type="dxa"/>
            <w:vAlign w:val="center"/>
          </w:tcPr>
          <w:p w14:paraId="23ADCDD3"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323,00 </w:t>
            </w:r>
          </w:p>
        </w:tc>
        <w:tc>
          <w:tcPr>
            <w:tcW w:w="1276" w:type="dxa"/>
            <w:vAlign w:val="center"/>
          </w:tcPr>
          <w:p w14:paraId="5DBDE101"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341,00 </w:t>
            </w:r>
          </w:p>
        </w:tc>
        <w:tc>
          <w:tcPr>
            <w:tcW w:w="992" w:type="dxa"/>
            <w:vAlign w:val="center"/>
          </w:tcPr>
          <w:p w14:paraId="586DDCE5"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98,00 </w:t>
            </w:r>
          </w:p>
        </w:tc>
      </w:tr>
      <w:tr w:rsidR="00C2569D" w:rsidRPr="00C63E3A" w14:paraId="60757450"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CD27674" w14:textId="77777777" w:rsidR="00C2569D" w:rsidRPr="00C63E3A" w:rsidRDefault="00C2569D" w:rsidP="002A21C0">
            <w:pPr>
              <w:spacing w:before="20" w:after="20" w:line="240" w:lineRule="auto"/>
              <w:rPr>
                <w:b w:val="0"/>
                <w:sz w:val="20"/>
                <w:szCs w:val="20"/>
              </w:rPr>
            </w:pPr>
            <w:r w:rsidRPr="00C63E3A">
              <w:rPr>
                <w:b w:val="0"/>
                <w:sz w:val="20"/>
                <w:szCs w:val="20"/>
              </w:rPr>
              <w:t>70,1-80</w:t>
            </w:r>
          </w:p>
        </w:tc>
        <w:tc>
          <w:tcPr>
            <w:tcW w:w="1276" w:type="dxa"/>
          </w:tcPr>
          <w:p w14:paraId="21171363"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36,00 </w:t>
            </w:r>
          </w:p>
        </w:tc>
        <w:tc>
          <w:tcPr>
            <w:tcW w:w="1418" w:type="dxa"/>
            <w:vAlign w:val="center"/>
          </w:tcPr>
          <w:p w14:paraId="0D4F8F3D"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1.040,50 </w:t>
            </w:r>
          </w:p>
        </w:tc>
        <w:tc>
          <w:tcPr>
            <w:tcW w:w="1559" w:type="dxa"/>
            <w:vAlign w:val="center"/>
          </w:tcPr>
          <w:p w14:paraId="4036DB92"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123,50 </w:t>
            </w:r>
          </w:p>
        </w:tc>
        <w:tc>
          <w:tcPr>
            <w:tcW w:w="1559" w:type="dxa"/>
            <w:vAlign w:val="center"/>
          </w:tcPr>
          <w:p w14:paraId="139243A9"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334,00 </w:t>
            </w:r>
          </w:p>
        </w:tc>
        <w:tc>
          <w:tcPr>
            <w:tcW w:w="1276" w:type="dxa"/>
            <w:vAlign w:val="center"/>
          </w:tcPr>
          <w:p w14:paraId="6D3A792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352,50 </w:t>
            </w:r>
          </w:p>
        </w:tc>
        <w:tc>
          <w:tcPr>
            <w:tcW w:w="992" w:type="dxa"/>
            <w:vAlign w:val="center"/>
          </w:tcPr>
          <w:p w14:paraId="7746569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107,50 </w:t>
            </w:r>
          </w:p>
        </w:tc>
      </w:tr>
      <w:tr w:rsidR="00C2569D" w:rsidRPr="00C63E3A" w14:paraId="6EE27F0E"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14FC1295" w14:textId="77777777" w:rsidR="00C2569D" w:rsidRPr="00C63E3A" w:rsidRDefault="00C2569D" w:rsidP="002A21C0">
            <w:pPr>
              <w:spacing w:before="20" w:after="20" w:line="240" w:lineRule="auto"/>
              <w:rPr>
                <w:b w:val="0"/>
                <w:sz w:val="20"/>
                <w:szCs w:val="20"/>
              </w:rPr>
            </w:pPr>
            <w:r w:rsidRPr="00C63E3A">
              <w:rPr>
                <w:b w:val="0"/>
                <w:sz w:val="20"/>
                <w:szCs w:val="20"/>
              </w:rPr>
              <w:t>80,1-90</w:t>
            </w:r>
          </w:p>
        </w:tc>
        <w:tc>
          <w:tcPr>
            <w:tcW w:w="1276" w:type="dxa"/>
          </w:tcPr>
          <w:p w14:paraId="256198BA"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37,10 </w:t>
            </w:r>
          </w:p>
        </w:tc>
        <w:tc>
          <w:tcPr>
            <w:tcW w:w="1418" w:type="dxa"/>
            <w:vAlign w:val="center"/>
          </w:tcPr>
          <w:p w14:paraId="2C2CCCB2"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1.069,50 </w:t>
            </w:r>
          </w:p>
        </w:tc>
        <w:tc>
          <w:tcPr>
            <w:tcW w:w="1559" w:type="dxa"/>
            <w:vAlign w:val="center"/>
          </w:tcPr>
          <w:p w14:paraId="4DB59A2F"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127,00 </w:t>
            </w:r>
          </w:p>
        </w:tc>
        <w:tc>
          <w:tcPr>
            <w:tcW w:w="1559" w:type="dxa"/>
            <w:vAlign w:val="center"/>
          </w:tcPr>
          <w:p w14:paraId="4AE8EEE4"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342,50 </w:t>
            </w:r>
          </w:p>
        </w:tc>
        <w:tc>
          <w:tcPr>
            <w:tcW w:w="1276" w:type="dxa"/>
            <w:vAlign w:val="center"/>
          </w:tcPr>
          <w:p w14:paraId="6521774B"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361,00 </w:t>
            </w:r>
          </w:p>
        </w:tc>
        <w:tc>
          <w:tcPr>
            <w:tcW w:w="992" w:type="dxa"/>
            <w:vAlign w:val="center"/>
          </w:tcPr>
          <w:p w14:paraId="4FEA699D"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118,50 </w:t>
            </w:r>
          </w:p>
        </w:tc>
      </w:tr>
      <w:tr w:rsidR="00C2569D" w:rsidRPr="00C63E3A" w14:paraId="3B474D22"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2311FD2" w14:textId="77777777" w:rsidR="00C2569D" w:rsidRPr="00C63E3A" w:rsidRDefault="00C2569D" w:rsidP="002A21C0">
            <w:pPr>
              <w:spacing w:before="20" w:after="20" w:line="240" w:lineRule="auto"/>
              <w:rPr>
                <w:b w:val="0"/>
                <w:sz w:val="20"/>
                <w:szCs w:val="20"/>
              </w:rPr>
            </w:pPr>
            <w:r w:rsidRPr="00C63E3A">
              <w:rPr>
                <w:b w:val="0"/>
                <w:sz w:val="20"/>
                <w:szCs w:val="20"/>
              </w:rPr>
              <w:t>90,1-100</w:t>
            </w:r>
          </w:p>
        </w:tc>
        <w:tc>
          <w:tcPr>
            <w:tcW w:w="1276" w:type="dxa"/>
          </w:tcPr>
          <w:p w14:paraId="319E65C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38,00 </w:t>
            </w:r>
          </w:p>
        </w:tc>
        <w:tc>
          <w:tcPr>
            <w:tcW w:w="1418" w:type="dxa"/>
            <w:vAlign w:val="center"/>
          </w:tcPr>
          <w:p w14:paraId="24B3366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1.099,00 </w:t>
            </w:r>
          </w:p>
        </w:tc>
        <w:tc>
          <w:tcPr>
            <w:tcW w:w="1559" w:type="dxa"/>
            <w:vAlign w:val="center"/>
          </w:tcPr>
          <w:p w14:paraId="0A3AACE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130,00 </w:t>
            </w:r>
          </w:p>
        </w:tc>
        <w:tc>
          <w:tcPr>
            <w:tcW w:w="1559" w:type="dxa"/>
            <w:vAlign w:val="center"/>
          </w:tcPr>
          <w:p w14:paraId="0807656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353,50 </w:t>
            </w:r>
          </w:p>
        </w:tc>
        <w:tc>
          <w:tcPr>
            <w:tcW w:w="1276" w:type="dxa"/>
            <w:vAlign w:val="center"/>
          </w:tcPr>
          <w:p w14:paraId="1EC9A0D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373,00 </w:t>
            </w:r>
          </w:p>
        </w:tc>
        <w:tc>
          <w:tcPr>
            <w:tcW w:w="992" w:type="dxa"/>
            <w:vAlign w:val="center"/>
          </w:tcPr>
          <w:p w14:paraId="382D41EF"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132,00 </w:t>
            </w:r>
          </w:p>
        </w:tc>
      </w:tr>
      <w:tr w:rsidR="00C2569D" w:rsidRPr="00C63E3A" w14:paraId="4CEDCD94" w14:textId="77777777" w:rsidTr="002A21C0">
        <w:tc>
          <w:tcPr>
            <w:cnfStyle w:val="001000000000" w:firstRow="0" w:lastRow="0" w:firstColumn="1" w:lastColumn="0" w:oddVBand="0" w:evenVBand="0" w:oddHBand="0" w:evenHBand="0" w:firstRowFirstColumn="0" w:firstRowLastColumn="0" w:lastRowFirstColumn="0" w:lastRowLastColumn="0"/>
            <w:tcW w:w="1129" w:type="dxa"/>
          </w:tcPr>
          <w:p w14:paraId="3966ECFD" w14:textId="77777777" w:rsidR="00C2569D" w:rsidRPr="00C63E3A" w:rsidRDefault="00C2569D" w:rsidP="002A21C0">
            <w:pPr>
              <w:spacing w:before="20" w:after="20" w:line="240" w:lineRule="auto"/>
              <w:rPr>
                <w:b w:val="0"/>
                <w:sz w:val="20"/>
                <w:szCs w:val="20"/>
              </w:rPr>
            </w:pPr>
            <w:r w:rsidRPr="00C63E3A">
              <w:rPr>
                <w:b w:val="0"/>
                <w:sz w:val="20"/>
                <w:szCs w:val="20"/>
              </w:rPr>
              <w:t>100,1-125</w:t>
            </w:r>
          </w:p>
        </w:tc>
        <w:tc>
          <w:tcPr>
            <w:tcW w:w="1276" w:type="dxa"/>
          </w:tcPr>
          <w:p w14:paraId="3C9E855F"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38,90 </w:t>
            </w:r>
          </w:p>
        </w:tc>
        <w:tc>
          <w:tcPr>
            <w:tcW w:w="1418" w:type="dxa"/>
            <w:vAlign w:val="center"/>
          </w:tcPr>
          <w:p w14:paraId="286F50B9"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1.123,00 </w:t>
            </w:r>
          </w:p>
        </w:tc>
        <w:tc>
          <w:tcPr>
            <w:tcW w:w="1559" w:type="dxa"/>
            <w:vAlign w:val="center"/>
          </w:tcPr>
          <w:p w14:paraId="5178A06C"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133,00 </w:t>
            </w:r>
          </w:p>
        </w:tc>
        <w:tc>
          <w:tcPr>
            <w:tcW w:w="1559" w:type="dxa"/>
            <w:vAlign w:val="center"/>
          </w:tcPr>
          <w:p w14:paraId="1BAF398F"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360,00 </w:t>
            </w:r>
          </w:p>
        </w:tc>
        <w:tc>
          <w:tcPr>
            <w:tcW w:w="1276" w:type="dxa"/>
            <w:vAlign w:val="center"/>
          </w:tcPr>
          <w:p w14:paraId="2C3FF320"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379,50 </w:t>
            </w:r>
          </w:p>
        </w:tc>
        <w:tc>
          <w:tcPr>
            <w:tcW w:w="992" w:type="dxa"/>
            <w:vAlign w:val="center"/>
          </w:tcPr>
          <w:p w14:paraId="2C5ED3BD" w14:textId="77777777" w:rsidR="00C2569D" w:rsidRPr="00C63E3A" w:rsidRDefault="00C2569D" w:rsidP="002A21C0">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148,00 </w:t>
            </w:r>
          </w:p>
        </w:tc>
      </w:tr>
      <w:tr w:rsidR="00C2569D" w:rsidRPr="00C63E3A" w14:paraId="7CE5DDE4" w14:textId="77777777" w:rsidTr="002A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9F49163" w14:textId="77777777" w:rsidR="00C2569D" w:rsidRPr="00C63E3A" w:rsidRDefault="00C2569D" w:rsidP="002A21C0">
            <w:pPr>
              <w:spacing w:before="20" w:after="20" w:line="240" w:lineRule="auto"/>
              <w:rPr>
                <w:b w:val="0"/>
                <w:sz w:val="20"/>
                <w:szCs w:val="20"/>
              </w:rPr>
            </w:pPr>
            <w:r w:rsidRPr="00C63E3A">
              <w:rPr>
                <w:b w:val="0"/>
                <w:sz w:val="20"/>
                <w:szCs w:val="20"/>
              </w:rPr>
              <w:t>125,1-150</w:t>
            </w:r>
          </w:p>
        </w:tc>
        <w:tc>
          <w:tcPr>
            <w:tcW w:w="1276" w:type="dxa"/>
          </w:tcPr>
          <w:p w14:paraId="167A6F0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40,60 </w:t>
            </w:r>
          </w:p>
        </w:tc>
        <w:tc>
          <w:tcPr>
            <w:tcW w:w="1418" w:type="dxa"/>
            <w:vAlign w:val="center"/>
          </w:tcPr>
          <w:p w14:paraId="72019D14"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1.239,00 </w:t>
            </w:r>
          </w:p>
        </w:tc>
        <w:tc>
          <w:tcPr>
            <w:tcW w:w="1559" w:type="dxa"/>
            <w:vAlign w:val="center"/>
          </w:tcPr>
          <w:p w14:paraId="42F4040C"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147,00 </w:t>
            </w:r>
          </w:p>
        </w:tc>
        <w:tc>
          <w:tcPr>
            <w:tcW w:w="1559" w:type="dxa"/>
            <w:vAlign w:val="center"/>
          </w:tcPr>
          <w:p w14:paraId="264C1CE6"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395,00 </w:t>
            </w:r>
          </w:p>
        </w:tc>
        <w:tc>
          <w:tcPr>
            <w:tcW w:w="1276" w:type="dxa"/>
            <w:vAlign w:val="center"/>
          </w:tcPr>
          <w:p w14:paraId="50FD638B"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416,00 </w:t>
            </w:r>
          </w:p>
        </w:tc>
        <w:tc>
          <w:tcPr>
            <w:tcW w:w="992" w:type="dxa"/>
            <w:vAlign w:val="center"/>
          </w:tcPr>
          <w:p w14:paraId="23E0A9FC" w14:textId="77777777" w:rsidR="00C2569D" w:rsidRPr="00C63E3A" w:rsidRDefault="00C2569D" w:rsidP="002A21C0">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157,00 </w:t>
            </w:r>
          </w:p>
        </w:tc>
      </w:tr>
    </w:tbl>
    <w:p w14:paraId="197E809F" w14:textId="78D82035" w:rsidR="00C2569D" w:rsidRPr="002D5CA8" w:rsidRDefault="00C2569D" w:rsidP="00C2569D">
      <w:pPr>
        <w:pStyle w:val="Didascalia"/>
        <w:spacing w:before="120" w:after="0"/>
        <w:jc w:val="center"/>
        <w:rPr>
          <w:i w:val="0"/>
        </w:rPr>
      </w:pPr>
      <w:r>
        <w:t xml:space="preserve">Tabella </w:t>
      </w:r>
      <w:r>
        <w:fldChar w:fldCharType="begin"/>
      </w:r>
      <w:r>
        <w:instrText xml:space="preserve"> SEQ Tabella \* ARABIC </w:instrText>
      </w:r>
      <w:r>
        <w:fldChar w:fldCharType="separate"/>
      </w:r>
      <w:r w:rsidR="00670903">
        <w:rPr>
          <w:noProof/>
        </w:rPr>
        <w:t>41</w:t>
      </w:r>
      <w:r>
        <w:rPr>
          <w:noProof/>
        </w:rPr>
        <w:fldChar w:fldCharType="end"/>
      </w:r>
      <w:r>
        <w:rPr>
          <w:i w:val="0"/>
        </w:rPr>
        <w:t xml:space="preserve"> – </w:t>
      </w:r>
      <w:r w:rsidRPr="002E2843">
        <w:rPr>
          <w:iCs w:val="0"/>
        </w:rPr>
        <w:t>Altre Tariffe di abbonamento a fasce chilometriche</w:t>
      </w:r>
    </w:p>
    <w:p w14:paraId="251912EE" w14:textId="77777777" w:rsidR="00C2569D" w:rsidRDefault="00C2569D" w:rsidP="00C2569D">
      <w:pPr>
        <w:spacing w:before="120" w:after="0" w:line="240" w:lineRule="auto"/>
      </w:pPr>
    </w:p>
    <w:p w14:paraId="4DF7ECA8" w14:textId="77777777" w:rsidR="00C2569D" w:rsidRPr="00450BAF" w:rsidRDefault="00C2569D" w:rsidP="00C2569D">
      <w:pPr>
        <w:pStyle w:val="Titolo3"/>
        <w:ind w:left="720"/>
      </w:pPr>
      <w:bookmarkStart w:id="321" w:name="_Toc726638733"/>
      <w:bookmarkStart w:id="322" w:name="_Toc197695706"/>
      <w:bookmarkStart w:id="323" w:name="_Ref204263227"/>
      <w:bookmarkStart w:id="324" w:name="_Ref204263236"/>
      <w:bookmarkStart w:id="325" w:name="_Toc204616516"/>
      <w:bookmarkStart w:id="326" w:name="_Toc205213747"/>
      <w:r w:rsidRPr="00450BAF">
        <w:lastRenderedPageBreak/>
        <w:t>Tariffe servizi urbani</w:t>
      </w:r>
      <w:bookmarkEnd w:id="321"/>
      <w:bookmarkEnd w:id="322"/>
      <w:bookmarkEnd w:id="323"/>
      <w:bookmarkEnd w:id="324"/>
      <w:bookmarkEnd w:id="325"/>
      <w:bookmarkEnd w:id="326"/>
    </w:p>
    <w:p w14:paraId="3B3ECBB6" w14:textId="77777777" w:rsidR="00C2569D" w:rsidRPr="00DD660D" w:rsidRDefault="00C2569D" w:rsidP="00C2569D">
      <w:pPr>
        <w:spacing w:before="120" w:after="0" w:line="240" w:lineRule="auto"/>
        <w:rPr>
          <w:rFonts w:cs="Arial"/>
          <w:color w:val="000000"/>
        </w:rPr>
      </w:pPr>
      <w:r w:rsidRPr="00DD660D">
        <w:rPr>
          <w:rFonts w:cs="Arial"/>
          <w:color w:val="000000"/>
        </w:rPr>
        <w:t xml:space="preserve">La citata </w:t>
      </w:r>
      <w:r w:rsidRPr="00DD660D">
        <w:t xml:space="preserve">DGR n. 13-6608/2013 con riferimento ai servizi urbani e suburbani esprime il seguente principio </w:t>
      </w:r>
      <w:r w:rsidRPr="00DD660D">
        <w:rPr>
          <w:i/>
        </w:rPr>
        <w:t>“... A partire dal biglietto ordinario di corsa semplice, di euro 1,50</w:t>
      </w:r>
      <w:r w:rsidRPr="00DD660D">
        <w:rPr>
          <w:rStyle w:val="Rimandonotaapidipagina"/>
          <w:i/>
        </w:rPr>
        <w:footnoteReference w:id="36"/>
      </w:r>
      <w:r w:rsidRPr="00DD660D">
        <w:rPr>
          <w:i/>
        </w:rPr>
        <w:t>, gli Enti soggetti di delega potranno definire i livelli tariffari di biglietti ed abbonamenti, che pur tenendo conto delle specificità territoriali e di esigenze particolari, siano coerenti ai rapporti tra tipologie tariffarie adottati per i servizi automobilistici di linea extraurbani approvati con la presente (tariffe penta-chilometriche) …</w:t>
      </w:r>
      <w:r w:rsidRPr="00DD660D">
        <w:t>”.</w:t>
      </w:r>
    </w:p>
    <w:p w14:paraId="7319E76C" w14:textId="77777777" w:rsidR="00C2569D" w:rsidRDefault="00C2569D" w:rsidP="00C2569D">
      <w:pPr>
        <w:spacing w:before="120" w:line="240" w:lineRule="auto"/>
        <w:rPr>
          <w:rFonts w:cs="Arial"/>
          <w:color w:val="000000"/>
        </w:rPr>
      </w:pPr>
      <w:r w:rsidRPr="00DD660D">
        <w:rPr>
          <w:rFonts w:cs="Arial"/>
          <w:color w:val="000000"/>
        </w:rPr>
        <w:t xml:space="preserve">Le tariffe dei servizi urbani sono determinate dai singoli comuni, di seguito si riporta il quadro complessivo dei servizi urbani per il Bacino </w:t>
      </w:r>
      <w:r>
        <w:rPr>
          <w:rFonts w:cs="Arial"/>
          <w:color w:val="000000"/>
        </w:rPr>
        <w:t xml:space="preserve">Sud Est </w:t>
      </w:r>
      <w:r w:rsidRPr="00DD660D">
        <w:rPr>
          <w:rFonts w:cs="Arial"/>
          <w:color w:val="000000"/>
        </w:rPr>
        <w:t xml:space="preserve">con i relativi atti di definizione tariffaria: </w:t>
      </w:r>
    </w:p>
    <w:p w14:paraId="43D00010" w14:textId="77777777" w:rsidR="00C2569D" w:rsidRDefault="00C2569D" w:rsidP="00C2569D">
      <w:pPr>
        <w:spacing w:before="120" w:line="240" w:lineRule="auto"/>
        <w:rPr>
          <w:rFonts w:cs="Arial"/>
          <w:color w:val="000000"/>
        </w:rPr>
      </w:pPr>
    </w:p>
    <w:tbl>
      <w:tblPr>
        <w:tblW w:w="9100" w:type="dxa"/>
        <w:tblCellMar>
          <w:left w:w="70" w:type="dxa"/>
          <w:right w:w="70" w:type="dxa"/>
        </w:tblCellMar>
        <w:tblLook w:val="04A0" w:firstRow="1" w:lastRow="0" w:firstColumn="1" w:lastColumn="0" w:noHBand="0" w:noVBand="1"/>
      </w:tblPr>
      <w:tblGrid>
        <w:gridCol w:w="1100"/>
        <w:gridCol w:w="1219"/>
        <w:gridCol w:w="3385"/>
        <w:gridCol w:w="874"/>
        <w:gridCol w:w="802"/>
        <w:gridCol w:w="860"/>
        <w:gridCol w:w="860"/>
      </w:tblGrid>
      <w:tr w:rsidR="00C2569D" w:rsidRPr="00897692" w14:paraId="5A93927F" w14:textId="77777777" w:rsidTr="00185E37">
        <w:trPr>
          <w:trHeight w:val="288"/>
        </w:trPr>
        <w:tc>
          <w:tcPr>
            <w:tcW w:w="1100" w:type="dxa"/>
            <w:vMerge w:val="restart"/>
            <w:tcBorders>
              <w:top w:val="single" w:sz="8" w:space="0" w:color="auto"/>
              <w:left w:val="single" w:sz="8" w:space="0" w:color="auto"/>
              <w:bottom w:val="single" w:sz="8" w:space="0" w:color="000000"/>
              <w:right w:val="single" w:sz="8" w:space="0" w:color="auto"/>
            </w:tcBorders>
            <w:shd w:val="clear" w:color="auto" w:fill="A5C34C"/>
            <w:vAlign w:val="center"/>
            <w:hideMark/>
          </w:tcPr>
          <w:p w14:paraId="1D9F39F6"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Comune</w:t>
            </w:r>
          </w:p>
        </w:tc>
        <w:tc>
          <w:tcPr>
            <w:tcW w:w="1219" w:type="dxa"/>
            <w:vMerge w:val="restart"/>
            <w:tcBorders>
              <w:top w:val="single" w:sz="8" w:space="0" w:color="auto"/>
              <w:left w:val="single" w:sz="8" w:space="0" w:color="auto"/>
              <w:bottom w:val="single" w:sz="8" w:space="0" w:color="000000"/>
              <w:right w:val="single" w:sz="8" w:space="0" w:color="auto"/>
            </w:tcBorders>
            <w:shd w:val="clear" w:color="auto" w:fill="A5C34C"/>
            <w:vAlign w:val="center"/>
            <w:hideMark/>
          </w:tcPr>
          <w:p w14:paraId="007F452C"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Atto</w:t>
            </w:r>
          </w:p>
        </w:tc>
        <w:tc>
          <w:tcPr>
            <w:tcW w:w="3385" w:type="dxa"/>
            <w:vMerge w:val="restart"/>
            <w:tcBorders>
              <w:top w:val="single" w:sz="8" w:space="0" w:color="auto"/>
              <w:left w:val="single" w:sz="8" w:space="0" w:color="auto"/>
              <w:bottom w:val="single" w:sz="8" w:space="0" w:color="000000"/>
              <w:right w:val="single" w:sz="8" w:space="0" w:color="auto"/>
            </w:tcBorders>
            <w:shd w:val="clear" w:color="auto" w:fill="A5C34C"/>
            <w:vAlign w:val="center"/>
            <w:hideMark/>
          </w:tcPr>
          <w:p w14:paraId="2D8D624E"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Descrizione</w:t>
            </w:r>
          </w:p>
        </w:tc>
        <w:tc>
          <w:tcPr>
            <w:tcW w:w="3396" w:type="dxa"/>
            <w:gridSpan w:val="4"/>
            <w:tcBorders>
              <w:top w:val="single" w:sz="8" w:space="0" w:color="auto"/>
              <w:left w:val="nil"/>
              <w:bottom w:val="single" w:sz="8" w:space="0" w:color="auto"/>
              <w:right w:val="single" w:sz="8" w:space="0" w:color="000000"/>
            </w:tcBorders>
            <w:shd w:val="clear" w:color="auto" w:fill="A5C34C"/>
            <w:vAlign w:val="center"/>
            <w:hideMark/>
          </w:tcPr>
          <w:p w14:paraId="24012274" w14:textId="77777777" w:rsidR="00C2569D" w:rsidRPr="00897692" w:rsidRDefault="00C2569D" w:rsidP="002A21C0">
            <w:pPr>
              <w:spacing w:before="120" w:after="0" w:line="240" w:lineRule="auto"/>
              <w:jc w:val="center"/>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Principali titoli di viaggio</w:t>
            </w:r>
          </w:p>
        </w:tc>
      </w:tr>
      <w:tr w:rsidR="00C2569D" w:rsidRPr="00897692" w14:paraId="4A40C1AE" w14:textId="77777777" w:rsidTr="00185E37">
        <w:trPr>
          <w:trHeight w:val="564"/>
        </w:trPr>
        <w:tc>
          <w:tcPr>
            <w:tcW w:w="1100" w:type="dxa"/>
            <w:vMerge/>
            <w:tcBorders>
              <w:top w:val="single" w:sz="8" w:space="0" w:color="auto"/>
              <w:left w:val="single" w:sz="8" w:space="0" w:color="auto"/>
              <w:bottom w:val="single" w:sz="8" w:space="0" w:color="000000"/>
              <w:right w:val="single" w:sz="8" w:space="0" w:color="auto"/>
            </w:tcBorders>
            <w:shd w:val="clear" w:color="auto" w:fill="A5C34C"/>
            <w:vAlign w:val="center"/>
            <w:hideMark/>
          </w:tcPr>
          <w:p w14:paraId="6A67E5DE" w14:textId="77777777" w:rsidR="00C2569D" w:rsidRPr="00897692" w:rsidRDefault="00C2569D" w:rsidP="002A21C0">
            <w:pPr>
              <w:spacing w:before="120" w:after="0" w:line="240" w:lineRule="auto"/>
              <w:jc w:val="left"/>
              <w:rPr>
                <w:rFonts w:ascii="Calibri" w:eastAsia="Times New Roman" w:hAnsi="Calibri" w:cs="Calibri"/>
                <w:b/>
                <w:bCs/>
                <w:color w:val="000000"/>
                <w:sz w:val="20"/>
                <w:szCs w:val="20"/>
              </w:rPr>
            </w:pPr>
          </w:p>
        </w:tc>
        <w:tc>
          <w:tcPr>
            <w:tcW w:w="1219" w:type="dxa"/>
            <w:vMerge/>
            <w:tcBorders>
              <w:top w:val="single" w:sz="8" w:space="0" w:color="auto"/>
              <w:left w:val="single" w:sz="8" w:space="0" w:color="auto"/>
              <w:bottom w:val="single" w:sz="8" w:space="0" w:color="000000"/>
              <w:right w:val="single" w:sz="8" w:space="0" w:color="auto"/>
            </w:tcBorders>
            <w:shd w:val="clear" w:color="auto" w:fill="A5C34C"/>
            <w:vAlign w:val="center"/>
            <w:hideMark/>
          </w:tcPr>
          <w:p w14:paraId="2EEA61FF" w14:textId="77777777" w:rsidR="00C2569D" w:rsidRPr="00897692" w:rsidRDefault="00C2569D" w:rsidP="002A21C0">
            <w:pPr>
              <w:spacing w:before="120" w:after="0" w:line="240" w:lineRule="auto"/>
              <w:jc w:val="left"/>
              <w:rPr>
                <w:rFonts w:ascii="Calibri" w:eastAsia="Times New Roman" w:hAnsi="Calibri" w:cs="Calibri"/>
                <w:b/>
                <w:bCs/>
                <w:color w:val="000000"/>
                <w:sz w:val="20"/>
                <w:szCs w:val="20"/>
              </w:rPr>
            </w:pPr>
          </w:p>
        </w:tc>
        <w:tc>
          <w:tcPr>
            <w:tcW w:w="3385" w:type="dxa"/>
            <w:vMerge/>
            <w:tcBorders>
              <w:top w:val="single" w:sz="8" w:space="0" w:color="auto"/>
              <w:left w:val="single" w:sz="8" w:space="0" w:color="auto"/>
              <w:bottom w:val="single" w:sz="8" w:space="0" w:color="000000"/>
              <w:right w:val="single" w:sz="8" w:space="0" w:color="auto"/>
            </w:tcBorders>
            <w:shd w:val="clear" w:color="auto" w:fill="A5C34C"/>
            <w:vAlign w:val="center"/>
            <w:hideMark/>
          </w:tcPr>
          <w:p w14:paraId="70BE4023" w14:textId="77777777" w:rsidR="00C2569D" w:rsidRPr="00897692" w:rsidRDefault="00C2569D" w:rsidP="002A21C0">
            <w:pPr>
              <w:spacing w:before="120" w:after="0" w:line="240" w:lineRule="auto"/>
              <w:jc w:val="left"/>
              <w:rPr>
                <w:rFonts w:ascii="Calibri" w:eastAsia="Times New Roman" w:hAnsi="Calibri" w:cs="Calibri"/>
                <w:b/>
                <w:bCs/>
                <w:color w:val="000000"/>
                <w:sz w:val="20"/>
                <w:szCs w:val="20"/>
              </w:rPr>
            </w:pPr>
          </w:p>
        </w:tc>
        <w:tc>
          <w:tcPr>
            <w:tcW w:w="874" w:type="dxa"/>
            <w:tcBorders>
              <w:top w:val="nil"/>
              <w:left w:val="nil"/>
              <w:bottom w:val="single" w:sz="8" w:space="0" w:color="auto"/>
              <w:right w:val="single" w:sz="8" w:space="0" w:color="auto"/>
            </w:tcBorders>
            <w:shd w:val="clear" w:color="auto" w:fill="A5C34C"/>
            <w:vAlign w:val="center"/>
            <w:hideMark/>
          </w:tcPr>
          <w:p w14:paraId="4DAF6A03"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Corsa semplice</w:t>
            </w:r>
          </w:p>
        </w:tc>
        <w:tc>
          <w:tcPr>
            <w:tcW w:w="802" w:type="dxa"/>
            <w:tcBorders>
              <w:top w:val="nil"/>
              <w:left w:val="nil"/>
              <w:bottom w:val="single" w:sz="8" w:space="0" w:color="auto"/>
              <w:right w:val="single" w:sz="8" w:space="0" w:color="auto"/>
            </w:tcBorders>
            <w:shd w:val="clear" w:color="auto" w:fill="A5C34C"/>
            <w:vAlign w:val="center"/>
            <w:hideMark/>
          </w:tcPr>
          <w:p w14:paraId="5D82D320"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Mensile</w:t>
            </w:r>
          </w:p>
        </w:tc>
        <w:tc>
          <w:tcPr>
            <w:tcW w:w="860" w:type="dxa"/>
            <w:tcBorders>
              <w:top w:val="nil"/>
              <w:left w:val="nil"/>
              <w:bottom w:val="single" w:sz="8" w:space="0" w:color="auto"/>
              <w:right w:val="single" w:sz="8" w:space="0" w:color="auto"/>
            </w:tcBorders>
            <w:shd w:val="clear" w:color="auto" w:fill="A5C34C"/>
            <w:vAlign w:val="center"/>
            <w:hideMark/>
          </w:tcPr>
          <w:p w14:paraId="7EEA4AE3"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Annuale studenti</w:t>
            </w:r>
          </w:p>
        </w:tc>
        <w:tc>
          <w:tcPr>
            <w:tcW w:w="860" w:type="dxa"/>
            <w:tcBorders>
              <w:top w:val="nil"/>
              <w:left w:val="nil"/>
              <w:bottom w:val="single" w:sz="8" w:space="0" w:color="auto"/>
              <w:right w:val="single" w:sz="8" w:space="0" w:color="auto"/>
            </w:tcBorders>
            <w:shd w:val="clear" w:color="auto" w:fill="A5C34C"/>
            <w:vAlign w:val="center"/>
            <w:hideMark/>
          </w:tcPr>
          <w:p w14:paraId="7D47E59D" w14:textId="77777777" w:rsidR="00C2569D" w:rsidRPr="00897692" w:rsidRDefault="00C2569D" w:rsidP="002A21C0">
            <w:pPr>
              <w:spacing w:before="120" w:after="0" w:line="240" w:lineRule="auto"/>
              <w:rPr>
                <w:rFonts w:ascii="Calibri" w:eastAsia="Times New Roman" w:hAnsi="Calibri" w:cs="Calibri"/>
                <w:b/>
                <w:bCs/>
                <w:color w:val="000000"/>
                <w:sz w:val="20"/>
                <w:szCs w:val="20"/>
              </w:rPr>
            </w:pPr>
            <w:r w:rsidRPr="00897692">
              <w:rPr>
                <w:rFonts w:ascii="Calibri" w:eastAsia="Times New Roman" w:hAnsi="Calibri" w:cs="Calibri"/>
                <w:b/>
                <w:bCs/>
                <w:color w:val="000000"/>
                <w:sz w:val="20"/>
                <w:szCs w:val="20"/>
              </w:rPr>
              <w:t>Annuale</w:t>
            </w:r>
          </w:p>
        </w:tc>
      </w:tr>
      <w:tr w:rsidR="00C2569D" w:rsidRPr="00897692" w14:paraId="63766321" w14:textId="77777777" w:rsidTr="002A21C0">
        <w:trPr>
          <w:trHeight w:val="840"/>
        </w:trPr>
        <w:tc>
          <w:tcPr>
            <w:tcW w:w="1100" w:type="dxa"/>
            <w:tcBorders>
              <w:top w:val="nil"/>
              <w:left w:val="single" w:sz="8" w:space="0" w:color="auto"/>
              <w:bottom w:val="single" w:sz="8" w:space="0" w:color="auto"/>
              <w:right w:val="single" w:sz="8" w:space="0" w:color="auto"/>
            </w:tcBorders>
            <w:vAlign w:val="center"/>
            <w:hideMark/>
          </w:tcPr>
          <w:p w14:paraId="3152FD9D"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Acqui Terme</w:t>
            </w:r>
          </w:p>
        </w:tc>
        <w:tc>
          <w:tcPr>
            <w:tcW w:w="1219" w:type="dxa"/>
            <w:tcBorders>
              <w:top w:val="nil"/>
              <w:left w:val="nil"/>
              <w:bottom w:val="single" w:sz="8" w:space="0" w:color="auto"/>
              <w:right w:val="single" w:sz="8" w:space="0" w:color="auto"/>
            </w:tcBorders>
            <w:vAlign w:val="center"/>
            <w:hideMark/>
          </w:tcPr>
          <w:p w14:paraId="57D83BDD"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D.G.C. n. 177 del 25/05/2023</w:t>
            </w:r>
          </w:p>
        </w:tc>
        <w:tc>
          <w:tcPr>
            <w:tcW w:w="3385" w:type="dxa"/>
            <w:tcBorders>
              <w:top w:val="nil"/>
              <w:left w:val="nil"/>
              <w:bottom w:val="single" w:sz="8" w:space="0" w:color="auto"/>
              <w:right w:val="single" w:sz="8" w:space="0" w:color="auto"/>
            </w:tcBorders>
            <w:vAlign w:val="center"/>
            <w:hideMark/>
          </w:tcPr>
          <w:p w14:paraId="1D7D603C" w14:textId="77777777" w:rsidR="00C2569D" w:rsidRPr="00897692" w:rsidRDefault="00C2569D" w:rsidP="002A21C0">
            <w:pPr>
              <w:spacing w:before="120" w:after="0" w:line="240" w:lineRule="auto"/>
              <w:jc w:val="left"/>
              <w:rPr>
                <w:rFonts w:ascii="Calibri" w:eastAsia="Times New Roman" w:hAnsi="Calibri" w:cs="Calibri"/>
                <w:color w:val="000000"/>
                <w:sz w:val="20"/>
                <w:szCs w:val="20"/>
              </w:rPr>
            </w:pPr>
            <w:r w:rsidRPr="00897692">
              <w:rPr>
                <w:rFonts w:ascii="Calibri" w:eastAsia="Times New Roman" w:hAnsi="Calibri" w:cs="Calibri"/>
                <w:color w:val="000000"/>
                <w:sz w:val="20"/>
                <w:szCs w:val="20"/>
              </w:rPr>
              <w:t>Biglietti di corsa semplice, abbonamenti: 10 corse, settimanale, trimestrale, annuale studenti, annuale</w:t>
            </w:r>
          </w:p>
        </w:tc>
        <w:tc>
          <w:tcPr>
            <w:tcW w:w="874" w:type="dxa"/>
            <w:tcBorders>
              <w:top w:val="nil"/>
              <w:left w:val="nil"/>
              <w:bottom w:val="single" w:sz="8" w:space="0" w:color="auto"/>
              <w:right w:val="single" w:sz="8" w:space="0" w:color="auto"/>
            </w:tcBorders>
            <w:vAlign w:val="center"/>
            <w:hideMark/>
          </w:tcPr>
          <w:p w14:paraId="6DE19431"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1,70 €</w:t>
            </w:r>
          </w:p>
        </w:tc>
        <w:tc>
          <w:tcPr>
            <w:tcW w:w="802" w:type="dxa"/>
            <w:tcBorders>
              <w:top w:val="nil"/>
              <w:left w:val="nil"/>
              <w:bottom w:val="single" w:sz="8" w:space="0" w:color="auto"/>
              <w:right w:val="single" w:sz="8" w:space="0" w:color="auto"/>
            </w:tcBorders>
            <w:vAlign w:val="center"/>
            <w:hideMark/>
          </w:tcPr>
          <w:p w14:paraId="01FF1710"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33,50 €</w:t>
            </w:r>
          </w:p>
        </w:tc>
        <w:tc>
          <w:tcPr>
            <w:tcW w:w="860" w:type="dxa"/>
            <w:tcBorders>
              <w:top w:val="nil"/>
              <w:left w:val="nil"/>
              <w:bottom w:val="single" w:sz="8" w:space="0" w:color="auto"/>
              <w:right w:val="single" w:sz="8" w:space="0" w:color="auto"/>
            </w:tcBorders>
            <w:vAlign w:val="center"/>
            <w:hideMark/>
          </w:tcPr>
          <w:p w14:paraId="32246CA6"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268 €</w:t>
            </w:r>
          </w:p>
        </w:tc>
        <w:tc>
          <w:tcPr>
            <w:tcW w:w="860" w:type="dxa"/>
            <w:tcBorders>
              <w:top w:val="nil"/>
              <w:left w:val="nil"/>
              <w:bottom w:val="single" w:sz="8" w:space="0" w:color="auto"/>
              <w:right w:val="single" w:sz="8" w:space="0" w:color="auto"/>
            </w:tcBorders>
            <w:vAlign w:val="center"/>
            <w:hideMark/>
          </w:tcPr>
          <w:p w14:paraId="3A68D9C0"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301,50 €</w:t>
            </w:r>
          </w:p>
        </w:tc>
      </w:tr>
      <w:tr w:rsidR="00C2569D" w:rsidRPr="002510CB" w14:paraId="0B0EEA1C" w14:textId="77777777" w:rsidTr="002A21C0">
        <w:trPr>
          <w:trHeight w:val="3048"/>
        </w:trPr>
        <w:tc>
          <w:tcPr>
            <w:tcW w:w="1100" w:type="dxa"/>
            <w:tcBorders>
              <w:top w:val="nil"/>
              <w:left w:val="single" w:sz="8" w:space="0" w:color="auto"/>
              <w:bottom w:val="single" w:sz="8" w:space="0" w:color="auto"/>
              <w:right w:val="single" w:sz="8" w:space="0" w:color="auto"/>
            </w:tcBorders>
            <w:vAlign w:val="center"/>
            <w:hideMark/>
          </w:tcPr>
          <w:p w14:paraId="4FC5D4A9" w14:textId="77777777" w:rsidR="00C2569D" w:rsidRPr="002510CB" w:rsidRDefault="00C2569D" w:rsidP="002A21C0">
            <w:pPr>
              <w:spacing w:before="120" w:after="0" w:line="240" w:lineRule="auto"/>
              <w:rPr>
                <w:rFonts w:ascii="Calibri" w:eastAsia="Times New Roman" w:hAnsi="Calibri" w:cs="Calibri"/>
                <w:color w:val="000000"/>
                <w:sz w:val="20"/>
                <w:szCs w:val="20"/>
              </w:rPr>
            </w:pPr>
            <w:r w:rsidRPr="002510CB">
              <w:rPr>
                <w:rFonts w:ascii="Calibri" w:eastAsia="Times New Roman" w:hAnsi="Calibri" w:cs="Calibri"/>
                <w:color w:val="000000"/>
                <w:sz w:val="20"/>
                <w:szCs w:val="20"/>
              </w:rPr>
              <w:t>Alessandria</w:t>
            </w:r>
          </w:p>
        </w:tc>
        <w:tc>
          <w:tcPr>
            <w:tcW w:w="1219" w:type="dxa"/>
            <w:tcBorders>
              <w:top w:val="nil"/>
              <w:left w:val="nil"/>
              <w:bottom w:val="single" w:sz="8" w:space="0" w:color="auto"/>
              <w:right w:val="single" w:sz="8" w:space="0" w:color="auto"/>
            </w:tcBorders>
            <w:vAlign w:val="center"/>
            <w:hideMark/>
          </w:tcPr>
          <w:p w14:paraId="737C31E8" w14:textId="77777777" w:rsidR="00C2569D" w:rsidRPr="002510CB" w:rsidRDefault="00C2569D" w:rsidP="002A21C0">
            <w:pPr>
              <w:spacing w:before="120" w:after="0" w:line="240" w:lineRule="auto"/>
              <w:rPr>
                <w:rFonts w:ascii="Calibri" w:eastAsia="Times New Roman" w:hAnsi="Calibri" w:cs="Calibri"/>
                <w:color w:val="000000"/>
                <w:sz w:val="20"/>
                <w:szCs w:val="20"/>
              </w:rPr>
            </w:pPr>
            <w:r w:rsidRPr="002510CB">
              <w:rPr>
                <w:rFonts w:ascii="Calibri" w:eastAsia="Times New Roman" w:hAnsi="Calibri" w:cs="Calibri"/>
                <w:color w:val="000000"/>
                <w:sz w:val="20"/>
                <w:szCs w:val="20"/>
              </w:rPr>
              <w:t> D.G.C. 320/2019</w:t>
            </w:r>
          </w:p>
        </w:tc>
        <w:tc>
          <w:tcPr>
            <w:tcW w:w="3385" w:type="dxa"/>
            <w:tcBorders>
              <w:top w:val="nil"/>
              <w:left w:val="nil"/>
              <w:bottom w:val="single" w:sz="8" w:space="0" w:color="auto"/>
              <w:right w:val="single" w:sz="8" w:space="0" w:color="auto"/>
            </w:tcBorders>
            <w:vAlign w:val="center"/>
            <w:hideMark/>
          </w:tcPr>
          <w:p w14:paraId="7E937B4D" w14:textId="77777777" w:rsidR="00C2569D" w:rsidRPr="002510CB" w:rsidRDefault="00C2569D" w:rsidP="002A21C0">
            <w:pPr>
              <w:spacing w:before="120" w:after="0" w:line="240" w:lineRule="auto"/>
              <w:jc w:val="left"/>
              <w:rPr>
                <w:rFonts w:ascii="Calibri" w:eastAsia="Times New Roman" w:hAnsi="Calibri" w:cs="Calibri"/>
                <w:color w:val="000000"/>
                <w:sz w:val="20"/>
                <w:szCs w:val="20"/>
              </w:rPr>
            </w:pPr>
            <w:r w:rsidRPr="002510CB">
              <w:rPr>
                <w:rFonts w:ascii="Calibri" w:eastAsia="Times New Roman" w:hAnsi="Calibri" w:cs="Calibri"/>
                <w:color w:val="000000"/>
                <w:sz w:val="20"/>
                <w:szCs w:val="20"/>
              </w:rPr>
              <w:t>Biglietti di corsa semplice, abbonamenti: mensile ordinario, mensili agevolati, mensile invalidi, mensile ragazzi, mensile studenti fino ai 25 anni, mensile over 65, annuale ordinario, annuali agevolati, annuali invalidi, annuali ragazzi, annuali studenti fino ai 25 anni, annuali over 65, mensile ulteriore componente nucleo famigliare, annuale ulteriore componente nucleo famigliare</w:t>
            </w:r>
          </w:p>
        </w:tc>
        <w:tc>
          <w:tcPr>
            <w:tcW w:w="874" w:type="dxa"/>
            <w:tcBorders>
              <w:top w:val="nil"/>
              <w:left w:val="nil"/>
              <w:bottom w:val="single" w:sz="8" w:space="0" w:color="auto"/>
              <w:right w:val="single" w:sz="8" w:space="0" w:color="auto"/>
            </w:tcBorders>
            <w:vAlign w:val="center"/>
            <w:hideMark/>
          </w:tcPr>
          <w:p w14:paraId="7AEE3A12"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1,80 €</w:t>
            </w:r>
          </w:p>
        </w:tc>
        <w:tc>
          <w:tcPr>
            <w:tcW w:w="802" w:type="dxa"/>
            <w:tcBorders>
              <w:top w:val="nil"/>
              <w:left w:val="nil"/>
              <w:bottom w:val="single" w:sz="8" w:space="0" w:color="auto"/>
              <w:right w:val="single" w:sz="8" w:space="0" w:color="auto"/>
            </w:tcBorders>
            <w:vAlign w:val="center"/>
            <w:hideMark/>
          </w:tcPr>
          <w:p w14:paraId="2036C38B"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51,50 €</w:t>
            </w:r>
          </w:p>
        </w:tc>
        <w:tc>
          <w:tcPr>
            <w:tcW w:w="860" w:type="dxa"/>
            <w:tcBorders>
              <w:top w:val="nil"/>
              <w:left w:val="nil"/>
              <w:bottom w:val="single" w:sz="8" w:space="0" w:color="auto"/>
              <w:right w:val="single" w:sz="8" w:space="0" w:color="auto"/>
            </w:tcBorders>
            <w:vAlign w:val="center"/>
            <w:hideMark/>
          </w:tcPr>
          <w:p w14:paraId="6FF880D6"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418,50 €</w:t>
            </w:r>
          </w:p>
        </w:tc>
        <w:tc>
          <w:tcPr>
            <w:tcW w:w="860" w:type="dxa"/>
            <w:tcBorders>
              <w:top w:val="nil"/>
              <w:left w:val="nil"/>
              <w:bottom w:val="single" w:sz="8" w:space="0" w:color="auto"/>
              <w:right w:val="single" w:sz="8" w:space="0" w:color="auto"/>
            </w:tcBorders>
            <w:vAlign w:val="center"/>
            <w:hideMark/>
          </w:tcPr>
          <w:p w14:paraId="2B738DAD"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560,50 €</w:t>
            </w:r>
          </w:p>
        </w:tc>
      </w:tr>
      <w:tr w:rsidR="00C2569D" w:rsidRPr="00897692" w14:paraId="55E38C56" w14:textId="77777777" w:rsidTr="002A21C0">
        <w:trPr>
          <w:trHeight w:val="1668"/>
        </w:trPr>
        <w:tc>
          <w:tcPr>
            <w:tcW w:w="1100" w:type="dxa"/>
            <w:tcBorders>
              <w:top w:val="nil"/>
              <w:left w:val="single" w:sz="8" w:space="0" w:color="auto"/>
              <w:bottom w:val="single" w:sz="8" w:space="0" w:color="auto"/>
              <w:right w:val="single" w:sz="8" w:space="0" w:color="auto"/>
            </w:tcBorders>
            <w:vAlign w:val="center"/>
            <w:hideMark/>
          </w:tcPr>
          <w:p w14:paraId="5637F9DB"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Asti</w:t>
            </w:r>
          </w:p>
        </w:tc>
        <w:tc>
          <w:tcPr>
            <w:tcW w:w="1219" w:type="dxa"/>
            <w:tcBorders>
              <w:top w:val="nil"/>
              <w:left w:val="nil"/>
              <w:bottom w:val="single" w:sz="8" w:space="0" w:color="auto"/>
              <w:right w:val="single" w:sz="8" w:space="0" w:color="auto"/>
            </w:tcBorders>
            <w:vAlign w:val="center"/>
            <w:hideMark/>
          </w:tcPr>
          <w:p w14:paraId="3C791D8D" w14:textId="4331EF3A" w:rsidR="00C2569D" w:rsidRPr="00897692" w:rsidRDefault="00670903" w:rsidP="002A21C0">
            <w:pPr>
              <w:spacing w:before="120" w:after="0" w:line="240" w:lineRule="auto"/>
              <w:rPr>
                <w:rFonts w:ascii="Calibri" w:eastAsia="Times New Roman" w:hAnsi="Calibri" w:cs="Calibri"/>
                <w:color w:val="000000"/>
                <w:sz w:val="20"/>
                <w:szCs w:val="20"/>
              </w:rPr>
            </w:pPr>
            <w:hyperlink r:id="rId72" w:history="1">
              <w:r w:rsidR="00C2569D" w:rsidRPr="00897692">
                <w:rPr>
                  <w:rFonts w:ascii="Calibri" w:eastAsia="Times New Roman" w:hAnsi="Calibri" w:cs="Calibri"/>
                  <w:color w:val="000000"/>
                  <w:sz w:val="20"/>
                  <w:szCs w:val="20"/>
                </w:rPr>
                <w:t>D.G.C. n. 11 del 16/01/2018</w:t>
              </w:r>
            </w:hyperlink>
          </w:p>
        </w:tc>
        <w:tc>
          <w:tcPr>
            <w:tcW w:w="3385" w:type="dxa"/>
            <w:tcBorders>
              <w:top w:val="nil"/>
              <w:left w:val="nil"/>
              <w:bottom w:val="single" w:sz="8" w:space="0" w:color="auto"/>
              <w:right w:val="single" w:sz="8" w:space="0" w:color="auto"/>
            </w:tcBorders>
            <w:vAlign w:val="center"/>
            <w:hideMark/>
          </w:tcPr>
          <w:p w14:paraId="0D6F7FA5" w14:textId="77777777" w:rsidR="00C2569D" w:rsidRPr="00897692" w:rsidRDefault="00C2569D" w:rsidP="002A21C0">
            <w:pPr>
              <w:spacing w:before="120" w:after="0" w:line="240" w:lineRule="auto"/>
              <w:jc w:val="left"/>
              <w:rPr>
                <w:rFonts w:ascii="Calibri" w:eastAsia="Times New Roman" w:hAnsi="Calibri" w:cs="Calibri"/>
                <w:color w:val="000000"/>
                <w:sz w:val="20"/>
                <w:szCs w:val="20"/>
              </w:rPr>
            </w:pPr>
            <w:r w:rsidRPr="00897692">
              <w:rPr>
                <w:rFonts w:ascii="Calibri" w:eastAsia="Times New Roman" w:hAnsi="Calibri" w:cs="Calibri"/>
                <w:color w:val="000000"/>
                <w:sz w:val="20"/>
                <w:szCs w:val="20"/>
              </w:rPr>
              <w:t>Biglietti di corsa semplice, giornalieri, abbonamenti: 10 corse, mensile, mensile under 25, mensile under 25 Isee, mensile over 65, annuale under 25, annuale under 25 Isee, annuale over 65</w:t>
            </w:r>
          </w:p>
        </w:tc>
        <w:tc>
          <w:tcPr>
            <w:tcW w:w="874" w:type="dxa"/>
            <w:tcBorders>
              <w:top w:val="nil"/>
              <w:left w:val="nil"/>
              <w:bottom w:val="single" w:sz="8" w:space="0" w:color="auto"/>
              <w:right w:val="single" w:sz="8" w:space="0" w:color="auto"/>
            </w:tcBorders>
            <w:vAlign w:val="center"/>
            <w:hideMark/>
          </w:tcPr>
          <w:p w14:paraId="0980931E"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1,20 €</w:t>
            </w:r>
          </w:p>
        </w:tc>
        <w:tc>
          <w:tcPr>
            <w:tcW w:w="802" w:type="dxa"/>
            <w:tcBorders>
              <w:top w:val="nil"/>
              <w:left w:val="nil"/>
              <w:bottom w:val="single" w:sz="8" w:space="0" w:color="auto"/>
              <w:right w:val="single" w:sz="8" w:space="0" w:color="auto"/>
            </w:tcBorders>
            <w:vAlign w:val="center"/>
            <w:hideMark/>
          </w:tcPr>
          <w:p w14:paraId="2498A5E4"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25 €</w:t>
            </w:r>
          </w:p>
        </w:tc>
        <w:tc>
          <w:tcPr>
            <w:tcW w:w="860" w:type="dxa"/>
            <w:tcBorders>
              <w:top w:val="nil"/>
              <w:left w:val="nil"/>
              <w:bottom w:val="single" w:sz="8" w:space="0" w:color="auto"/>
              <w:right w:val="single" w:sz="8" w:space="0" w:color="auto"/>
            </w:tcBorders>
            <w:vAlign w:val="center"/>
            <w:hideMark/>
          </w:tcPr>
          <w:p w14:paraId="0F20D3F4"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150 €</w:t>
            </w:r>
          </w:p>
        </w:tc>
        <w:tc>
          <w:tcPr>
            <w:tcW w:w="860" w:type="dxa"/>
            <w:tcBorders>
              <w:top w:val="nil"/>
              <w:left w:val="nil"/>
              <w:bottom w:val="single" w:sz="8" w:space="0" w:color="auto"/>
              <w:right w:val="single" w:sz="8" w:space="0" w:color="auto"/>
            </w:tcBorders>
            <w:vAlign w:val="center"/>
            <w:hideMark/>
          </w:tcPr>
          <w:p w14:paraId="796FECFD"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n.d.</w:t>
            </w:r>
          </w:p>
        </w:tc>
      </w:tr>
      <w:tr w:rsidR="00C2569D" w:rsidRPr="00897692" w14:paraId="45F50106" w14:textId="77777777" w:rsidTr="002A21C0">
        <w:trPr>
          <w:trHeight w:val="1668"/>
        </w:trPr>
        <w:tc>
          <w:tcPr>
            <w:tcW w:w="1100" w:type="dxa"/>
            <w:tcBorders>
              <w:top w:val="nil"/>
              <w:left w:val="single" w:sz="8" w:space="0" w:color="auto"/>
              <w:bottom w:val="single" w:sz="8" w:space="0" w:color="auto"/>
              <w:right w:val="single" w:sz="8" w:space="0" w:color="auto"/>
            </w:tcBorders>
            <w:vAlign w:val="center"/>
            <w:hideMark/>
          </w:tcPr>
          <w:p w14:paraId="158BA4C6"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Casale Monferrato</w:t>
            </w:r>
          </w:p>
        </w:tc>
        <w:tc>
          <w:tcPr>
            <w:tcW w:w="1219" w:type="dxa"/>
            <w:tcBorders>
              <w:top w:val="nil"/>
              <w:left w:val="nil"/>
              <w:bottom w:val="single" w:sz="8" w:space="0" w:color="auto"/>
              <w:right w:val="single" w:sz="8" w:space="0" w:color="auto"/>
            </w:tcBorders>
            <w:vAlign w:val="center"/>
            <w:hideMark/>
          </w:tcPr>
          <w:p w14:paraId="293CF821" w14:textId="15F29C23" w:rsidR="00C2569D" w:rsidRPr="00897692" w:rsidRDefault="00670903" w:rsidP="002A21C0">
            <w:pPr>
              <w:spacing w:before="120" w:after="0" w:line="240" w:lineRule="auto"/>
              <w:rPr>
                <w:rFonts w:ascii="Calibri" w:eastAsia="Times New Roman" w:hAnsi="Calibri" w:cs="Calibri"/>
                <w:color w:val="000000"/>
                <w:sz w:val="20"/>
                <w:szCs w:val="20"/>
              </w:rPr>
            </w:pPr>
            <w:hyperlink r:id="rId73" w:history="1">
              <w:r w:rsidR="00C2569D" w:rsidRPr="00897692">
                <w:rPr>
                  <w:rFonts w:ascii="Calibri" w:eastAsia="Times New Roman" w:hAnsi="Calibri" w:cs="Calibri"/>
                  <w:color w:val="000000"/>
                  <w:sz w:val="20"/>
                  <w:szCs w:val="20"/>
                </w:rPr>
                <w:t>D.G.C. n. 577 del 19/12/2024</w:t>
              </w:r>
            </w:hyperlink>
          </w:p>
        </w:tc>
        <w:tc>
          <w:tcPr>
            <w:tcW w:w="3385" w:type="dxa"/>
            <w:tcBorders>
              <w:top w:val="nil"/>
              <w:left w:val="nil"/>
              <w:bottom w:val="single" w:sz="8" w:space="0" w:color="auto"/>
              <w:right w:val="single" w:sz="8" w:space="0" w:color="auto"/>
            </w:tcBorders>
            <w:vAlign w:val="center"/>
            <w:hideMark/>
          </w:tcPr>
          <w:p w14:paraId="2307C64F" w14:textId="77777777" w:rsidR="00C2569D" w:rsidRPr="00897692" w:rsidRDefault="00C2569D" w:rsidP="002A21C0">
            <w:pPr>
              <w:spacing w:before="120" w:after="0" w:line="240" w:lineRule="auto"/>
              <w:jc w:val="left"/>
              <w:rPr>
                <w:rFonts w:ascii="Calibri" w:eastAsia="Times New Roman" w:hAnsi="Calibri" w:cs="Calibri"/>
                <w:color w:val="000000"/>
                <w:sz w:val="20"/>
                <w:szCs w:val="20"/>
              </w:rPr>
            </w:pPr>
            <w:r w:rsidRPr="00897692">
              <w:rPr>
                <w:rFonts w:ascii="Calibri" w:eastAsia="Times New Roman" w:hAnsi="Calibri" w:cs="Calibri"/>
                <w:color w:val="000000"/>
                <w:sz w:val="20"/>
                <w:szCs w:val="20"/>
              </w:rPr>
              <w:t>Biglietti corsa semplice, abbonamenti: 10 corse, 10 corse over 65, 10 corse over 60 con esenzione sanitaria, mensile intero, mensile studenti, mensile under 26, annuale intero, annuale under 26.</w:t>
            </w:r>
          </w:p>
        </w:tc>
        <w:tc>
          <w:tcPr>
            <w:tcW w:w="874" w:type="dxa"/>
            <w:tcBorders>
              <w:top w:val="nil"/>
              <w:left w:val="nil"/>
              <w:bottom w:val="single" w:sz="8" w:space="0" w:color="auto"/>
              <w:right w:val="single" w:sz="8" w:space="0" w:color="auto"/>
            </w:tcBorders>
            <w:vAlign w:val="center"/>
            <w:hideMark/>
          </w:tcPr>
          <w:p w14:paraId="7C4F80A3"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1,50 €</w:t>
            </w:r>
          </w:p>
        </w:tc>
        <w:tc>
          <w:tcPr>
            <w:tcW w:w="802" w:type="dxa"/>
            <w:tcBorders>
              <w:top w:val="nil"/>
              <w:left w:val="nil"/>
              <w:bottom w:val="single" w:sz="8" w:space="0" w:color="auto"/>
              <w:right w:val="single" w:sz="8" w:space="0" w:color="auto"/>
            </w:tcBorders>
            <w:vAlign w:val="center"/>
            <w:hideMark/>
          </w:tcPr>
          <w:p w14:paraId="1106F969"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38 €</w:t>
            </w:r>
          </w:p>
        </w:tc>
        <w:tc>
          <w:tcPr>
            <w:tcW w:w="860" w:type="dxa"/>
            <w:tcBorders>
              <w:top w:val="nil"/>
              <w:left w:val="nil"/>
              <w:bottom w:val="single" w:sz="8" w:space="0" w:color="auto"/>
              <w:right w:val="single" w:sz="8" w:space="0" w:color="auto"/>
            </w:tcBorders>
            <w:vAlign w:val="center"/>
            <w:hideMark/>
          </w:tcPr>
          <w:p w14:paraId="539ADEED"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260 €</w:t>
            </w:r>
          </w:p>
        </w:tc>
        <w:tc>
          <w:tcPr>
            <w:tcW w:w="860" w:type="dxa"/>
            <w:tcBorders>
              <w:top w:val="nil"/>
              <w:left w:val="nil"/>
              <w:bottom w:val="single" w:sz="8" w:space="0" w:color="auto"/>
              <w:right w:val="single" w:sz="8" w:space="0" w:color="auto"/>
            </w:tcBorders>
            <w:vAlign w:val="center"/>
            <w:hideMark/>
          </w:tcPr>
          <w:p w14:paraId="77670342"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310 €</w:t>
            </w:r>
          </w:p>
        </w:tc>
      </w:tr>
      <w:tr w:rsidR="00C2569D" w:rsidRPr="00897692" w14:paraId="3D673D95" w14:textId="77777777" w:rsidTr="002A21C0">
        <w:trPr>
          <w:trHeight w:val="1944"/>
        </w:trPr>
        <w:tc>
          <w:tcPr>
            <w:tcW w:w="1100" w:type="dxa"/>
            <w:tcBorders>
              <w:top w:val="nil"/>
              <w:left w:val="single" w:sz="8" w:space="0" w:color="auto"/>
              <w:bottom w:val="single" w:sz="8" w:space="0" w:color="auto"/>
              <w:right w:val="single" w:sz="8" w:space="0" w:color="auto"/>
            </w:tcBorders>
            <w:vAlign w:val="center"/>
            <w:hideMark/>
          </w:tcPr>
          <w:p w14:paraId="63351B5E"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lastRenderedPageBreak/>
              <w:t>Novi Ligure</w:t>
            </w:r>
          </w:p>
        </w:tc>
        <w:tc>
          <w:tcPr>
            <w:tcW w:w="1219" w:type="dxa"/>
            <w:tcBorders>
              <w:top w:val="nil"/>
              <w:left w:val="nil"/>
              <w:bottom w:val="single" w:sz="8" w:space="0" w:color="auto"/>
              <w:right w:val="single" w:sz="8" w:space="0" w:color="auto"/>
            </w:tcBorders>
            <w:vAlign w:val="center"/>
            <w:hideMark/>
          </w:tcPr>
          <w:p w14:paraId="0767DD56" w14:textId="5944376B" w:rsidR="00C2569D" w:rsidRPr="00897692" w:rsidRDefault="00670903" w:rsidP="002A21C0">
            <w:pPr>
              <w:spacing w:before="120" w:after="0" w:line="240" w:lineRule="auto"/>
              <w:rPr>
                <w:rFonts w:ascii="Calibri" w:eastAsia="Times New Roman" w:hAnsi="Calibri" w:cs="Calibri"/>
                <w:color w:val="000000"/>
                <w:sz w:val="20"/>
                <w:szCs w:val="20"/>
              </w:rPr>
            </w:pPr>
            <w:hyperlink r:id="rId74" w:history="1">
              <w:r w:rsidR="00C2569D" w:rsidRPr="00897692">
                <w:rPr>
                  <w:rFonts w:ascii="Calibri" w:eastAsia="Times New Roman" w:hAnsi="Calibri" w:cs="Calibri"/>
                  <w:color w:val="000000"/>
                  <w:sz w:val="20"/>
                  <w:szCs w:val="20"/>
                </w:rPr>
                <w:t>D.G.C. n. 186 del 07/08/2024</w:t>
              </w:r>
            </w:hyperlink>
          </w:p>
        </w:tc>
        <w:tc>
          <w:tcPr>
            <w:tcW w:w="3385" w:type="dxa"/>
            <w:tcBorders>
              <w:top w:val="nil"/>
              <w:left w:val="nil"/>
              <w:bottom w:val="single" w:sz="8" w:space="0" w:color="auto"/>
              <w:right w:val="single" w:sz="8" w:space="0" w:color="auto"/>
            </w:tcBorders>
            <w:vAlign w:val="center"/>
            <w:hideMark/>
          </w:tcPr>
          <w:p w14:paraId="36A2ED35" w14:textId="77777777" w:rsidR="00C2569D" w:rsidRPr="00897692" w:rsidRDefault="00C2569D" w:rsidP="002A21C0">
            <w:pPr>
              <w:spacing w:before="120" w:after="0" w:line="240" w:lineRule="auto"/>
              <w:jc w:val="left"/>
              <w:rPr>
                <w:rFonts w:ascii="Calibri" w:eastAsia="Times New Roman" w:hAnsi="Calibri" w:cs="Calibri"/>
                <w:color w:val="000000"/>
                <w:sz w:val="20"/>
                <w:szCs w:val="20"/>
              </w:rPr>
            </w:pPr>
            <w:r w:rsidRPr="00897692">
              <w:rPr>
                <w:rFonts w:ascii="Calibri" w:eastAsia="Times New Roman" w:hAnsi="Calibri" w:cs="Calibri"/>
                <w:color w:val="000000"/>
                <w:sz w:val="20"/>
                <w:szCs w:val="20"/>
              </w:rPr>
              <w:t>Biglietto corsa semplice, biglietto servizio a chiamata, abbonamenti: 10 corse, settimanale, mensile, trimestrale, annuale, annuale studenti illimitato, mensile e trimestrale e annuale studenti solo in fasce scolastiche</w:t>
            </w:r>
          </w:p>
        </w:tc>
        <w:tc>
          <w:tcPr>
            <w:tcW w:w="874" w:type="dxa"/>
            <w:tcBorders>
              <w:top w:val="nil"/>
              <w:left w:val="nil"/>
              <w:bottom w:val="single" w:sz="8" w:space="0" w:color="auto"/>
              <w:right w:val="single" w:sz="8" w:space="0" w:color="auto"/>
            </w:tcBorders>
            <w:vAlign w:val="center"/>
            <w:hideMark/>
          </w:tcPr>
          <w:p w14:paraId="2372D03D"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1,80 €</w:t>
            </w:r>
          </w:p>
        </w:tc>
        <w:tc>
          <w:tcPr>
            <w:tcW w:w="802" w:type="dxa"/>
            <w:tcBorders>
              <w:top w:val="nil"/>
              <w:left w:val="nil"/>
              <w:bottom w:val="single" w:sz="8" w:space="0" w:color="auto"/>
              <w:right w:val="single" w:sz="8" w:space="0" w:color="auto"/>
            </w:tcBorders>
            <w:vAlign w:val="center"/>
            <w:hideMark/>
          </w:tcPr>
          <w:p w14:paraId="06AB80AA"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37 €</w:t>
            </w:r>
          </w:p>
        </w:tc>
        <w:tc>
          <w:tcPr>
            <w:tcW w:w="860" w:type="dxa"/>
            <w:tcBorders>
              <w:top w:val="nil"/>
              <w:left w:val="nil"/>
              <w:bottom w:val="single" w:sz="8" w:space="0" w:color="auto"/>
              <w:right w:val="single" w:sz="8" w:space="0" w:color="auto"/>
            </w:tcBorders>
            <w:vAlign w:val="center"/>
            <w:hideMark/>
          </w:tcPr>
          <w:p w14:paraId="7C73BEB0"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294 €</w:t>
            </w:r>
          </w:p>
        </w:tc>
        <w:tc>
          <w:tcPr>
            <w:tcW w:w="860" w:type="dxa"/>
            <w:tcBorders>
              <w:top w:val="nil"/>
              <w:left w:val="nil"/>
              <w:bottom w:val="single" w:sz="8" w:space="0" w:color="auto"/>
              <w:right w:val="single" w:sz="8" w:space="0" w:color="auto"/>
            </w:tcBorders>
            <w:vAlign w:val="center"/>
            <w:hideMark/>
          </w:tcPr>
          <w:p w14:paraId="7F676A55"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331 €</w:t>
            </w:r>
          </w:p>
        </w:tc>
      </w:tr>
      <w:tr w:rsidR="00C2569D" w:rsidRPr="00897692" w14:paraId="064DE19A" w14:textId="77777777" w:rsidTr="002A21C0">
        <w:trPr>
          <w:trHeight w:val="840"/>
        </w:trPr>
        <w:tc>
          <w:tcPr>
            <w:tcW w:w="1100" w:type="dxa"/>
            <w:tcBorders>
              <w:top w:val="nil"/>
              <w:left w:val="single" w:sz="8" w:space="0" w:color="auto"/>
              <w:bottom w:val="single" w:sz="8" w:space="0" w:color="auto"/>
              <w:right w:val="single" w:sz="8" w:space="0" w:color="auto"/>
            </w:tcBorders>
            <w:vAlign w:val="center"/>
            <w:hideMark/>
          </w:tcPr>
          <w:p w14:paraId="3CB25CF6"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Tortona</w:t>
            </w:r>
          </w:p>
        </w:tc>
        <w:tc>
          <w:tcPr>
            <w:tcW w:w="1219" w:type="dxa"/>
            <w:tcBorders>
              <w:top w:val="nil"/>
              <w:left w:val="nil"/>
              <w:bottom w:val="single" w:sz="8" w:space="0" w:color="auto"/>
              <w:right w:val="single" w:sz="8" w:space="0" w:color="auto"/>
            </w:tcBorders>
            <w:vAlign w:val="center"/>
            <w:hideMark/>
          </w:tcPr>
          <w:p w14:paraId="21A52F6C" w14:textId="77777777" w:rsidR="00C2569D" w:rsidRPr="00897692" w:rsidRDefault="00C2569D" w:rsidP="002A21C0">
            <w:pPr>
              <w:spacing w:before="120" w:after="0" w:line="240" w:lineRule="auto"/>
              <w:rPr>
                <w:rFonts w:ascii="Calibri" w:eastAsia="Times New Roman" w:hAnsi="Calibri" w:cs="Calibri"/>
                <w:color w:val="000000"/>
                <w:sz w:val="20"/>
                <w:szCs w:val="20"/>
              </w:rPr>
            </w:pPr>
            <w:r w:rsidRPr="00897692">
              <w:rPr>
                <w:rFonts w:ascii="Calibri" w:eastAsia="Times New Roman" w:hAnsi="Calibri" w:cs="Calibri"/>
                <w:color w:val="000000"/>
                <w:sz w:val="20"/>
                <w:szCs w:val="20"/>
              </w:rPr>
              <w:t>D.</w:t>
            </w:r>
            <w:r>
              <w:rPr>
                <w:rFonts w:ascii="Calibri" w:eastAsia="Times New Roman" w:hAnsi="Calibri" w:cs="Calibri"/>
                <w:color w:val="000000"/>
                <w:sz w:val="20"/>
                <w:szCs w:val="20"/>
              </w:rPr>
              <w:t>G.</w:t>
            </w:r>
            <w:r w:rsidRPr="00897692">
              <w:rPr>
                <w:rFonts w:ascii="Calibri" w:eastAsia="Times New Roman" w:hAnsi="Calibri" w:cs="Calibri"/>
                <w:color w:val="000000"/>
                <w:sz w:val="20"/>
                <w:szCs w:val="20"/>
              </w:rPr>
              <w:t>R.</w:t>
            </w:r>
            <w:r>
              <w:rPr>
                <w:rFonts w:ascii="Calibri" w:eastAsia="Times New Roman" w:hAnsi="Calibri" w:cs="Calibri"/>
                <w:color w:val="000000"/>
                <w:sz w:val="20"/>
                <w:szCs w:val="20"/>
              </w:rPr>
              <w:t xml:space="preserve"> n.</w:t>
            </w:r>
            <w:r w:rsidRPr="00897692">
              <w:rPr>
                <w:rFonts w:ascii="Calibri" w:eastAsia="Times New Roman" w:hAnsi="Calibri" w:cs="Calibri"/>
                <w:color w:val="000000"/>
                <w:sz w:val="20"/>
                <w:szCs w:val="20"/>
              </w:rPr>
              <w:t xml:space="preserve"> 136608 del 4/11/2013</w:t>
            </w:r>
          </w:p>
        </w:tc>
        <w:tc>
          <w:tcPr>
            <w:tcW w:w="3385" w:type="dxa"/>
            <w:tcBorders>
              <w:top w:val="nil"/>
              <w:left w:val="nil"/>
              <w:bottom w:val="single" w:sz="8" w:space="0" w:color="auto"/>
              <w:right w:val="single" w:sz="8" w:space="0" w:color="auto"/>
            </w:tcBorders>
            <w:vAlign w:val="center"/>
            <w:hideMark/>
          </w:tcPr>
          <w:p w14:paraId="591904D8" w14:textId="77777777" w:rsidR="00C2569D" w:rsidRPr="00897692" w:rsidRDefault="00C2569D" w:rsidP="002A21C0">
            <w:pPr>
              <w:spacing w:before="120" w:after="0" w:line="240" w:lineRule="auto"/>
              <w:jc w:val="left"/>
              <w:rPr>
                <w:rFonts w:ascii="Calibri" w:eastAsia="Times New Roman" w:hAnsi="Calibri" w:cs="Calibri"/>
                <w:color w:val="000000"/>
                <w:sz w:val="20"/>
                <w:szCs w:val="20"/>
              </w:rPr>
            </w:pPr>
            <w:r w:rsidRPr="00897692">
              <w:rPr>
                <w:rFonts w:ascii="Calibri" w:eastAsia="Times New Roman" w:hAnsi="Calibri" w:cs="Calibri"/>
                <w:color w:val="000000"/>
                <w:sz w:val="20"/>
                <w:szCs w:val="20"/>
              </w:rPr>
              <w:t>Biglietto corsa semplice, abbonamenti: 10 corse, settimanale, mensile, trimestrale</w:t>
            </w:r>
          </w:p>
        </w:tc>
        <w:tc>
          <w:tcPr>
            <w:tcW w:w="874" w:type="dxa"/>
            <w:tcBorders>
              <w:top w:val="nil"/>
              <w:left w:val="nil"/>
              <w:bottom w:val="single" w:sz="8" w:space="0" w:color="auto"/>
              <w:right w:val="single" w:sz="8" w:space="0" w:color="auto"/>
            </w:tcBorders>
            <w:vAlign w:val="center"/>
            <w:hideMark/>
          </w:tcPr>
          <w:p w14:paraId="2FDBBEAB"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1,50 €</w:t>
            </w:r>
          </w:p>
        </w:tc>
        <w:tc>
          <w:tcPr>
            <w:tcW w:w="802" w:type="dxa"/>
            <w:tcBorders>
              <w:top w:val="nil"/>
              <w:left w:val="nil"/>
              <w:bottom w:val="single" w:sz="8" w:space="0" w:color="auto"/>
              <w:right w:val="single" w:sz="8" w:space="0" w:color="auto"/>
            </w:tcBorders>
            <w:vAlign w:val="center"/>
            <w:hideMark/>
          </w:tcPr>
          <w:p w14:paraId="1C2E64B0"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30 €</w:t>
            </w:r>
          </w:p>
        </w:tc>
        <w:tc>
          <w:tcPr>
            <w:tcW w:w="860" w:type="dxa"/>
            <w:tcBorders>
              <w:top w:val="nil"/>
              <w:left w:val="nil"/>
              <w:bottom w:val="single" w:sz="8" w:space="0" w:color="auto"/>
              <w:right w:val="single" w:sz="8" w:space="0" w:color="auto"/>
            </w:tcBorders>
            <w:vAlign w:val="center"/>
            <w:hideMark/>
          </w:tcPr>
          <w:p w14:paraId="3AD9811D"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n.d.</w:t>
            </w:r>
          </w:p>
        </w:tc>
        <w:tc>
          <w:tcPr>
            <w:tcW w:w="860" w:type="dxa"/>
            <w:tcBorders>
              <w:top w:val="nil"/>
              <w:left w:val="nil"/>
              <w:bottom w:val="single" w:sz="8" w:space="0" w:color="auto"/>
              <w:right w:val="single" w:sz="8" w:space="0" w:color="auto"/>
            </w:tcBorders>
            <w:vAlign w:val="center"/>
            <w:hideMark/>
          </w:tcPr>
          <w:p w14:paraId="453B12D2" w14:textId="77777777" w:rsidR="00C2569D" w:rsidRPr="00897692" w:rsidRDefault="00C2569D" w:rsidP="002A21C0">
            <w:pPr>
              <w:spacing w:before="120" w:after="0" w:line="240" w:lineRule="auto"/>
              <w:jc w:val="center"/>
              <w:rPr>
                <w:rFonts w:ascii="Calibri" w:eastAsia="Times New Roman" w:hAnsi="Calibri" w:cs="Calibri"/>
                <w:color w:val="000000"/>
                <w:sz w:val="20"/>
                <w:szCs w:val="20"/>
              </w:rPr>
            </w:pPr>
            <w:r w:rsidRPr="00897692">
              <w:rPr>
                <w:rFonts w:ascii="Calibri" w:eastAsia="Times New Roman" w:hAnsi="Calibri" w:cs="Calibri"/>
                <w:color w:val="000000"/>
                <w:sz w:val="20"/>
                <w:szCs w:val="20"/>
              </w:rPr>
              <w:t>n.d.</w:t>
            </w:r>
          </w:p>
        </w:tc>
      </w:tr>
      <w:tr w:rsidR="00C2569D" w:rsidRPr="00897692" w14:paraId="20811A3C" w14:textId="77777777" w:rsidTr="002A21C0">
        <w:trPr>
          <w:trHeight w:val="840"/>
        </w:trPr>
        <w:tc>
          <w:tcPr>
            <w:tcW w:w="1100" w:type="dxa"/>
            <w:tcBorders>
              <w:top w:val="nil"/>
              <w:left w:val="single" w:sz="8" w:space="0" w:color="auto"/>
              <w:bottom w:val="single" w:sz="8" w:space="0" w:color="auto"/>
              <w:right w:val="single" w:sz="8" w:space="0" w:color="auto"/>
            </w:tcBorders>
            <w:vAlign w:val="center"/>
            <w:hideMark/>
          </w:tcPr>
          <w:p w14:paraId="74D48637" w14:textId="77777777" w:rsidR="00C2569D" w:rsidRPr="002510CB" w:rsidRDefault="00C2569D" w:rsidP="002A21C0">
            <w:pPr>
              <w:spacing w:before="120" w:after="0" w:line="240" w:lineRule="auto"/>
              <w:rPr>
                <w:rFonts w:ascii="Calibri" w:eastAsia="Times New Roman" w:hAnsi="Calibri" w:cs="Calibri"/>
                <w:color w:val="000000"/>
                <w:sz w:val="20"/>
                <w:szCs w:val="20"/>
              </w:rPr>
            </w:pPr>
            <w:r w:rsidRPr="002510CB">
              <w:rPr>
                <w:rFonts w:ascii="Calibri" w:eastAsia="Times New Roman" w:hAnsi="Calibri" w:cs="Calibri"/>
                <w:color w:val="000000"/>
                <w:sz w:val="20"/>
                <w:szCs w:val="20"/>
              </w:rPr>
              <w:t>Valenza</w:t>
            </w:r>
          </w:p>
        </w:tc>
        <w:tc>
          <w:tcPr>
            <w:tcW w:w="1219" w:type="dxa"/>
            <w:tcBorders>
              <w:top w:val="nil"/>
              <w:left w:val="nil"/>
              <w:bottom w:val="single" w:sz="8" w:space="0" w:color="auto"/>
              <w:right w:val="single" w:sz="8" w:space="0" w:color="auto"/>
            </w:tcBorders>
            <w:vAlign w:val="center"/>
            <w:hideMark/>
          </w:tcPr>
          <w:p w14:paraId="182DF1CE" w14:textId="77777777" w:rsidR="00C2569D" w:rsidRPr="002510CB" w:rsidRDefault="00C2569D" w:rsidP="002A21C0">
            <w:pPr>
              <w:spacing w:before="120" w:after="0" w:line="240" w:lineRule="auto"/>
              <w:rPr>
                <w:rFonts w:ascii="Calibri" w:eastAsia="Times New Roman" w:hAnsi="Calibri" w:cs="Calibri"/>
                <w:color w:val="000000"/>
                <w:sz w:val="20"/>
                <w:szCs w:val="20"/>
              </w:rPr>
            </w:pPr>
            <w:r w:rsidRPr="002510CB">
              <w:rPr>
                <w:rFonts w:ascii="Calibri" w:eastAsia="Times New Roman" w:hAnsi="Calibri" w:cs="Calibri"/>
                <w:color w:val="000000"/>
                <w:sz w:val="20"/>
                <w:szCs w:val="20"/>
              </w:rPr>
              <w:t xml:space="preserve">n.d. </w:t>
            </w:r>
          </w:p>
        </w:tc>
        <w:tc>
          <w:tcPr>
            <w:tcW w:w="3385" w:type="dxa"/>
            <w:tcBorders>
              <w:top w:val="nil"/>
              <w:left w:val="nil"/>
              <w:bottom w:val="single" w:sz="8" w:space="0" w:color="auto"/>
              <w:right w:val="single" w:sz="8" w:space="0" w:color="auto"/>
            </w:tcBorders>
            <w:vAlign w:val="center"/>
            <w:hideMark/>
          </w:tcPr>
          <w:p w14:paraId="35A22F33" w14:textId="77777777" w:rsidR="00C2569D" w:rsidRPr="002510CB" w:rsidRDefault="00C2569D" w:rsidP="002A21C0">
            <w:pPr>
              <w:spacing w:before="120" w:after="0" w:line="240" w:lineRule="auto"/>
              <w:jc w:val="left"/>
              <w:rPr>
                <w:rFonts w:ascii="Calibri" w:eastAsia="Times New Roman" w:hAnsi="Calibri" w:cs="Calibri"/>
                <w:color w:val="000000"/>
                <w:sz w:val="20"/>
                <w:szCs w:val="20"/>
              </w:rPr>
            </w:pPr>
            <w:r w:rsidRPr="002510CB">
              <w:rPr>
                <w:rFonts w:ascii="Calibri" w:eastAsia="Times New Roman" w:hAnsi="Calibri" w:cs="Calibri"/>
                <w:color w:val="000000"/>
                <w:sz w:val="20"/>
                <w:szCs w:val="20"/>
              </w:rPr>
              <w:t>Biglietto corsa semplice, abbonamenti: 20 corse, settimanale, mensile, trimestrale</w:t>
            </w:r>
          </w:p>
        </w:tc>
        <w:tc>
          <w:tcPr>
            <w:tcW w:w="874" w:type="dxa"/>
            <w:tcBorders>
              <w:top w:val="nil"/>
              <w:left w:val="nil"/>
              <w:bottom w:val="single" w:sz="8" w:space="0" w:color="auto"/>
              <w:right w:val="single" w:sz="8" w:space="0" w:color="auto"/>
            </w:tcBorders>
            <w:vAlign w:val="center"/>
            <w:hideMark/>
          </w:tcPr>
          <w:p w14:paraId="29F97652"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1,80 €</w:t>
            </w:r>
          </w:p>
        </w:tc>
        <w:tc>
          <w:tcPr>
            <w:tcW w:w="802" w:type="dxa"/>
            <w:tcBorders>
              <w:top w:val="nil"/>
              <w:left w:val="nil"/>
              <w:bottom w:val="single" w:sz="8" w:space="0" w:color="auto"/>
              <w:right w:val="single" w:sz="8" w:space="0" w:color="auto"/>
            </w:tcBorders>
            <w:vAlign w:val="center"/>
            <w:hideMark/>
          </w:tcPr>
          <w:p w14:paraId="623CE381"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37 €</w:t>
            </w:r>
          </w:p>
        </w:tc>
        <w:tc>
          <w:tcPr>
            <w:tcW w:w="860" w:type="dxa"/>
            <w:tcBorders>
              <w:top w:val="nil"/>
              <w:left w:val="nil"/>
              <w:bottom w:val="single" w:sz="8" w:space="0" w:color="auto"/>
              <w:right w:val="single" w:sz="8" w:space="0" w:color="auto"/>
            </w:tcBorders>
            <w:vAlign w:val="center"/>
            <w:hideMark/>
          </w:tcPr>
          <w:p w14:paraId="54F0C326"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n.d.</w:t>
            </w:r>
          </w:p>
        </w:tc>
        <w:tc>
          <w:tcPr>
            <w:tcW w:w="860" w:type="dxa"/>
            <w:tcBorders>
              <w:top w:val="nil"/>
              <w:left w:val="nil"/>
              <w:bottom w:val="single" w:sz="8" w:space="0" w:color="auto"/>
              <w:right w:val="single" w:sz="8" w:space="0" w:color="auto"/>
            </w:tcBorders>
            <w:vAlign w:val="center"/>
            <w:hideMark/>
          </w:tcPr>
          <w:p w14:paraId="337B693D" w14:textId="77777777" w:rsidR="00C2569D" w:rsidRPr="002510CB" w:rsidRDefault="00C2569D" w:rsidP="002A21C0">
            <w:pPr>
              <w:spacing w:before="120" w:after="0" w:line="240" w:lineRule="auto"/>
              <w:jc w:val="center"/>
              <w:rPr>
                <w:rFonts w:ascii="Calibri" w:eastAsia="Times New Roman" w:hAnsi="Calibri" w:cs="Calibri"/>
                <w:color w:val="000000"/>
                <w:sz w:val="20"/>
                <w:szCs w:val="20"/>
              </w:rPr>
            </w:pPr>
            <w:r w:rsidRPr="002510CB">
              <w:rPr>
                <w:rFonts w:ascii="Calibri" w:eastAsia="Times New Roman" w:hAnsi="Calibri" w:cs="Calibri"/>
                <w:color w:val="000000"/>
                <w:sz w:val="20"/>
                <w:szCs w:val="20"/>
              </w:rPr>
              <w:t>n.d.</w:t>
            </w:r>
          </w:p>
        </w:tc>
      </w:tr>
    </w:tbl>
    <w:p w14:paraId="13D837CE" w14:textId="06265C67" w:rsidR="00C2569D" w:rsidRPr="00677A61" w:rsidRDefault="00C2569D" w:rsidP="00C2569D">
      <w:pPr>
        <w:pStyle w:val="Didascalia"/>
        <w:jc w:val="center"/>
        <w:rPr>
          <w:iCs w:val="0"/>
        </w:rPr>
      </w:pPr>
      <w:r w:rsidRPr="008F32D0">
        <w:t xml:space="preserve">Tabella </w:t>
      </w:r>
      <w:r>
        <w:fldChar w:fldCharType="begin"/>
      </w:r>
      <w:r>
        <w:instrText xml:space="preserve"> SEQ Tabella \* ARABIC </w:instrText>
      </w:r>
      <w:r>
        <w:fldChar w:fldCharType="separate"/>
      </w:r>
      <w:r w:rsidR="00670903">
        <w:rPr>
          <w:noProof/>
        </w:rPr>
        <w:t>42</w:t>
      </w:r>
      <w:r>
        <w:rPr>
          <w:noProof/>
        </w:rPr>
        <w:fldChar w:fldCharType="end"/>
      </w:r>
      <w:r w:rsidRPr="008F32D0">
        <w:rPr>
          <w:i w:val="0"/>
        </w:rPr>
        <w:t xml:space="preserve"> </w:t>
      </w:r>
      <w:r w:rsidRPr="00677A61">
        <w:rPr>
          <w:iCs w:val="0"/>
        </w:rPr>
        <w:t xml:space="preserve">– </w:t>
      </w:r>
      <w:r>
        <w:rPr>
          <w:iCs w:val="0"/>
        </w:rPr>
        <w:t>Stato delle tariffe dei servizi urbani</w:t>
      </w:r>
    </w:p>
    <w:p w14:paraId="68E1A2AA" w14:textId="77777777" w:rsidR="00C2569D" w:rsidRPr="000B5A59" w:rsidRDefault="00C2569D" w:rsidP="00C2569D">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 xml:space="preserve">L'attuale differenza tariffaria dei servizi urbani tra i comuni del </w:t>
      </w:r>
      <w:r>
        <w:rPr>
          <w:rFonts w:eastAsia="Calibri" w:cs="Times New Roman"/>
          <w:color w:val="000000" w:themeColor="text1"/>
          <w:spacing w:val="1"/>
        </w:rPr>
        <w:t>Bacino Sud Est</w:t>
      </w:r>
      <w:r w:rsidRPr="000B5A59">
        <w:rPr>
          <w:rFonts w:eastAsia="Calibri" w:cs="Times New Roman"/>
          <w:color w:val="000000" w:themeColor="text1"/>
          <w:spacing w:val="1"/>
        </w:rPr>
        <w:t xml:space="preserve"> è dovuta al fatto che questi servizi </w:t>
      </w:r>
      <w:r>
        <w:rPr>
          <w:rFonts w:eastAsia="Calibri" w:cs="Times New Roman"/>
          <w:color w:val="000000" w:themeColor="text1"/>
          <w:spacing w:val="1"/>
        </w:rPr>
        <w:t>sono</w:t>
      </w:r>
      <w:r w:rsidRPr="000B5A59">
        <w:rPr>
          <w:rFonts w:eastAsia="Calibri" w:cs="Times New Roman"/>
          <w:color w:val="000000" w:themeColor="text1"/>
          <w:spacing w:val="1"/>
        </w:rPr>
        <w:t xml:space="preserve"> gestiti in</w:t>
      </w:r>
      <w:r>
        <w:rPr>
          <w:rFonts w:eastAsia="Calibri" w:cs="Times New Roman"/>
          <w:color w:val="000000" w:themeColor="text1"/>
          <w:spacing w:val="1"/>
        </w:rPr>
        <w:t xml:space="preserve"> differenti</w:t>
      </w:r>
      <w:r w:rsidRPr="000B5A59">
        <w:rPr>
          <w:rFonts w:eastAsia="Calibri" w:cs="Times New Roman"/>
          <w:color w:val="000000" w:themeColor="text1"/>
          <w:spacing w:val="1"/>
        </w:rPr>
        <w:t xml:space="preserve"> contratt</w:t>
      </w:r>
      <w:r>
        <w:rPr>
          <w:rFonts w:eastAsia="Calibri" w:cs="Times New Roman"/>
          <w:color w:val="000000" w:themeColor="text1"/>
          <w:spacing w:val="1"/>
        </w:rPr>
        <w:t>i</w:t>
      </w:r>
      <w:r w:rsidRPr="000B5A59">
        <w:rPr>
          <w:rFonts w:eastAsia="Calibri" w:cs="Times New Roman"/>
          <w:color w:val="000000" w:themeColor="text1"/>
          <w:spacing w:val="1"/>
        </w:rPr>
        <w:t>.</w:t>
      </w:r>
    </w:p>
    <w:p w14:paraId="332A42E1" w14:textId="77777777" w:rsidR="00C2569D" w:rsidRPr="000B5A59" w:rsidRDefault="00C2569D" w:rsidP="00C2569D">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Le procedure di affidamento in corso prevedono che, nei futuri contratti, le tariffe siano uniformi. Questo approccio mira a evitare la differenziazione delle tariffe urbane tra i vari ambiti territoriali, che potrebbe avere impatti finanziari significativi sul Piano Economico Finanziario (PEF). La differenziazione delle tariffe urbane può infatti influenzare la sostenibilità economica del servizio di trasporto pubblico locale, rendendo necessaria una valutazione ex-ante, difficile da stimare correttamente, degli impatti finanziari. È infatti opportuno richiamare il Regolamento (CE) n. 1370/2007, che stabilisce che gli obblighi di servizio pubblico devono essere definiti con chiarezza e che i parametri per il calcolo delle compensazioni devono essere determinati in anticipo.</w:t>
      </w:r>
    </w:p>
    <w:p w14:paraId="77547386" w14:textId="77777777" w:rsidR="00C2569D" w:rsidRPr="000B5A59" w:rsidRDefault="00C2569D" w:rsidP="00C2569D">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Inoltre, incassi da ricavi da traffico differenziati per ambito urbano comportano una variazione nella compensazione degli Obblighi di Servizio Pubblico (OSP), alterando l'equilibrio tra costi e ricavi.</w:t>
      </w:r>
    </w:p>
    <w:p w14:paraId="7DE0C7F3" w14:textId="77777777" w:rsidR="00C2569D" w:rsidRPr="000B5A59" w:rsidRDefault="00C2569D" w:rsidP="00C2569D">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La differenziazione delle tariffe urbane potrebbe anche generare contenziosi nella gestione delle procedure e dei contratti di servizio, poiché le aziende potrebbero richiedere maggiori compensazioni per coprire i costi aggiuntivi derivanti dalle tariffe differenziate. Questo rischio di contenzioso rende ancora più importante l'adozione di tariffe uniformi, per garantire una gestione più semplice e trasparente dei contratti di servizio pubblico.</w:t>
      </w:r>
    </w:p>
    <w:p w14:paraId="3363A140" w14:textId="77777777" w:rsidR="00C2569D" w:rsidRDefault="00C2569D" w:rsidP="00C2569D">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Infine</w:t>
      </w:r>
      <w:r>
        <w:rPr>
          <w:rFonts w:eastAsia="Calibri" w:cs="Times New Roman"/>
          <w:color w:val="000000" w:themeColor="text1"/>
          <w:spacing w:val="1"/>
        </w:rPr>
        <w:t>,</w:t>
      </w:r>
      <w:r w:rsidRPr="000B5A59">
        <w:rPr>
          <w:rFonts w:eastAsia="Calibri" w:cs="Times New Roman"/>
          <w:color w:val="000000" w:themeColor="text1"/>
          <w:spacing w:val="1"/>
        </w:rPr>
        <w:t xml:space="preserve"> si sottolinea come l'uniformità delle tariffe è fondamentale per garantire equità e accessibilità ai servizi di trasporto pubblico per tutti i cittadini, indipendentemente dal loro luogo di residenza. Una tariffazione uniforme contribuisce a ridurre le disparità territoriali e a promuovere l'inclusione sociale, obiettivi prioritari per le politiche di mobilità sostenibile.</w:t>
      </w:r>
    </w:p>
    <w:p w14:paraId="102DE45A" w14:textId="77777777" w:rsidR="00C2569D" w:rsidRPr="00897692" w:rsidRDefault="00C2569D" w:rsidP="00C2569D">
      <w:pPr>
        <w:pStyle w:val="Titolo2"/>
        <w:ind w:left="567"/>
      </w:pPr>
      <w:bookmarkStart w:id="327" w:name="_Toc1554512016"/>
      <w:bookmarkStart w:id="328" w:name="_Toc197695707"/>
      <w:bookmarkStart w:id="329" w:name="_Toc204616517"/>
      <w:bookmarkStart w:id="330" w:name="_Toc205213748"/>
      <w:r w:rsidRPr="00897692">
        <w:t>Agevolazioni ed esenzioni</w:t>
      </w:r>
      <w:bookmarkEnd w:id="327"/>
      <w:bookmarkEnd w:id="328"/>
      <w:bookmarkEnd w:id="329"/>
      <w:bookmarkEnd w:id="330"/>
    </w:p>
    <w:p w14:paraId="4B9E0AD7" w14:textId="77777777" w:rsidR="00C2569D" w:rsidRDefault="00C2569D" w:rsidP="00C2569D">
      <w:pPr>
        <w:spacing w:before="120" w:after="0" w:line="240" w:lineRule="auto"/>
      </w:pPr>
      <w:r>
        <w:t>La Regione Piemonte e gli altri Enti possono individuare eventuali beneficiari di agevolazioni tariffarie definendo le relative condizioni e modalità, con oneri a carico dei propri bilanci.</w:t>
      </w:r>
    </w:p>
    <w:p w14:paraId="0912B226" w14:textId="77777777" w:rsidR="00C2569D" w:rsidRPr="00897692" w:rsidRDefault="00C2569D" w:rsidP="00C2569D">
      <w:pPr>
        <w:pStyle w:val="Titolo3"/>
        <w:ind w:left="720"/>
      </w:pPr>
      <w:bookmarkStart w:id="331" w:name="_Toc1850384008"/>
      <w:bookmarkStart w:id="332" w:name="_Toc197695708"/>
      <w:bookmarkStart w:id="333" w:name="_Toc204616518"/>
      <w:bookmarkStart w:id="334" w:name="_Toc205213749"/>
      <w:r w:rsidRPr="00897692">
        <w:t>Libero accesso</w:t>
      </w:r>
      <w:bookmarkEnd w:id="331"/>
      <w:bookmarkEnd w:id="332"/>
      <w:bookmarkEnd w:id="333"/>
      <w:bookmarkEnd w:id="334"/>
    </w:p>
    <w:p w14:paraId="2D491FB1" w14:textId="77777777" w:rsidR="00C2569D" w:rsidRPr="00DD13C5" w:rsidRDefault="00C2569D" w:rsidP="00C2569D">
      <w:pPr>
        <w:spacing w:before="120" w:after="0" w:line="240" w:lineRule="auto"/>
      </w:pPr>
      <w:r>
        <w:t xml:space="preserve">La Regione Piemonte ha individuato alcune categorie di cittadini in coerenza con quanto disposto della legge regionale n. 1/2000 ai quali deve essere riconosciuto il libero accesso ai servizi di TPL ed in particolare e garantita la libera circolazione a: </w:t>
      </w:r>
    </w:p>
    <w:p w14:paraId="69519281" w14:textId="77777777" w:rsidR="00C2569D" w:rsidRDefault="00C2569D" w:rsidP="00C2569D">
      <w:pPr>
        <w:pStyle w:val="Paragrafoelenco"/>
        <w:numPr>
          <w:ilvl w:val="0"/>
          <w:numId w:val="58"/>
        </w:numPr>
        <w:spacing w:before="120" w:after="0" w:line="240" w:lineRule="auto"/>
        <w:contextualSpacing w:val="0"/>
      </w:pPr>
      <w:r>
        <w:lastRenderedPageBreak/>
        <w:t xml:space="preserve">persone con disabilità, secondo quanto previsto dalla D.G.R. n. 62-1987 del 31 luglio 2015 e successiva D.G.R. n.37-3437 del 6 giugno 2016; i titolari di tale agevolazione, resi riconoscibili dal possesso di una tessera personalizzata secondo specifici layout, hanno libero accesso a tutti i servizi regionali sia automobilistici che ferroviari.  </w:t>
      </w:r>
    </w:p>
    <w:p w14:paraId="796E4A75" w14:textId="77777777" w:rsidR="00C2569D" w:rsidRDefault="00C2569D" w:rsidP="00C2569D">
      <w:pPr>
        <w:pStyle w:val="Paragrafoelenco"/>
        <w:numPr>
          <w:ilvl w:val="0"/>
          <w:numId w:val="58"/>
        </w:numPr>
        <w:spacing w:before="120" w:after="0" w:line="240" w:lineRule="auto"/>
        <w:contextualSpacing w:val="0"/>
      </w:pPr>
      <w:r>
        <w:t xml:space="preserve">agenti e funzionari delle Forze dell’Ordine e assimilati ai sensi delle leggi regionali n. 9 del 14 maggio 2004, n. 9 del 23 aprile 2007, secondo quanto previsto dalla D.G.R. n. 56- 6346 del 5 luglio 2007, e D.G.R. n. 8-4065 del 2 luglio 2012; </w:t>
      </w:r>
      <w:r w:rsidRPr="00603919">
        <w:t xml:space="preserve">il diritto di libera circolazione </w:t>
      </w:r>
      <w:r>
        <w:t xml:space="preserve">è garantito </w:t>
      </w:r>
      <w:r w:rsidRPr="00603919">
        <w:t>ad agenti e funzionari delle Forze dell'Ordine, in attività di servizio, appartenenti ai Corpi di Polizia di Stato, Polizia Penitenziaria, Arma dei Carabinieri, Guardia di Finanza, Corpo Forestale, Polizia locale, quest'ultima limitatamente all'ambito di competenza territoriale, nonché al personale delle Direzioni territoriali dislocate nella Regione in qualità di ufficiali di polizia giudiziaria nell'esercizio delle loro funzioni, ai sensi dell'articolo 8 del decreto del Presidente della Repubblica 19 marzo 1955, n. 520 (Riorganizzazione centrale e periferica del Ministero del lavoro e della previdenza sociale), agli agenti e funzionari dei Vigili del fuoco, nonché al personale in divisa appartenente all'esercito italiano, alla marina militare ed all'aeronautica militare, residente in Piemonte e in attività di servizio.</w:t>
      </w:r>
    </w:p>
    <w:p w14:paraId="172B646A" w14:textId="77777777" w:rsidR="00C2569D" w:rsidRDefault="00C2569D" w:rsidP="00C2569D">
      <w:pPr>
        <w:spacing w:before="120" w:after="0" w:line="240" w:lineRule="auto"/>
      </w:pPr>
      <w:r>
        <w:t>Tali agevolazioni costituiscono Obbligo di servizio tariffario e la copertura del mancato ricavo da traffico è ricompresa nelle risorse assegnate per la compensazione degli obblighi di servizio.</w:t>
      </w:r>
    </w:p>
    <w:p w14:paraId="76B7FE5C" w14:textId="77777777" w:rsidR="00C2569D" w:rsidRPr="0049313D" w:rsidRDefault="00C2569D" w:rsidP="00C2569D">
      <w:pPr>
        <w:pStyle w:val="Titolo3"/>
        <w:ind w:left="720"/>
      </w:pPr>
      <w:bookmarkStart w:id="335" w:name="_Toc204328750"/>
      <w:bookmarkStart w:id="336" w:name="_Toc205213750"/>
      <w:r w:rsidRPr="0049313D">
        <w:t>Agevolazioni a livello comunale</w:t>
      </w:r>
      <w:bookmarkEnd w:id="335"/>
      <w:bookmarkEnd w:id="336"/>
      <w:r w:rsidRPr="0049313D">
        <w:t xml:space="preserve"> </w:t>
      </w:r>
    </w:p>
    <w:p w14:paraId="0BA6170C" w14:textId="77777777" w:rsidR="00C2569D" w:rsidRDefault="00C2569D" w:rsidP="00C2569D">
      <w:pPr>
        <w:spacing w:before="120" w:after="0" w:line="240" w:lineRule="auto"/>
      </w:pPr>
      <w:r w:rsidRPr="009B7BF3">
        <w:t>All’interno del bacino a livello comunale sono applicate differenti agevolazioni tariffarie definite dai singoli comuni attraverso proprie deliberazioni</w:t>
      </w:r>
      <w:r>
        <w:t xml:space="preserve">, </w:t>
      </w:r>
      <w:r w:rsidRPr="009B7BF3">
        <w:t>la cui copertura economica per il mancato ricavo è in capo alle amministrazioni comunali. In</w:t>
      </w:r>
      <w:r>
        <w:t xml:space="preserve"> </w:t>
      </w:r>
      <w:r w:rsidRPr="009B7BF3">
        <w:t>particolare</w:t>
      </w:r>
      <w:r>
        <w:t>,</w:t>
      </w:r>
      <w:r w:rsidRPr="009B7BF3">
        <w:t xml:space="preserve"> si individuano le seguenti agevolazioni:</w:t>
      </w:r>
    </w:p>
    <w:p w14:paraId="7DCED224" w14:textId="543DEA1F"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t>Comune di Acqui Terme agevolazioni per cittadini acquesi e non over 65 e under 12 e per l’acquisto di carnet da 10 corse a prezzi agevolati. Il Comune impegnerà la somma di € 1.000,00 a favore del gestore del servizio (</w:t>
      </w:r>
      <w:hyperlink r:id="rId75" w:history="1">
        <w:r w:rsidRPr="00035E1F">
          <w:rPr>
            <w:rFonts w:ascii="Calibri (corspo)" w:eastAsia="Aptos" w:hAnsi="Calibri (corspo)" w:cs="Times New Roman"/>
            <w:color w:val="0000FF"/>
            <w:kern w:val="2"/>
            <w:u w:val="single"/>
            <w:lang w:eastAsia="en-US"/>
            <w14:ligatures w14:val="standardContextual"/>
          </w:rPr>
          <w:t>Determina n. 262 del 23/04/2024</w:t>
        </w:r>
      </w:hyperlink>
      <w:r w:rsidRPr="00035E1F">
        <w:rPr>
          <w:rFonts w:ascii="Calibri (corspo)" w:eastAsia="Aptos" w:hAnsi="Calibri (corspo)" w:cs="Times New Roman"/>
          <w:kern w:val="2"/>
          <w:lang w:eastAsia="en-US"/>
          <w14:ligatures w14:val="standardContextual"/>
        </w:rPr>
        <w:t>)</w:t>
      </w:r>
    </w:p>
    <w:p w14:paraId="0260A46C" w14:textId="7BD23B06"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t>Comune di Alessandria agevolazioni tariffarie sull’abbonamento mensile e annuale in base all’Isee, per ragazzi fino ai 14 anni, per studenti fino ai 25 anni, per over 65, per gli invalidi e per ulteriori componenti del medesimo nucleo famigliare già in possesso di un abbonamento ordinario. Il comune riconosce un contributo a favore dell’operatore di TPL pari a €120.000,00 per l’anno 2024 (</w:t>
      </w:r>
      <w:hyperlink r:id="rId76" w:history="1">
        <w:r w:rsidRPr="00035E1F">
          <w:rPr>
            <w:rFonts w:ascii="Calibri (corspo)" w:eastAsia="Aptos" w:hAnsi="Calibri (corspo)" w:cs="Times New Roman"/>
            <w:color w:val="0000FF"/>
            <w:kern w:val="2"/>
            <w:u w:val="single"/>
            <w:lang w:eastAsia="en-US"/>
            <w14:ligatures w14:val="standardContextual"/>
          </w:rPr>
          <w:t>Determina n. 539 dell’11/04/2024</w:t>
        </w:r>
      </w:hyperlink>
      <w:r w:rsidRPr="00035E1F">
        <w:rPr>
          <w:rFonts w:ascii="Calibri (corspo)" w:eastAsia="Aptos" w:hAnsi="Calibri (corspo)" w:cs="Times New Roman"/>
          <w:kern w:val="2"/>
          <w:lang w:eastAsia="en-US"/>
          <w14:ligatures w14:val="standardContextual"/>
        </w:rPr>
        <w:t>)</w:t>
      </w:r>
    </w:p>
    <w:p w14:paraId="509061BB" w14:textId="72C5D884"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t>Comune di Asti agevolazioni tariffarie per giovani in base all’Isee e per over 65 (</w:t>
      </w:r>
      <w:hyperlink r:id="rId77" w:history="1">
        <w:r w:rsidRPr="00035E1F">
          <w:rPr>
            <w:rFonts w:ascii="Calibri (corspo)" w:eastAsia="Aptos" w:hAnsi="Calibri (corspo)" w:cs="Times New Roman"/>
            <w:color w:val="0000FF"/>
            <w:kern w:val="2"/>
            <w:u w:val="single"/>
            <w:lang w:eastAsia="en-US"/>
            <w14:ligatures w14:val="standardContextual"/>
          </w:rPr>
          <w:t>D.G.C. n. 11 del 16/01/2018</w:t>
        </w:r>
      </w:hyperlink>
      <w:r w:rsidRPr="00035E1F">
        <w:rPr>
          <w:rFonts w:ascii="Calibri (corspo)" w:eastAsia="Aptos" w:hAnsi="Calibri (corspo)" w:cs="Times New Roman"/>
          <w:kern w:val="2"/>
          <w:lang w:eastAsia="en-US"/>
          <w14:ligatures w14:val="standardContextual"/>
        </w:rPr>
        <w:t>)</w:t>
      </w:r>
    </w:p>
    <w:p w14:paraId="4E021A01" w14:textId="2982AFF7"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t xml:space="preserve">Comune di Casale Monferrato le tariffe deliberate con la </w:t>
      </w:r>
      <w:hyperlink r:id="rId78" w:history="1">
        <w:r w:rsidRPr="00035E1F">
          <w:rPr>
            <w:rFonts w:ascii="Calibri (corspo)" w:eastAsia="Aptos" w:hAnsi="Calibri (corspo)" w:cs="Times New Roman"/>
            <w:color w:val="0000FF"/>
            <w:kern w:val="2"/>
            <w:u w:val="single"/>
            <w:lang w:eastAsia="en-US"/>
            <w14:ligatures w14:val="standardContextual"/>
          </w:rPr>
          <w:t>D.G.C. n. 577 del 19/12/2024</w:t>
        </w:r>
      </w:hyperlink>
      <w:r w:rsidRPr="00035E1F">
        <w:rPr>
          <w:rFonts w:ascii="Calibri (corspo)" w:eastAsia="Aptos" w:hAnsi="Calibri (corspo)" w:cs="Times New Roman"/>
          <w:kern w:val="2"/>
          <w:lang w:eastAsia="en-US"/>
          <w14:ligatures w14:val="standardContextual"/>
        </w:rPr>
        <w:t xml:space="preserve"> prevedono agevolazioni tariffarie legate all’emissione dei titoli di viaggio “tessera 10 corse over 65” per il quale il Comune riconosce 5,20 € a titolo venduto, “tessera 10 corse over 60 con esenzione sanitaria” per il quale il Comune riconosce 13,00 € a titolo venduto, “</w:t>
      </w:r>
      <w:r w:rsidRPr="00035E1F">
        <w:rPr>
          <w:rFonts w:ascii="Calibri (corspo)" w:eastAsia="Aptos" w:hAnsi="Calibri (corspo)" w:cs="LiberationSans"/>
          <w:kern w:val="2"/>
          <w:lang w:eastAsia="en-US"/>
          <w14:ligatures w14:val="standardContextual"/>
        </w:rPr>
        <w:t xml:space="preserve">Abbonamento mensile ridotto per studenti” </w:t>
      </w:r>
      <w:r w:rsidRPr="00035E1F">
        <w:rPr>
          <w:rFonts w:ascii="Calibri (corspo)" w:eastAsia="Aptos" w:hAnsi="Calibri (corspo)" w:cs="Times New Roman"/>
          <w:kern w:val="2"/>
          <w:lang w:eastAsia="en-US"/>
          <w14:ligatures w14:val="standardContextual"/>
        </w:rPr>
        <w:t>per il quale il Comune riconosce all’Operatore € 19,00 per ogni  titolo venduto.</w:t>
      </w:r>
    </w:p>
    <w:p w14:paraId="41AC6564" w14:textId="070780C6"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t>Comune di Novi Ligure agevolazioni tariffarie sull’abbonamento mensile trimestrale e annuale per studenti senza oneri aggiuntivi per il Comune (</w:t>
      </w:r>
      <w:hyperlink r:id="rId79" w:history="1">
        <w:r w:rsidRPr="00035E1F">
          <w:rPr>
            <w:rFonts w:ascii="Calibri (corspo)" w:eastAsia="Aptos" w:hAnsi="Calibri (corspo)" w:cs="Times New Roman"/>
            <w:color w:val="0000FF"/>
            <w:kern w:val="2"/>
            <w:u w:val="single"/>
            <w:lang w:eastAsia="en-US"/>
            <w14:ligatures w14:val="standardContextual"/>
          </w:rPr>
          <w:t>D.G.C. n. 186 del 07/08/2024</w:t>
        </w:r>
      </w:hyperlink>
      <w:r w:rsidRPr="00035E1F">
        <w:rPr>
          <w:rFonts w:ascii="Calibri (corspo)" w:eastAsia="Aptos" w:hAnsi="Calibri (corspo)" w:cs="Times New Roman"/>
          <w:kern w:val="2"/>
          <w:lang w:eastAsia="en-US"/>
          <w14:ligatures w14:val="standardContextual"/>
        </w:rPr>
        <w:t>) e offre agevolazioni per il servizio a chiamata se in possesso di un abbonamento valido o se in possesso della tessera disabili rilasciata dalla Regione Piemonte.</w:t>
      </w:r>
    </w:p>
    <w:p w14:paraId="0DBA7CAE" w14:textId="77777777" w:rsidR="00C2569D" w:rsidRPr="00035E1F" w:rsidRDefault="00C2569D" w:rsidP="00C2569D">
      <w:pPr>
        <w:numPr>
          <w:ilvl w:val="0"/>
          <w:numId w:val="63"/>
        </w:numPr>
        <w:spacing w:before="120" w:after="0" w:line="240" w:lineRule="auto"/>
        <w:rPr>
          <w:rFonts w:ascii="Calibri (corspo)" w:eastAsia="Aptos" w:hAnsi="Calibri (corspo)" w:cs="Times New Roman"/>
          <w:kern w:val="2"/>
          <w:lang w:eastAsia="en-US"/>
          <w14:ligatures w14:val="standardContextual"/>
        </w:rPr>
      </w:pPr>
      <w:r w:rsidRPr="00035E1F">
        <w:rPr>
          <w:rFonts w:ascii="Calibri (corspo)" w:eastAsia="Aptos" w:hAnsi="Calibri (corspo)" w:cs="Times New Roman"/>
          <w:kern w:val="2"/>
          <w:lang w:eastAsia="en-US"/>
          <w14:ligatures w14:val="standardContextual"/>
        </w:rPr>
        <w:lastRenderedPageBreak/>
        <w:t>Comune di Valenza non attua agevolazioni tariffarie e riconosce all’operatore di TPL € 60.000 per il 2024.</w:t>
      </w:r>
    </w:p>
    <w:p w14:paraId="464DE066" w14:textId="77777777" w:rsidR="00C2569D" w:rsidRDefault="00C2569D" w:rsidP="00C2569D">
      <w:pPr>
        <w:pStyle w:val="Titolo3"/>
        <w:ind w:left="720"/>
      </w:pPr>
      <w:bookmarkStart w:id="337" w:name="_Toc204328751"/>
      <w:bookmarkStart w:id="338" w:name="_Toc205213751"/>
      <w:r>
        <w:t>Diritto di esazione a bordo</w:t>
      </w:r>
      <w:bookmarkEnd w:id="337"/>
      <w:bookmarkEnd w:id="338"/>
    </w:p>
    <w:p w14:paraId="34A683F2" w14:textId="77777777" w:rsidR="00C2569D" w:rsidRPr="00CD31A8" w:rsidRDefault="00C2569D" w:rsidP="00C2569D">
      <w:pPr>
        <w:spacing w:before="120" w:after="0" w:line="240" w:lineRule="auto"/>
      </w:pPr>
      <w:r>
        <w:t xml:space="preserve">È definito inoltre un diritto fisso per l’acquisto del biglietto a bordo, per il quale si applica quanto disposto con la </w:t>
      </w:r>
      <w:r w:rsidRPr="00CD31A8">
        <w:t>Deliberazione della Giunta Regionale 4 novembre 2013, n. 13-6608</w:t>
      </w:r>
      <w:r>
        <w:t>. In particolare sono previsti:</w:t>
      </w:r>
    </w:p>
    <w:p w14:paraId="73209B0D" w14:textId="77777777" w:rsidR="00C2569D" w:rsidRPr="00F0399F" w:rsidRDefault="00C2569D" w:rsidP="00C2569D">
      <w:pPr>
        <w:pStyle w:val="Paragrafoelenco"/>
        <w:numPr>
          <w:ilvl w:val="0"/>
          <w:numId w:val="59"/>
        </w:numPr>
        <w:spacing w:before="120" w:after="0" w:line="240" w:lineRule="auto"/>
      </w:pPr>
      <w:r w:rsidRPr="00F0399F">
        <w:t>euro 1,00 per percorrenze chilometriche fino a 30 chilometri;</w:t>
      </w:r>
    </w:p>
    <w:p w14:paraId="44E92E25" w14:textId="77777777" w:rsidR="00C2569D" w:rsidRPr="00F0399F" w:rsidRDefault="00C2569D" w:rsidP="00C2569D">
      <w:pPr>
        <w:pStyle w:val="Paragrafoelenco"/>
        <w:numPr>
          <w:ilvl w:val="0"/>
          <w:numId w:val="59"/>
        </w:numPr>
        <w:spacing w:before="120" w:after="0" w:line="240" w:lineRule="auto"/>
      </w:pPr>
      <w:r w:rsidRPr="00F0399F">
        <w:t>euro 1,50 per percorrenze chilometriche fino a 60 chilometri;</w:t>
      </w:r>
    </w:p>
    <w:p w14:paraId="409C14FD" w14:textId="77777777" w:rsidR="00C2569D" w:rsidRPr="00F0399F" w:rsidRDefault="00C2569D" w:rsidP="00C2569D">
      <w:pPr>
        <w:pStyle w:val="Paragrafoelenco"/>
        <w:numPr>
          <w:ilvl w:val="0"/>
          <w:numId w:val="59"/>
        </w:numPr>
        <w:spacing w:before="120" w:after="0" w:line="240" w:lineRule="auto"/>
      </w:pPr>
      <w:r w:rsidRPr="00F0399F">
        <w:t>euro 2,00 per percorrenze chilometriche fino a 90 chilometri;</w:t>
      </w:r>
    </w:p>
    <w:p w14:paraId="3EDDF5B1" w14:textId="77777777" w:rsidR="00C2569D" w:rsidRPr="00F0399F" w:rsidRDefault="00C2569D" w:rsidP="00C2569D">
      <w:pPr>
        <w:pStyle w:val="Paragrafoelenco"/>
        <w:numPr>
          <w:ilvl w:val="0"/>
          <w:numId w:val="59"/>
        </w:numPr>
        <w:spacing w:before="120" w:after="0" w:line="240" w:lineRule="auto"/>
      </w:pPr>
      <w:r w:rsidRPr="00F0399F">
        <w:t>euro 2,50 per percorrenze chilometriche fino a 150 chilometri.</w:t>
      </w:r>
    </w:p>
    <w:p w14:paraId="64276196" w14:textId="77777777" w:rsidR="00C2569D" w:rsidRDefault="00C2569D" w:rsidP="00C2569D">
      <w:pPr>
        <w:spacing w:before="120" w:after="0" w:line="240" w:lineRule="auto"/>
      </w:pPr>
      <w:r w:rsidRPr="00F0399F">
        <w:t>Gli utenti in partenza da località o fermate sprovviste di punti vendita o in giornate/orari di chiusura degli stessi potranno acquistare il biglietto a bordo mezzo senza che venga loro richiesto di pagare il diritto fisso.</w:t>
      </w:r>
    </w:p>
    <w:p w14:paraId="55D7B2F9" w14:textId="77777777" w:rsidR="00C2569D" w:rsidRDefault="00C2569D" w:rsidP="00C2569D">
      <w:pPr>
        <w:pStyle w:val="Titolo2"/>
        <w:ind w:left="567"/>
      </w:pPr>
      <w:bookmarkStart w:id="339" w:name="_Toc204328752"/>
      <w:bookmarkStart w:id="340" w:name="_Toc205213752"/>
      <w:r>
        <w:t>Tariffe Integrate</w:t>
      </w:r>
      <w:bookmarkEnd w:id="339"/>
      <w:bookmarkEnd w:id="340"/>
    </w:p>
    <w:p w14:paraId="4EF9E17C" w14:textId="77777777" w:rsidR="00C2569D" w:rsidRPr="0049313D" w:rsidRDefault="00C2569D" w:rsidP="00C2569D">
      <w:pPr>
        <w:pStyle w:val="Titolo3"/>
        <w:ind w:left="720"/>
      </w:pPr>
      <w:bookmarkStart w:id="341" w:name="_Toc204328753"/>
      <w:bookmarkStart w:id="342" w:name="_Toc205213753"/>
      <w:r>
        <w:t>Formula</w:t>
      </w:r>
      <w:bookmarkEnd w:id="341"/>
      <w:bookmarkEnd w:id="342"/>
    </w:p>
    <w:p w14:paraId="634C2285" w14:textId="77777777" w:rsidR="00C2569D" w:rsidRDefault="00C2569D" w:rsidP="00C2569D">
      <w:pPr>
        <w:spacing w:before="120" w:after="0" w:line="240" w:lineRule="auto"/>
      </w:pPr>
      <w:r>
        <w:t>Il sistema tariffario Piemontese prevede, fra l’altro, anche la tariffa integrata denominata “Formula”.</w:t>
      </w:r>
    </w:p>
    <w:p w14:paraId="7AD5254D" w14:textId="77777777" w:rsidR="00C2569D" w:rsidRDefault="00C2569D" w:rsidP="00C2569D">
      <w:pPr>
        <w:spacing w:before="120" w:after="0" w:line="240" w:lineRule="auto"/>
      </w:pPr>
      <w:r>
        <w:t xml:space="preserve">“Formula” è un sistema tariffario a zone applicato agli abbonamenti. La tariffa pagata dall’utente è funzione del numero di zone attraversate. Le zone sono organizzate su cinque cerchi concentrici a partire da Torino. In particolare si hanno: </w:t>
      </w:r>
    </w:p>
    <w:p w14:paraId="5E04E4C5" w14:textId="77777777" w:rsidR="00C2569D" w:rsidRDefault="00C2569D" w:rsidP="00C2569D">
      <w:pPr>
        <w:pStyle w:val="Paragrafoelenco"/>
        <w:numPr>
          <w:ilvl w:val="0"/>
          <w:numId w:val="55"/>
        </w:numPr>
        <w:spacing w:before="120" w:after="0" w:line="240" w:lineRule="auto"/>
        <w:contextualSpacing w:val="0"/>
      </w:pPr>
      <w:r>
        <w:t xml:space="preserve">Una zona centrale, contraddistinta con la lettera U, coincidente con i confini del Comune di Torino; </w:t>
      </w:r>
    </w:p>
    <w:p w14:paraId="7CC945AF" w14:textId="77777777" w:rsidR="00C2569D" w:rsidRDefault="00C2569D" w:rsidP="00C2569D">
      <w:pPr>
        <w:pStyle w:val="Paragrafoelenco"/>
        <w:numPr>
          <w:ilvl w:val="0"/>
          <w:numId w:val="55"/>
        </w:numPr>
        <w:spacing w:before="120" w:after="0" w:line="240" w:lineRule="auto"/>
        <w:contextualSpacing w:val="0"/>
      </w:pPr>
      <w:r>
        <w:t xml:space="preserve">Una zona suburbana, contraddistinta con la lettera A; </w:t>
      </w:r>
    </w:p>
    <w:p w14:paraId="50834EE6" w14:textId="77777777" w:rsidR="00C2569D" w:rsidRDefault="00C2569D" w:rsidP="00C2569D">
      <w:pPr>
        <w:pStyle w:val="Paragrafoelenco"/>
        <w:numPr>
          <w:ilvl w:val="0"/>
          <w:numId w:val="55"/>
        </w:numPr>
        <w:spacing w:before="120" w:after="0" w:line="240" w:lineRule="auto"/>
        <w:contextualSpacing w:val="0"/>
      </w:pPr>
      <w:r>
        <w:t xml:space="preserve">16 zone situate in 3 corone concentriche e contraddistinte con le lettere alfabetiche B, C, D, E, F, G, H, L, M, N, O, P, Q, R, S, T. </w:t>
      </w:r>
    </w:p>
    <w:p w14:paraId="58769F00" w14:textId="77777777" w:rsidR="00C2569D" w:rsidRDefault="00C2569D" w:rsidP="00C2569D">
      <w:pPr>
        <w:spacing w:before="120" w:after="0" w:line="240" w:lineRule="auto"/>
      </w:pPr>
      <w:r>
        <w:t>Le prime due corone concentriche (Torino ‐ zona U e Cintura ‐ zona A) sono prive di setti divisori, le altre tre sono invece suddivise in zone anche da setti radiali. Esiste inoltre un’ulteriore zona tariffaria denominata PIN (Area Vasta di Pinerolo), comprendente il comune sopraddetto più i seguenti comuni limitrofi: Buriasco, Cantalupa, Frossasco, Macello, Osasco, Prarostino, Roletto, San Pietro Val Lemina e San Secondo.</w:t>
      </w:r>
    </w:p>
    <w:p w14:paraId="59BEADD9" w14:textId="77777777" w:rsidR="00C2569D" w:rsidRDefault="00C2569D" w:rsidP="00C2569D">
      <w:pPr>
        <w:spacing w:before="120" w:after="0" w:line="240" w:lineRule="auto"/>
      </w:pPr>
      <w:r>
        <w:t xml:space="preserve">Il sistema tariffario integrato è esteso anche alle linee ferroviarie ed automobilistiche che si diramano dall’area metropolitana torinese per relazioni aventi come origine una località posta al di fuori dell’area stessa e come destinazione una località dell’area metropolitana compresa entro le seguenti città/stazioni “porta”: Pinerolo, Racconigi, Sommariva del Bosco, Pralormo, Villafranca d’Asti, Cavagnolo, Crescentino, Torrazza Piemonte, Boschetto, Rodallo, Foglizzo, Feletto, Barbania, Balangero e S. Ambrogio, o viceversa. </w:t>
      </w:r>
    </w:p>
    <w:p w14:paraId="0320386D" w14:textId="77777777" w:rsidR="00C2569D" w:rsidRDefault="00C2569D" w:rsidP="00C2569D">
      <w:pPr>
        <w:spacing w:before="120" w:after="0" w:line="240" w:lineRule="auto"/>
      </w:pPr>
      <w:r>
        <w:t xml:space="preserve">Le espansioni tariffarie di formula interessano anche parzialmente il territorio del Bacino Sud Est come rappresentato nell’immagine seguente; in particolare è presente l’espansione ferroviaria che interessa le località servite sulla direttrice Alessandria – Asti – Torino </w:t>
      </w:r>
    </w:p>
    <w:p w14:paraId="062151DE" w14:textId="77777777" w:rsidR="00C2569D" w:rsidRDefault="00C2569D" w:rsidP="00C2569D">
      <w:pPr>
        <w:pStyle w:val="Didascalia"/>
        <w:spacing w:before="120" w:after="0"/>
        <w:jc w:val="center"/>
        <w:rPr>
          <w:sz w:val="22"/>
          <w:szCs w:val="22"/>
        </w:rPr>
      </w:pPr>
      <w:r w:rsidRPr="00D90790">
        <w:rPr>
          <w:sz w:val="22"/>
          <w:szCs w:val="22"/>
        </w:rPr>
        <w:lastRenderedPageBreak/>
        <w:t xml:space="preserve"> </w:t>
      </w:r>
      <w:r>
        <w:rPr>
          <w:noProof/>
          <w:sz w:val="22"/>
          <w:szCs w:val="22"/>
        </w:rPr>
        <w:drawing>
          <wp:inline distT="0" distB="0" distL="0" distR="0" wp14:anchorId="7832A3BE" wp14:editId="49C096C0">
            <wp:extent cx="5608496" cy="3146934"/>
            <wp:effectExtent l="0" t="0" r="0" b="0"/>
            <wp:docPr id="2003663393" name="Immagine 1" descr="Immagine che contiene testo, mapp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3393" name="Immagine 1" descr="Immagine che contiene testo, mappa, diagramma, schermata&#10;&#10;Descrizione generata automaticamente"/>
                    <pic:cNvPicPr>
                      <a:picLocks noChangeAspect="1" noChangeArrowheads="1"/>
                    </pic:cNvPicPr>
                  </pic:nvPicPr>
                  <pic:blipFill rotWithShape="1">
                    <a:blip r:embed="rId80">
                      <a:extLst>
                        <a:ext uri="{28A0092B-C50C-407E-A947-70E740481C1C}">
                          <a14:useLocalDpi xmlns:a14="http://schemas.microsoft.com/office/drawing/2010/main" val="0"/>
                        </a:ext>
                      </a:extLst>
                    </a:blip>
                    <a:srcRect l="37134" t="28250" r="1725" b="23231"/>
                    <a:stretch/>
                  </pic:blipFill>
                  <pic:spPr bwMode="auto">
                    <a:xfrm>
                      <a:off x="0" y="0"/>
                      <a:ext cx="5648590" cy="3169431"/>
                    </a:xfrm>
                    <a:prstGeom prst="rect">
                      <a:avLst/>
                    </a:prstGeom>
                    <a:noFill/>
                    <a:ln>
                      <a:noFill/>
                    </a:ln>
                    <a:extLst>
                      <a:ext uri="{53640926-AAD7-44D8-BBD7-CCE9431645EC}">
                        <a14:shadowObscured xmlns:a14="http://schemas.microsoft.com/office/drawing/2010/main"/>
                      </a:ext>
                    </a:extLst>
                  </pic:spPr>
                </pic:pic>
              </a:graphicData>
            </a:graphic>
          </wp:inline>
        </w:drawing>
      </w:r>
    </w:p>
    <w:p w14:paraId="474E61D4" w14:textId="64678F75" w:rsidR="00C2569D" w:rsidRPr="00F80456" w:rsidRDefault="00C2569D" w:rsidP="00C2569D">
      <w:pPr>
        <w:pStyle w:val="Didascalia"/>
        <w:spacing w:after="0"/>
        <w:jc w:val="center"/>
      </w:pPr>
      <w:r w:rsidRPr="00F80456">
        <w:rPr>
          <w:rFonts w:cstheme="minorHAnsi"/>
        </w:rPr>
        <w:t xml:space="preserve">Figura </w:t>
      </w:r>
      <w:r>
        <w:fldChar w:fldCharType="begin"/>
      </w:r>
      <w:r>
        <w:instrText xml:space="preserve"> SEQ Figura \* ARABIC </w:instrText>
      </w:r>
      <w:r>
        <w:fldChar w:fldCharType="separate"/>
      </w:r>
      <w:r w:rsidR="00670903">
        <w:rPr>
          <w:noProof/>
        </w:rPr>
        <w:t>24</w:t>
      </w:r>
      <w:r>
        <w:rPr>
          <w:noProof/>
        </w:rPr>
        <w:fldChar w:fldCharType="end"/>
      </w:r>
      <w:r w:rsidRPr="00F80456">
        <w:rPr>
          <w:rFonts w:cstheme="minorHAnsi"/>
        </w:rPr>
        <w:t xml:space="preserve"> –</w:t>
      </w:r>
      <w:r w:rsidRPr="00F80456">
        <w:t xml:space="preserve"> Dettaglio infografica sistema formula</w:t>
      </w:r>
    </w:p>
    <w:p w14:paraId="250BEAFC" w14:textId="77777777" w:rsidR="00C2569D" w:rsidRDefault="00C2569D" w:rsidP="00C2569D">
      <w:pPr>
        <w:spacing w:before="120" w:after="0" w:line="240" w:lineRule="auto"/>
      </w:pPr>
    </w:p>
    <w:p w14:paraId="55427C18" w14:textId="77777777" w:rsidR="00C2569D" w:rsidRDefault="00C2569D" w:rsidP="00C2569D">
      <w:pPr>
        <w:spacing w:before="120" w:after="0" w:line="240" w:lineRule="auto"/>
      </w:pPr>
      <w:r>
        <w:t>La ripartizione dei ricavi fra le imprese esercenti i servizi rientranti nell’Area Formula avviene sulla base di un accordo commerciale fra gli operatori coinvolti che sono GTT, Trenitalia, e gli operatori del Consorzio Extra.to. Ad esito delle procedure di gara potrebbe essere necessario ridefinire gli accordi di ripartizione delle tariffe al fine di garantire la continuità del sistema integrato; tale scelta andrà anche contestualizzata alla luce dell’avanzamento delle politiche di sviluppo del sistema di bigliettazione Piemontese.</w:t>
      </w:r>
    </w:p>
    <w:p w14:paraId="729F878C" w14:textId="77777777" w:rsidR="00C2569D" w:rsidRPr="0049313D" w:rsidRDefault="00C2569D" w:rsidP="00C2569D">
      <w:pPr>
        <w:pStyle w:val="Titolo3"/>
        <w:ind w:left="720"/>
      </w:pPr>
      <w:bookmarkStart w:id="343" w:name="_Toc204328754"/>
      <w:bookmarkStart w:id="344" w:name="_Toc205213754"/>
      <w:r>
        <w:t>Credito Trasporti</w:t>
      </w:r>
      <w:bookmarkEnd w:id="343"/>
      <w:bookmarkEnd w:id="344"/>
    </w:p>
    <w:p w14:paraId="6D1FF619" w14:textId="77777777" w:rsidR="00C2569D" w:rsidRDefault="00C2569D" w:rsidP="00C2569D">
      <w:pPr>
        <w:spacing w:before="120" w:after="0" w:line="240" w:lineRule="auto"/>
      </w:pPr>
      <w:r>
        <w:t>Nel Bacino Sud Est del Piemonte, per i servizi extraurbani delle due province erogati dalle due principali aziende Giachino srl e Bus Company srl, è attivo un sistema di “credito trasporti” che consente il pagamento a consumo dei titoli di viaggio. Questo sistema è progettato per offrire maggiore flessibilità e convenienza agli utenti del trasporto pubblico locale, e sarà a breve adottato da tutte le aziende operanti all’interno dei contratti extraurbani.</w:t>
      </w:r>
    </w:p>
    <w:p w14:paraId="7E31212D" w14:textId="77777777" w:rsidR="00C2569D" w:rsidRDefault="00C2569D" w:rsidP="00C2569D">
      <w:pPr>
        <w:spacing w:before="120" w:after="0" w:line="240" w:lineRule="auto"/>
      </w:pPr>
      <w:r>
        <w:t>Per tali servizi il titolare della tessera BIP (Biglietto Integrato Piemonte) può utilizzare tale sistema che si basa sul metodo del check-in e check-out: l'utente, al momento di salire sul mezzo di trasporto, effettua il check-in tramite la tessera BIP, e al termine del viaggio effettua il check-out. In questo modo, il sistema registra l'inizio e la fine del viaggio.</w:t>
      </w:r>
    </w:p>
    <w:p w14:paraId="3DD2C48B" w14:textId="77777777" w:rsidR="00C2569D" w:rsidRDefault="00C2569D" w:rsidP="00C2569D">
      <w:pPr>
        <w:spacing w:before="120" w:after="0" w:line="240" w:lineRule="auto"/>
      </w:pPr>
      <w:r>
        <w:t>Il credito trasporti viene scalato automaticamente dalla tessera, addebitando solo la somma dovuta per il viaggio effettivamente effettuato. Questo calcolo avviene secondo le tariffe regionali, applicando la tariffa penta-chilometrica regionale.</w:t>
      </w:r>
    </w:p>
    <w:p w14:paraId="59CAD273" w14:textId="77777777" w:rsidR="00C2569D" w:rsidRDefault="00C2569D" w:rsidP="00C2569D">
      <w:pPr>
        <w:spacing w:before="120" w:after="0" w:line="240" w:lineRule="auto"/>
      </w:pPr>
      <w:r>
        <w:t>Questo sistema di pagamento "pay per use" offre numerosi vantaggi, tra cui la possibilità di pagare solo per i chilometri effettivamente percorsi, garantendo così una maggiore equità e trasparenza nei costi di viaggio. Inoltre, facilita la gestione dei titoli di viaggio e riduce la necessità di acquistare biglietti cartacei, contribuendo a una mobilità più sostenibile e innovativa.</w:t>
      </w:r>
    </w:p>
    <w:p w14:paraId="54F86A55" w14:textId="77777777" w:rsidR="00C2569D" w:rsidRDefault="00C2569D" w:rsidP="00C2569D">
      <w:pPr>
        <w:pStyle w:val="Titolo2"/>
        <w:ind w:left="567"/>
      </w:pPr>
      <w:bookmarkStart w:id="345" w:name="_Toc204328755"/>
      <w:bookmarkStart w:id="346" w:name="_Toc205213755"/>
      <w:r>
        <w:lastRenderedPageBreak/>
        <w:t>Metodologia aggiornamento tariffe</w:t>
      </w:r>
      <w:bookmarkEnd w:id="345"/>
      <w:bookmarkEnd w:id="346"/>
    </w:p>
    <w:p w14:paraId="59140F93" w14:textId="77777777" w:rsidR="00C2569D" w:rsidRPr="00DB2A3B" w:rsidRDefault="00C2569D" w:rsidP="00C2569D">
      <w:pPr>
        <w:spacing w:before="120" w:after="0" w:line="240" w:lineRule="auto"/>
        <w:rPr>
          <w:rFonts w:cstheme="minorHAnsi"/>
          <w:color w:val="242424"/>
          <w:sz w:val="20"/>
          <w:szCs w:val="20"/>
          <w:shd w:val="clear" w:color="auto" w:fill="FAFAFA"/>
        </w:rPr>
      </w:pPr>
      <w:r w:rsidRPr="008123C3">
        <w:t xml:space="preserve">Come menzionato nei precedenti paragrafi, la Deliberazione della Giunta Regionale del Piemonte n° 13-6608 del 4/11/2013 ha stabilito che, a partire dal 2015, </w:t>
      </w:r>
      <w:r w:rsidRPr="00B71C5A">
        <w:t>le tariffe dei servizi di trasporto pubblico locale debbano essere adeguate automaticamente al 100% dell'inflazione programmata.</w:t>
      </w:r>
    </w:p>
    <w:p w14:paraId="71A66C4A" w14:textId="77777777" w:rsidR="00C2569D" w:rsidRPr="00B71C5A" w:rsidRDefault="00C2569D" w:rsidP="00C2569D">
      <w:pPr>
        <w:spacing w:before="120" w:after="0" w:line="240" w:lineRule="auto"/>
      </w:pPr>
      <w:r w:rsidRPr="008123C3">
        <w:t xml:space="preserve">Di conseguenza, AMP </w:t>
      </w:r>
      <w:r w:rsidRPr="00B71C5A">
        <w:t>verifica annualmente l'andamento del Tasso di Inflazione Programmata (TIP) consultando le pubblicazioni periodiche sul sito del Ministero dell’Economia e delle Finanze - Dipartimento del Tesoro</w:t>
      </w:r>
      <w:r w:rsidRPr="00B71C5A">
        <w:footnoteReference w:id="37"/>
      </w:r>
      <w:r w:rsidRPr="00B71C5A">
        <w:t xml:space="preserve">. Il quale attraverso la presentazione della NADEF (Nota di Aggiornamento al Documento di Economia e Finanza) nel mese di settembre definisce il Tasso di Inflazione Programmata (TIP) previsionale per l'anno successivo. Questo dato viene utilizzato da AMP per approvare l'adeguamento tariffario all'inizio di ciascun anno, con effetto dal 1 luglio. </w:t>
      </w:r>
    </w:p>
    <w:p w14:paraId="189556AF" w14:textId="77777777" w:rsidR="00C2569D" w:rsidRPr="008123C3" w:rsidRDefault="00C2569D" w:rsidP="00C2569D">
      <w:pPr>
        <w:spacing w:before="120" w:after="0" w:line="240" w:lineRule="auto"/>
      </w:pPr>
      <w:r>
        <w:t>N</w:t>
      </w:r>
      <w:r w:rsidRPr="008123C3">
        <w:t>el calcolare e definire l’aggiornamento delle tariffe regionali secondo l’andamento del TIP si applicano specifici arrotondamenti: ai 10 centesimi per i biglietti e per gli abbonamenti settimanali, mentre per gli abbonamenti di durata mensile o superiore viene applicato un arrotondamento ai 50 centesimi.</w:t>
      </w:r>
    </w:p>
    <w:p w14:paraId="342B3E88" w14:textId="77777777" w:rsidR="00C2569D" w:rsidRPr="008123C3" w:rsidRDefault="00C2569D" w:rsidP="00C2569D">
      <w:pPr>
        <w:spacing w:before="120" w:after="0" w:line="240" w:lineRule="auto"/>
      </w:pPr>
      <w:r>
        <w:t>Si</w:t>
      </w:r>
      <w:r w:rsidRPr="008123C3">
        <w:t xml:space="preserve"> sottolinea che la citata delibera regionale sulle tariffe prevede il solo adeguamento inflattivo e non dà indicazioni sull’applicazione di altri parametri correttivi delle tariffe</w:t>
      </w:r>
      <w:r>
        <w:t xml:space="preserve"> quali potrebbero essere parametri qualitativi per l’introduzione del price-cap</w:t>
      </w:r>
      <w:r w:rsidRPr="008123C3">
        <w:t xml:space="preserve">. </w:t>
      </w:r>
    </w:p>
    <w:p w14:paraId="7A0AC1C4" w14:textId="77777777" w:rsidR="00C2569D" w:rsidRPr="008123C3" w:rsidRDefault="00C2569D" w:rsidP="00C2569D">
      <w:pPr>
        <w:spacing w:before="120" w:after="0" w:line="240" w:lineRule="auto"/>
      </w:pPr>
      <w:r w:rsidRPr="008123C3">
        <w:t xml:space="preserve">Infatti, l’adozione di un metodo di adeguamento pesato non solo sull’inflazione ma anche su indicatori di qualità effettiva del servizio utilizzando una metodologia “Price-cap”, nella realtà piemontese presenterebbe alcune criticità, quali: </w:t>
      </w:r>
    </w:p>
    <w:p w14:paraId="09B87EA8" w14:textId="77777777" w:rsidR="00C2569D" w:rsidRPr="008123C3" w:rsidRDefault="00C2569D" w:rsidP="00C2569D">
      <w:pPr>
        <w:pStyle w:val="Paragrafoelenco"/>
        <w:numPr>
          <w:ilvl w:val="0"/>
          <w:numId w:val="55"/>
        </w:numPr>
        <w:spacing w:before="120" w:after="0" w:line="240" w:lineRule="auto"/>
        <w:contextualSpacing w:val="0"/>
      </w:pPr>
      <w:r w:rsidRPr="008123C3">
        <w:t>il disallineamento tariffario tra i diversi contratti di servizio, i differenti servizi (ferroviari e automobilistici) e i quattro Bacini di mobilità;</w:t>
      </w:r>
    </w:p>
    <w:p w14:paraId="05DFAFA7" w14:textId="77777777" w:rsidR="00C2569D" w:rsidRPr="008123C3" w:rsidRDefault="00C2569D" w:rsidP="00C2569D">
      <w:pPr>
        <w:pStyle w:val="Paragrafoelenco"/>
        <w:numPr>
          <w:ilvl w:val="0"/>
          <w:numId w:val="55"/>
        </w:numPr>
        <w:spacing w:before="120" w:after="0" w:line="240" w:lineRule="auto"/>
        <w:contextualSpacing w:val="0"/>
      </w:pPr>
      <w:r w:rsidRPr="008123C3">
        <w:t>la compromissione dell'uniformità delle tariffe che renderebbe impossibile mantenere ed estendere l'integrazione tariffaria;</w:t>
      </w:r>
    </w:p>
    <w:p w14:paraId="71624B1E" w14:textId="77777777" w:rsidR="00C2569D" w:rsidRPr="008123C3" w:rsidRDefault="00C2569D" w:rsidP="00C2569D">
      <w:pPr>
        <w:pStyle w:val="Paragrafoelenco"/>
        <w:numPr>
          <w:ilvl w:val="0"/>
          <w:numId w:val="55"/>
        </w:numPr>
        <w:spacing w:before="120" w:after="0" w:line="240" w:lineRule="auto"/>
        <w:contextualSpacing w:val="0"/>
      </w:pPr>
      <w:r w:rsidRPr="008123C3">
        <w:t>la difficoltà nell’integrare le reti e i servizi a causa del mancato raggiungimento dell’armonizzazione tariffaria;</w:t>
      </w:r>
    </w:p>
    <w:p w14:paraId="62E8B99A" w14:textId="77777777" w:rsidR="00C2569D" w:rsidRPr="008123C3" w:rsidRDefault="00C2569D" w:rsidP="00C2569D">
      <w:pPr>
        <w:pStyle w:val="Paragrafoelenco"/>
        <w:numPr>
          <w:ilvl w:val="0"/>
          <w:numId w:val="55"/>
        </w:numPr>
        <w:spacing w:before="120" w:after="0" w:line="240" w:lineRule="auto"/>
        <w:contextualSpacing w:val="0"/>
      </w:pPr>
      <w:r w:rsidRPr="008123C3">
        <w:t xml:space="preserve">lo squilibrio tariffario generato dalla penalizzazione di alcuni servizi rispetto ad altri indurrebbe ad un sistema tariffario </w:t>
      </w:r>
      <w:r>
        <w:t>differenziale per</w:t>
      </w:r>
      <w:r w:rsidRPr="008123C3">
        <w:t xml:space="preserve"> gli utenti piemontesi.</w:t>
      </w:r>
    </w:p>
    <w:p w14:paraId="152544F4" w14:textId="77777777" w:rsidR="00C2569D" w:rsidRPr="008123C3" w:rsidRDefault="00C2569D" w:rsidP="00C2569D">
      <w:pPr>
        <w:spacing w:before="120" w:after="0" w:line="240" w:lineRule="auto"/>
        <w:rPr>
          <w:rFonts w:eastAsia="Times New Roman" w:cstheme="minorHAnsi"/>
          <w:lang w:eastAsia="en-GB"/>
        </w:rPr>
      </w:pPr>
      <w:r w:rsidRPr="00793ED8">
        <w:rPr>
          <w:rFonts w:eastAsia="Times New Roman" w:cstheme="minorHAnsi"/>
          <w:lang w:eastAsia="en-GB"/>
        </w:rPr>
        <w:t xml:space="preserve">La stessa </w:t>
      </w:r>
      <w:r w:rsidRPr="008123C3">
        <w:rPr>
          <w:rFonts w:eastAsia="Times New Roman" w:cstheme="minorHAnsi"/>
          <w:lang w:eastAsia="en-GB"/>
        </w:rPr>
        <w:t>della Delibera ART n. 154/2019 alla Misura 27 punto 3 ribadisce che l’applicazione del metodo del “Price-cap” non può pregiudicare l’adozione di sistemi di bigliettazione o di servizi integrati.</w:t>
      </w:r>
    </w:p>
    <w:p w14:paraId="51D30FB8" w14:textId="77777777" w:rsidR="00C2569D" w:rsidRPr="008123C3" w:rsidRDefault="00C2569D" w:rsidP="00C2569D">
      <w:pPr>
        <w:spacing w:before="120" w:after="0" w:line="240" w:lineRule="auto"/>
        <w:rPr>
          <w:rFonts w:eastAsia="Times New Roman" w:cstheme="minorHAnsi"/>
          <w:lang w:eastAsia="en-GB"/>
        </w:rPr>
      </w:pPr>
      <w:r w:rsidRPr="008123C3">
        <w:rPr>
          <w:rFonts w:eastAsia="Times New Roman" w:cstheme="minorHAnsi"/>
          <w:lang w:eastAsia="en-GB"/>
        </w:rPr>
        <w:t>L’armonizzazione delle tariffe e l’integrazione tariffaria sono dunque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290EDFD6" w14:textId="77777777" w:rsidR="00C2569D" w:rsidRPr="008123C3" w:rsidRDefault="00C2569D" w:rsidP="00C2569D">
      <w:pPr>
        <w:spacing w:before="120" w:after="0" w:line="240" w:lineRule="auto"/>
        <w:rPr>
          <w:rFonts w:eastAsia="Times New Roman" w:cstheme="minorHAnsi"/>
          <w:lang w:eastAsia="en-GB"/>
        </w:rPr>
      </w:pPr>
      <w:r w:rsidRPr="008123C3">
        <w:rPr>
          <w:rFonts w:eastAsia="Times New Roman" w:cstheme="minorHAnsi"/>
          <w:lang w:eastAsia="en-GB"/>
        </w:rPr>
        <w:t>La Regione Piemonte e l’Agenzia ritengono che l’obbiettivo di spingere gli operatori ad un miglioramento continuo degli standard di qualità che si intende raggiungere anche con l’applicazione della metodologia “Price-cap”, può essere parimenti raggiunto imponendo l’obbligo per l’operatore a rimborsare o indennizzare gli utenti qualora non siano raggiunti gli obiettivi imposti dai co</w:t>
      </w:r>
      <w:r>
        <w:rPr>
          <w:rFonts w:eastAsia="Times New Roman" w:cstheme="minorHAnsi"/>
          <w:lang w:eastAsia="en-GB"/>
        </w:rPr>
        <w:t>n</w:t>
      </w:r>
      <w:r w:rsidRPr="008123C3">
        <w:rPr>
          <w:rFonts w:eastAsia="Times New Roman" w:cstheme="minorHAnsi"/>
          <w:lang w:eastAsia="en-GB"/>
        </w:rPr>
        <w:t xml:space="preserve">tratti di servizio o assunti dall’operatore nella stesura della Carta dei servizi. </w:t>
      </w:r>
    </w:p>
    <w:p w14:paraId="3AADCDFD" w14:textId="77777777" w:rsidR="00C2569D" w:rsidRDefault="00C2569D" w:rsidP="00C2569D">
      <w:pPr>
        <w:spacing w:before="120" w:after="0" w:line="240" w:lineRule="auto"/>
        <w:rPr>
          <w:rFonts w:eastAsia="Times New Roman" w:cstheme="minorHAnsi"/>
          <w:lang w:eastAsia="en-GB"/>
        </w:rPr>
      </w:pPr>
      <w:r w:rsidRPr="008123C3">
        <w:rPr>
          <w:rFonts w:eastAsia="Times New Roman" w:cstheme="minorHAnsi"/>
          <w:lang w:eastAsia="en-GB"/>
        </w:rPr>
        <w:lastRenderedPageBreak/>
        <w:t>Questo approccio evita di influenzare le tariffe e generando penalità per l'operatore produce benefici per l'utenza evitando disequilibri fra gli utenti piemontesi.</w:t>
      </w:r>
    </w:p>
    <w:p w14:paraId="38C4340F" w14:textId="77777777" w:rsidR="00C2569D" w:rsidRPr="008123C3" w:rsidRDefault="00C2569D" w:rsidP="00C2569D">
      <w:pPr>
        <w:spacing w:before="120" w:after="0" w:line="240" w:lineRule="auto"/>
        <w:rPr>
          <w:rFonts w:eastAsia="Times New Roman" w:cstheme="minorHAnsi"/>
          <w:lang w:eastAsia="en-GB"/>
        </w:rPr>
      </w:pPr>
      <w:r w:rsidRPr="008123C3">
        <w:rPr>
          <w:rFonts w:eastAsia="Times New Roman" w:cstheme="minorHAnsi"/>
          <w:lang w:eastAsia="en-GB"/>
        </w:rPr>
        <w:t xml:space="preserve">A parità di tariffa, l’equilibrio tra la qualità del servizio offerto e l’esborso richiesto al cittadino per la fruizione di tale servizio è ricercato mediante l’obbligo di rimborso/indennizzo. Prendendo ad esempio una relazione O/D (come quella </w:t>
      </w:r>
      <w:r>
        <w:rPr>
          <w:rFonts w:eastAsia="Times New Roman" w:cstheme="minorHAnsi"/>
          <w:lang w:eastAsia="en-GB"/>
        </w:rPr>
        <w:t>Alba</w:t>
      </w:r>
      <w:r w:rsidRPr="008123C3">
        <w:rPr>
          <w:rFonts w:eastAsia="Times New Roman" w:cstheme="minorHAnsi"/>
          <w:lang w:eastAsia="en-GB"/>
        </w:rPr>
        <w:t>-</w:t>
      </w:r>
      <w:r>
        <w:rPr>
          <w:rFonts w:eastAsia="Times New Roman" w:cstheme="minorHAnsi"/>
          <w:lang w:eastAsia="en-GB"/>
        </w:rPr>
        <w:t>Torino</w:t>
      </w:r>
      <w:r w:rsidRPr="008123C3">
        <w:rPr>
          <w:rFonts w:eastAsia="Times New Roman" w:cstheme="minorHAnsi"/>
          <w:lang w:eastAsia="en-GB"/>
        </w:rPr>
        <w:t xml:space="preserve">) ove sussistono sia servizi ferroviari sia servizi su autolinea (con itinerari diversi) con uguale tariffa integrata per gli abbonamenti, può verificarsi in un certo periodo di tempo il mancato rispetto degli obiettivi di puntualità solo su una delle due modalità. In questo caso è previsto un rimborso (da parte dell’Operatore della modalità “inadempiente”) per gli utenti che possono dimostrare di aver utilizzato tale Operatore. Ciò produce un beneficio per l’utenza e una penalità per l’Operatore, senza intervento sul valore della tariffa integrata che agirebbe anche sull’altra modalità “incolpevole” e che costituirebbe un’eccezione rispetto alle altre relazioni O/D con percorrenza appartenente allo stesso scaglione chilometrico o con stesso numero di zona attraversate. </w:t>
      </w:r>
    </w:p>
    <w:p w14:paraId="5A0DF26C" w14:textId="77777777" w:rsidR="00C2569D" w:rsidRDefault="00C2569D" w:rsidP="00C2569D">
      <w:pPr>
        <w:pStyle w:val="Titolo2"/>
        <w:ind w:left="567"/>
      </w:pPr>
      <w:bookmarkStart w:id="347" w:name="_Toc204328756"/>
      <w:bookmarkStart w:id="348" w:name="_Toc205213756"/>
      <w:r>
        <w:t>L’interoperabilità tariffaria in Piemonte</w:t>
      </w:r>
      <w:bookmarkEnd w:id="347"/>
      <w:bookmarkEnd w:id="348"/>
    </w:p>
    <w:p w14:paraId="641A044E" w14:textId="77777777" w:rsidR="00C2569D" w:rsidRPr="00A340C6" w:rsidRDefault="00C2569D" w:rsidP="00C2569D">
      <w:pPr>
        <w:spacing w:before="120" w:after="0" w:line="240" w:lineRule="auto"/>
        <w:rPr>
          <w:rFonts w:eastAsia="Times New Roman" w:cstheme="minorHAnsi"/>
          <w:lang w:eastAsia="en-GB"/>
        </w:rPr>
      </w:pPr>
      <w:r w:rsidRPr="00A340C6">
        <w:rPr>
          <w:rFonts w:eastAsia="Times New Roman" w:cstheme="minorHAnsi"/>
          <w:lang w:eastAsia="en-GB"/>
        </w:rPr>
        <w:t xml:space="preserve">BIP </w:t>
      </w:r>
      <w:r>
        <w:rPr>
          <w:rFonts w:eastAsia="Times New Roman" w:cstheme="minorHAnsi"/>
          <w:lang w:eastAsia="en-GB"/>
        </w:rPr>
        <w:t xml:space="preserve">– </w:t>
      </w:r>
      <w:r w:rsidRPr="00A340C6">
        <w:rPr>
          <w:rFonts w:eastAsia="Times New Roman" w:cstheme="minorHAnsi"/>
          <w:lang w:eastAsia="en-GB"/>
        </w:rPr>
        <w:t>Biglietto Integrato Piemonte è il sistema di bigliettazione elettronica della Regione Piemonte, progettato per semplificare l'accesso ai vari servizi di mo</w:t>
      </w:r>
      <w:r>
        <w:rPr>
          <w:rFonts w:eastAsia="Times New Roman" w:cstheme="minorHAnsi"/>
          <w:lang w:eastAsia="en-GB"/>
        </w:rPr>
        <w:t xml:space="preserve">bilità sul territorio regionale </w:t>
      </w:r>
      <w:r w:rsidRPr="00DF1476">
        <w:rPr>
          <w:rFonts w:eastAsia="Times New Roman" w:cstheme="minorHAnsi"/>
          <w:lang w:eastAsia="en-GB"/>
        </w:rPr>
        <w:t>ed è stato attivato nel 2012</w:t>
      </w:r>
      <w:r>
        <w:rPr>
          <w:rFonts w:eastAsia="Times New Roman" w:cstheme="minorHAnsi"/>
          <w:lang w:eastAsia="en-GB"/>
        </w:rPr>
        <w:t>.</w:t>
      </w:r>
      <w:r w:rsidRPr="00A340C6">
        <w:rPr>
          <w:rFonts w:eastAsia="Times New Roman" w:cstheme="minorHAnsi"/>
          <w:lang w:eastAsia="en-GB"/>
        </w:rPr>
        <w:t xml:space="preserve"> Questo sistema utilizza una smart card, chiamata carta BIP, che consente agli utenti di viaggiare su diversi mezzi di trasporto pubblico con un unico </w:t>
      </w:r>
      <w:r>
        <w:rPr>
          <w:rFonts w:eastAsia="Times New Roman" w:cstheme="minorHAnsi"/>
          <w:lang w:eastAsia="en-GB"/>
        </w:rPr>
        <w:t>documento</w:t>
      </w:r>
      <w:r w:rsidRPr="00A340C6">
        <w:rPr>
          <w:rFonts w:eastAsia="Times New Roman" w:cstheme="minorHAnsi"/>
          <w:lang w:eastAsia="en-GB"/>
        </w:rPr>
        <w:t xml:space="preserve"> di viaggio.</w:t>
      </w:r>
    </w:p>
    <w:p w14:paraId="552413D4" w14:textId="77777777" w:rsidR="00C2569D" w:rsidRDefault="00C2569D" w:rsidP="00C2569D">
      <w:pPr>
        <w:spacing w:before="120" w:after="0" w:line="240" w:lineRule="auto"/>
        <w:rPr>
          <w:rFonts w:eastAsia="Times New Roman" w:cstheme="minorHAnsi"/>
          <w:lang w:eastAsia="en-GB"/>
        </w:rPr>
      </w:pPr>
      <w:r>
        <w:rPr>
          <w:rFonts w:eastAsia="Times New Roman" w:cstheme="minorHAnsi"/>
          <w:lang w:eastAsia="en-GB"/>
        </w:rPr>
        <w:t>L’introduzione del sistema BIP è stata voluta dalla Regione Piemonte per:</w:t>
      </w:r>
    </w:p>
    <w:p w14:paraId="641990A4" w14:textId="77777777" w:rsidR="00C2569D" w:rsidRPr="00DF1476" w:rsidRDefault="00C2569D" w:rsidP="00C2569D">
      <w:pPr>
        <w:pStyle w:val="Paragrafoelenco"/>
        <w:numPr>
          <w:ilvl w:val="0"/>
          <w:numId w:val="60"/>
        </w:numPr>
        <w:spacing w:before="120" w:after="0" w:line="240" w:lineRule="auto"/>
        <w:contextualSpacing w:val="0"/>
      </w:pPr>
      <w:r w:rsidRPr="00DF1476">
        <w:t>favorire l’integrazione dei servizi: La carta BIP può essere utilizzata su autobus, tram, treni regionali e altri servizi di mobilità come il bike sharing. Questo permette agli utenti di spostarsi facilmente senza dover acquistare biglietti separati per ogni mezzo di trasporto</w:t>
      </w:r>
      <w:r>
        <w:t>;</w:t>
      </w:r>
    </w:p>
    <w:p w14:paraId="43CEE19C" w14:textId="77777777" w:rsidR="00C2569D" w:rsidRPr="00DF1476" w:rsidRDefault="00C2569D" w:rsidP="00C2569D">
      <w:pPr>
        <w:pStyle w:val="Paragrafoelenco"/>
        <w:numPr>
          <w:ilvl w:val="0"/>
          <w:numId w:val="60"/>
        </w:numPr>
        <w:spacing w:before="120" w:after="0" w:line="240" w:lineRule="auto"/>
        <w:contextualSpacing w:val="0"/>
      </w:pPr>
      <w:r>
        <w:t>i</w:t>
      </w:r>
      <w:r w:rsidRPr="00DF1476">
        <w:t xml:space="preserve">ntrodurre il pagamento a consumo: </w:t>
      </w:r>
      <w:r>
        <w:t>C</w:t>
      </w:r>
      <w:r w:rsidRPr="00DF1476">
        <w:t>ome già anticipato nel Bacino Sud del Piemonte, è attivo un sistema di credito trasporti che consente il pagamento a consumo dei titoli di viaggio. Gli utenti effettuano il check-in e il check-out con la carta BIP, e il sistema scala automaticamente dal credito la somma dovuta per il viaggio effettuato, applicando la tariffa pentachilometrica regionale; in caso di mancato check-out viene applicata la tariffa massima della specifica corsa utilizzata</w:t>
      </w:r>
      <w:r>
        <w:t>;</w:t>
      </w:r>
    </w:p>
    <w:p w14:paraId="72B1E513" w14:textId="77777777" w:rsidR="00C2569D" w:rsidRPr="00DF1476" w:rsidRDefault="00C2569D" w:rsidP="00C2569D">
      <w:pPr>
        <w:pStyle w:val="Paragrafoelenco"/>
        <w:numPr>
          <w:ilvl w:val="0"/>
          <w:numId w:val="60"/>
        </w:numPr>
        <w:spacing w:before="120" w:after="0" w:line="240" w:lineRule="auto"/>
        <w:contextualSpacing w:val="0"/>
      </w:pPr>
      <w:r>
        <w:t>gestire il sistema delle a</w:t>
      </w:r>
      <w:r w:rsidRPr="00DF1476">
        <w:t>gevolazioni tariffarie: Diverse categorie di utenti, come persone con disabilità, studenti, forze dell'ordine e vigili del fuoco, possono beneficiare di agevolazioni tariffarie. Queste agevolazioni mirano a promuovere l'uso del trasporto pubblico</w:t>
      </w:r>
      <w:r>
        <w:t>, la sicurezza dei viaggi</w:t>
      </w:r>
      <w:r w:rsidRPr="00DF1476">
        <w:t xml:space="preserve"> e a garantire l'acce</w:t>
      </w:r>
      <w:r>
        <w:t>ssibilità per tutti i cittadini;</w:t>
      </w:r>
    </w:p>
    <w:p w14:paraId="2DAE0E14" w14:textId="77777777" w:rsidR="00C2569D" w:rsidRDefault="00C2569D" w:rsidP="00C2569D">
      <w:pPr>
        <w:pStyle w:val="Paragrafoelenco"/>
        <w:numPr>
          <w:ilvl w:val="0"/>
          <w:numId w:val="60"/>
        </w:numPr>
        <w:spacing w:before="120" w:after="0" w:line="240" w:lineRule="auto"/>
        <w:contextualSpacing w:val="0"/>
      </w:pPr>
      <w:r w:rsidRPr="00DF1476">
        <w:t>Innova</w:t>
      </w:r>
      <w:r>
        <w:t>re</w:t>
      </w:r>
      <w:r w:rsidRPr="00DF1476">
        <w:t>: Il sistema BIP contribuisce a una mobilità più sostenibile riducendo l'uso di biglietti cartacei e incentivando l'uso del trasporto pubblico. Inoltre, facilita la g</w:t>
      </w:r>
      <w:r>
        <w:t xml:space="preserve">estione dei titoli di viaggio, </w:t>
      </w:r>
      <w:r w:rsidRPr="00DF1476">
        <w:t>offre una maggiore trasparenza nei costi di viaggio</w:t>
      </w:r>
      <w:r>
        <w:t xml:space="preserve"> e fornisce elementi utili per verificare la programmazione del servizio.</w:t>
      </w:r>
    </w:p>
    <w:p w14:paraId="095ED8A1" w14:textId="77777777" w:rsidR="00C2569D" w:rsidRDefault="00C2569D" w:rsidP="00C2569D">
      <w:pPr>
        <w:spacing w:before="120" w:after="0" w:line="240" w:lineRule="auto"/>
        <w:rPr>
          <w:rFonts w:eastAsia="Times New Roman" w:cstheme="minorHAnsi"/>
          <w:lang w:eastAsia="en-GB"/>
        </w:rPr>
      </w:pPr>
      <w:r w:rsidRPr="00F0399F">
        <w:rPr>
          <w:rFonts w:eastAsia="Times New Roman" w:cstheme="minorHAnsi"/>
          <w:lang w:eastAsia="en-GB"/>
        </w:rPr>
        <w:t>Più recentemente è stata avviata l’iniz</w:t>
      </w:r>
      <w:r>
        <w:rPr>
          <w:rFonts w:eastAsia="Times New Roman" w:cstheme="minorHAnsi"/>
          <w:lang w:eastAsia="en-GB"/>
        </w:rPr>
        <w:t>ia</w:t>
      </w:r>
      <w:r w:rsidRPr="00F0399F">
        <w:rPr>
          <w:rFonts w:eastAsia="Times New Roman" w:cstheme="minorHAnsi"/>
          <w:lang w:eastAsia="en-GB"/>
        </w:rPr>
        <w:t>tiva BIPforMaaS che consent</w:t>
      </w:r>
      <w:r>
        <w:rPr>
          <w:rFonts w:eastAsia="Times New Roman" w:cstheme="minorHAnsi"/>
          <w:lang w:eastAsia="en-GB"/>
        </w:rPr>
        <w:t>e</w:t>
      </w:r>
      <w:r w:rsidRPr="00F0399F">
        <w:rPr>
          <w:rFonts w:eastAsia="Times New Roman" w:cstheme="minorHAnsi"/>
          <w:lang w:eastAsia="en-GB"/>
        </w:rPr>
        <w:t xml:space="preserve"> il miglioramento della</w:t>
      </w:r>
      <w:r>
        <w:rPr>
          <w:rFonts w:eastAsia="Times New Roman" w:cstheme="minorHAnsi"/>
          <w:lang w:eastAsia="en-GB"/>
        </w:rPr>
        <w:t xml:space="preserve"> qualità dei servizi assicurati </w:t>
      </w:r>
      <w:r w:rsidRPr="00F0399F">
        <w:rPr>
          <w:rFonts w:eastAsia="Times New Roman" w:cstheme="minorHAnsi"/>
          <w:lang w:eastAsia="en-GB"/>
        </w:rPr>
        <w:t>ai clienti BIP, semplificando e innovando le modali</w:t>
      </w:r>
      <w:r>
        <w:rPr>
          <w:rFonts w:eastAsia="Times New Roman" w:cstheme="minorHAnsi"/>
          <w:lang w:eastAsia="en-GB"/>
        </w:rPr>
        <w:t xml:space="preserve">tà di accesso </w:t>
      </w:r>
      <w:r w:rsidRPr="00F0399F">
        <w:rPr>
          <w:rFonts w:eastAsia="Times New Roman" w:cstheme="minorHAnsi"/>
          <w:lang w:eastAsia="en-GB"/>
        </w:rPr>
        <w:t>ai servizi di TPL regional</w:t>
      </w:r>
      <w:r>
        <w:rPr>
          <w:rFonts w:eastAsia="Times New Roman" w:cstheme="minorHAnsi"/>
          <w:lang w:eastAsia="en-GB"/>
        </w:rPr>
        <w:t>i.</w:t>
      </w:r>
    </w:p>
    <w:p w14:paraId="16A95748" w14:textId="77777777" w:rsidR="00C2569D" w:rsidRPr="00DF1476" w:rsidRDefault="00C2569D" w:rsidP="00C2569D">
      <w:pPr>
        <w:spacing w:before="120" w:after="0" w:line="240" w:lineRule="auto"/>
      </w:pPr>
      <w:r>
        <w:rPr>
          <w:rFonts w:eastAsia="Times New Roman" w:cstheme="minorHAnsi"/>
          <w:lang w:eastAsia="en-GB"/>
        </w:rPr>
        <w:t>Tramite il BipforMaaS e la piattaforma SmartBip è possibile accedere al sistema di TPL piemontese; l’utilizzo di queste nuove opportunità tecnologiche favoriranno l’</w:t>
      </w:r>
      <w:r w:rsidRPr="00F0399F">
        <w:rPr>
          <w:rFonts w:eastAsia="Times New Roman" w:cstheme="minorHAnsi"/>
          <w:lang w:eastAsia="en-GB"/>
        </w:rPr>
        <w:t>introdu</w:t>
      </w:r>
      <w:r>
        <w:rPr>
          <w:rFonts w:eastAsia="Times New Roman" w:cstheme="minorHAnsi"/>
          <w:lang w:eastAsia="en-GB"/>
        </w:rPr>
        <w:t>zione di</w:t>
      </w:r>
      <w:r w:rsidRPr="00F0399F">
        <w:rPr>
          <w:rFonts w:eastAsia="Times New Roman" w:cstheme="minorHAnsi"/>
          <w:lang w:eastAsia="en-GB"/>
        </w:rPr>
        <w:t xml:space="preserve"> un nuovo sistema tariffario integrato di tipo pay-per-use e best fare (pagamento in funzione dell’effettivo utilizzo e alla tariffa più conveniente per l’utente)</w:t>
      </w:r>
      <w:r>
        <w:rPr>
          <w:rFonts w:eastAsia="Times New Roman" w:cstheme="minorHAnsi"/>
          <w:lang w:eastAsia="en-GB"/>
        </w:rPr>
        <w:t>.</w:t>
      </w:r>
    </w:p>
    <w:p w14:paraId="798620DF" w14:textId="77777777" w:rsidR="00C2569D" w:rsidRPr="00B1060B" w:rsidRDefault="00C2569D" w:rsidP="00C2569D">
      <w:pPr>
        <w:spacing w:before="120" w:after="0" w:line="240" w:lineRule="auto"/>
        <w:rPr>
          <w:rFonts w:eastAsia="Times New Roman" w:cstheme="minorHAnsi"/>
          <w:lang w:eastAsia="en-GB"/>
        </w:rPr>
      </w:pPr>
      <w:r>
        <w:rPr>
          <w:rFonts w:eastAsia="Times New Roman" w:cstheme="minorHAnsi"/>
          <w:lang w:eastAsia="en-GB"/>
        </w:rPr>
        <w:lastRenderedPageBreak/>
        <w:t>Questi nuovi modelli per l’</w:t>
      </w:r>
      <w:r w:rsidRPr="00DF1476">
        <w:rPr>
          <w:rFonts w:eastAsia="Times New Roman" w:cstheme="minorHAnsi"/>
          <w:lang w:eastAsia="en-GB"/>
        </w:rPr>
        <w:t>“inte</w:t>
      </w:r>
      <w:r>
        <w:rPr>
          <w:rFonts w:eastAsia="Times New Roman" w:cstheme="minorHAnsi"/>
          <w:lang w:eastAsia="en-GB"/>
        </w:rPr>
        <w:t>grazione” tariffaria, a livello</w:t>
      </w:r>
      <w:r w:rsidRPr="00DF1476">
        <w:rPr>
          <w:rFonts w:eastAsia="Times New Roman" w:cstheme="minorHAnsi"/>
          <w:lang w:eastAsia="en-GB"/>
        </w:rPr>
        <w:t xml:space="preserve"> regionale del TPL offr</w:t>
      </w:r>
      <w:r>
        <w:rPr>
          <w:rFonts w:eastAsia="Times New Roman" w:cstheme="minorHAnsi"/>
          <w:lang w:eastAsia="en-GB"/>
        </w:rPr>
        <w:t>ono</w:t>
      </w:r>
      <w:r w:rsidRPr="00DF1476">
        <w:rPr>
          <w:rFonts w:eastAsia="Times New Roman" w:cstheme="minorHAnsi"/>
          <w:lang w:eastAsia="en-GB"/>
        </w:rPr>
        <w:t xml:space="preserve"> più libertà</w:t>
      </w:r>
      <w:r>
        <w:rPr>
          <w:rFonts w:eastAsia="Times New Roman" w:cstheme="minorHAnsi"/>
          <w:lang w:eastAsia="en-GB"/>
        </w:rPr>
        <w:t xml:space="preserve"> e</w:t>
      </w:r>
      <w:r w:rsidRPr="00DF1476">
        <w:rPr>
          <w:rFonts w:eastAsia="Times New Roman" w:cstheme="minorHAnsi"/>
          <w:lang w:eastAsia="en-GB"/>
        </w:rPr>
        <w:t xml:space="preserve"> più semplicità</w:t>
      </w:r>
      <w:r>
        <w:rPr>
          <w:rFonts w:eastAsia="Times New Roman" w:cstheme="minorHAnsi"/>
          <w:lang w:eastAsia="en-GB"/>
        </w:rPr>
        <w:t>;</w:t>
      </w:r>
      <w:r w:rsidRPr="00DF1476">
        <w:rPr>
          <w:rFonts w:eastAsia="Times New Roman" w:cstheme="minorHAnsi"/>
          <w:lang w:eastAsia="en-GB"/>
        </w:rPr>
        <w:t xml:space="preserve"> </w:t>
      </w:r>
      <w:r>
        <w:rPr>
          <w:rFonts w:eastAsia="Times New Roman" w:cstheme="minorHAnsi"/>
          <w:lang w:eastAsia="en-GB"/>
        </w:rPr>
        <w:t>g</w:t>
      </w:r>
      <w:r w:rsidRPr="00DF1476">
        <w:rPr>
          <w:rFonts w:eastAsia="Times New Roman" w:cstheme="minorHAnsi"/>
          <w:lang w:eastAsia="en-GB"/>
        </w:rPr>
        <w:t>li obiettivi sono</w:t>
      </w:r>
      <w:r>
        <w:rPr>
          <w:rFonts w:eastAsia="Times New Roman" w:cstheme="minorHAnsi"/>
          <w:lang w:eastAsia="en-GB"/>
        </w:rPr>
        <w:t xml:space="preserve"> quelli di </w:t>
      </w:r>
      <w:r w:rsidRPr="00B1060B">
        <w:rPr>
          <w:rFonts w:eastAsia="Times New Roman" w:cstheme="minorHAnsi"/>
          <w:lang w:eastAsia="en-GB"/>
        </w:rPr>
        <w:t>attrarre utenza</w:t>
      </w:r>
      <w:r>
        <w:rPr>
          <w:rFonts w:eastAsia="Times New Roman" w:cstheme="minorHAnsi"/>
          <w:lang w:eastAsia="en-GB"/>
        </w:rPr>
        <w:t xml:space="preserve">, </w:t>
      </w:r>
      <w:r w:rsidRPr="00B1060B">
        <w:rPr>
          <w:rFonts w:eastAsia="Times New Roman" w:cstheme="minorHAnsi"/>
          <w:lang w:eastAsia="en-GB"/>
        </w:rPr>
        <w:t>incrementare la fidelizzazione</w:t>
      </w:r>
      <w:r>
        <w:rPr>
          <w:rFonts w:eastAsia="Times New Roman" w:cstheme="minorHAnsi"/>
          <w:lang w:eastAsia="en-GB"/>
        </w:rPr>
        <w:t xml:space="preserve">, </w:t>
      </w:r>
      <w:r w:rsidRPr="00B1060B">
        <w:rPr>
          <w:rFonts w:eastAsia="Times New Roman" w:cstheme="minorHAnsi"/>
          <w:lang w:eastAsia="en-GB"/>
        </w:rPr>
        <w:t>favorire int</w:t>
      </w:r>
      <w:r>
        <w:rPr>
          <w:rFonts w:eastAsia="Times New Roman" w:cstheme="minorHAnsi"/>
          <w:lang w:eastAsia="en-GB"/>
        </w:rPr>
        <w:t xml:space="preserve">egrazione e interscambio modale, </w:t>
      </w:r>
      <w:r w:rsidRPr="00B1060B">
        <w:rPr>
          <w:rFonts w:eastAsia="Times New Roman" w:cstheme="minorHAnsi"/>
          <w:lang w:eastAsia="en-GB"/>
        </w:rPr>
        <w:t>garantire un sistema equo e in linea con le esigenze de</w:t>
      </w:r>
      <w:r>
        <w:rPr>
          <w:rFonts w:eastAsia="Times New Roman" w:cstheme="minorHAnsi"/>
          <w:lang w:eastAsia="en-GB"/>
        </w:rPr>
        <w:t xml:space="preserve">lla domanda, </w:t>
      </w:r>
      <w:r w:rsidRPr="00B1060B">
        <w:rPr>
          <w:rFonts w:eastAsia="Times New Roman" w:cstheme="minorHAnsi"/>
          <w:lang w:eastAsia="en-GB"/>
        </w:rPr>
        <w:t>rendere più evidente la relazi</w:t>
      </w:r>
      <w:r>
        <w:rPr>
          <w:rFonts w:eastAsia="Times New Roman" w:cstheme="minorHAnsi"/>
          <w:lang w:eastAsia="en-GB"/>
        </w:rPr>
        <w:t xml:space="preserve">one tariffa‐qualità dei servizi, </w:t>
      </w:r>
      <w:r w:rsidRPr="00B1060B">
        <w:rPr>
          <w:rFonts w:eastAsia="Times New Roman" w:cstheme="minorHAnsi"/>
          <w:lang w:eastAsia="en-GB"/>
        </w:rPr>
        <w:t>promuovere la bigliettazione elettronica.</w:t>
      </w:r>
    </w:p>
    <w:p w14:paraId="29A8024D" w14:textId="77777777" w:rsidR="00C2569D" w:rsidRDefault="00C2569D" w:rsidP="00C2569D">
      <w:pPr>
        <w:pStyle w:val="Titolo2"/>
        <w:ind w:left="567"/>
      </w:pPr>
      <w:bookmarkStart w:id="349" w:name="_Toc204328757"/>
      <w:bookmarkStart w:id="350" w:name="_Toc205213757"/>
      <w:r>
        <w:t>Obblighi di servizio per l’integrazione tariffaria</w:t>
      </w:r>
      <w:bookmarkEnd w:id="349"/>
      <w:bookmarkEnd w:id="350"/>
    </w:p>
    <w:p w14:paraId="2D6CFE0B" w14:textId="77777777" w:rsidR="00C2569D" w:rsidRDefault="00C2569D" w:rsidP="00C2569D">
      <w:pPr>
        <w:spacing w:before="120" w:after="0" w:line="240" w:lineRule="auto"/>
        <w:rPr>
          <w:rFonts w:eastAsia="Times New Roman" w:cstheme="minorHAnsi"/>
          <w:lang w:eastAsia="en-GB"/>
        </w:rPr>
      </w:pPr>
      <w:r w:rsidRPr="00A97E39">
        <w:rPr>
          <w:rFonts w:eastAsia="Times New Roman" w:cstheme="minorHAnsi"/>
          <w:lang w:eastAsia="en-GB"/>
        </w:rPr>
        <w:t>Le procedure di affidamento rappresentano il passaggio verso l'implementazione dei nuovi sistemi tariffari integrati. Sarà obbligatorio per i concessionari applicare le tariffe regionali previste dal progetto Biglietto Integrato Piemonte (BIP), garantendo l'interoperabilità dei titoli di viaggio e la tariffazione a consumo.</w:t>
      </w:r>
    </w:p>
    <w:p w14:paraId="495ABD11" w14:textId="77777777" w:rsidR="00C2569D" w:rsidRDefault="00C2569D" w:rsidP="00C2569D">
      <w:pPr>
        <w:spacing w:before="120" w:after="0" w:line="240" w:lineRule="auto"/>
        <w:rPr>
          <w:rFonts w:eastAsia="Times New Roman" w:cstheme="minorHAnsi"/>
          <w:lang w:eastAsia="en-GB"/>
        </w:rPr>
      </w:pPr>
      <w:r>
        <w:rPr>
          <w:rFonts w:eastAsia="Times New Roman" w:cstheme="minorHAnsi"/>
          <w:lang w:eastAsia="en-GB"/>
        </w:rPr>
        <w:t>Il</w:t>
      </w:r>
      <w:r w:rsidRPr="00A97E39">
        <w:rPr>
          <w:rFonts w:eastAsia="Times New Roman" w:cstheme="minorHAnsi"/>
          <w:lang w:eastAsia="en-GB"/>
        </w:rPr>
        <w:t xml:space="preserve"> progetto</w:t>
      </w:r>
      <w:r>
        <w:rPr>
          <w:rFonts w:eastAsia="Times New Roman" w:cstheme="minorHAnsi"/>
          <w:lang w:eastAsia="en-GB"/>
        </w:rPr>
        <w:t xml:space="preserve"> </w:t>
      </w:r>
      <w:r w:rsidRPr="00A97E39">
        <w:rPr>
          <w:rFonts w:eastAsia="Times New Roman" w:cstheme="minorHAnsi"/>
          <w:lang w:eastAsia="en-GB"/>
        </w:rPr>
        <w:t>Biglietto Integrato Piemonte (BIP)</w:t>
      </w:r>
      <w:r>
        <w:rPr>
          <w:rFonts w:eastAsia="Times New Roman" w:cstheme="minorHAnsi"/>
          <w:lang w:eastAsia="en-GB"/>
        </w:rPr>
        <w:t xml:space="preserve"> </w:t>
      </w:r>
      <w:r w:rsidRPr="00A97E39">
        <w:rPr>
          <w:rFonts w:eastAsia="Times New Roman" w:cstheme="minorHAnsi"/>
          <w:lang w:eastAsia="en-GB"/>
        </w:rPr>
        <w:t>ha l'obiettivo di rendere il sistema di trasporto pubblico locale (TPL) in Piemonte più efficiente e integrato. La</w:t>
      </w:r>
      <w:r>
        <w:rPr>
          <w:rFonts w:eastAsia="Times New Roman" w:cstheme="minorHAnsi"/>
          <w:lang w:eastAsia="en-GB"/>
        </w:rPr>
        <w:t xml:space="preserve"> </w:t>
      </w:r>
      <w:r w:rsidRPr="00A97E39">
        <w:rPr>
          <w:rFonts w:eastAsia="Times New Roman" w:cstheme="minorHAnsi"/>
          <w:lang w:eastAsia="en-GB"/>
        </w:rPr>
        <w:t>Deliberazione della Giunta Regionale n. 52-6344 del 22 dicembre 2022</w:t>
      </w:r>
      <w:r>
        <w:rPr>
          <w:rFonts w:eastAsia="Times New Roman" w:cstheme="minorHAnsi"/>
          <w:lang w:eastAsia="en-GB"/>
        </w:rPr>
        <w:t xml:space="preserve"> </w:t>
      </w:r>
      <w:r w:rsidRPr="00A97E39">
        <w:rPr>
          <w:rFonts w:eastAsia="Times New Roman" w:cstheme="minorHAnsi"/>
          <w:lang w:eastAsia="en-GB"/>
        </w:rPr>
        <w:t>stabilisce che i concessionari devono adottare il sistema di bigliettazione regionale BIP e applicare la tariffa</w:t>
      </w:r>
      <w:r>
        <w:rPr>
          <w:rFonts w:eastAsia="Times New Roman" w:cstheme="minorHAnsi"/>
          <w:lang w:eastAsia="en-GB"/>
        </w:rPr>
        <w:t xml:space="preserve"> </w:t>
      </w:r>
      <w:r w:rsidRPr="00A97E39">
        <w:rPr>
          <w:rFonts w:eastAsia="Times New Roman" w:cstheme="minorHAnsi"/>
          <w:lang w:eastAsia="en-GB"/>
        </w:rPr>
        <w:t>pay-per-use</w:t>
      </w:r>
      <w:r>
        <w:rPr>
          <w:rFonts w:eastAsia="Times New Roman" w:cstheme="minorHAnsi"/>
          <w:lang w:eastAsia="en-GB"/>
        </w:rPr>
        <w:t xml:space="preserve"> </w:t>
      </w:r>
      <w:r w:rsidRPr="00A97E39">
        <w:rPr>
          <w:rFonts w:eastAsia="Times New Roman" w:cstheme="minorHAnsi"/>
          <w:lang w:eastAsia="en-GB"/>
        </w:rPr>
        <w:t>a livello regionale.</w:t>
      </w:r>
    </w:p>
    <w:p w14:paraId="3914238C" w14:textId="77777777" w:rsidR="00C2569D" w:rsidRPr="00A97E39" w:rsidRDefault="00C2569D" w:rsidP="00C2569D">
      <w:pPr>
        <w:spacing w:before="120" w:after="0" w:line="240" w:lineRule="auto"/>
        <w:rPr>
          <w:rFonts w:eastAsia="Times New Roman" w:cstheme="minorHAnsi"/>
          <w:lang w:eastAsia="en-GB"/>
        </w:rPr>
      </w:pPr>
      <w:r w:rsidRPr="00A97E39">
        <w:rPr>
          <w:rFonts w:eastAsia="Times New Roman" w:cstheme="minorHAnsi"/>
          <w:lang w:eastAsia="en-GB"/>
        </w:rPr>
        <w:t>Gli obiettivi principali includono:</w:t>
      </w:r>
    </w:p>
    <w:p w14:paraId="54A47AB0" w14:textId="77777777" w:rsidR="00C2569D" w:rsidRPr="00A97E39" w:rsidRDefault="00C2569D" w:rsidP="00C2569D">
      <w:pPr>
        <w:pStyle w:val="Paragrafoelenco"/>
        <w:numPr>
          <w:ilvl w:val="0"/>
          <w:numId w:val="61"/>
        </w:numPr>
        <w:spacing w:before="120" w:after="0" w:line="240" w:lineRule="auto"/>
        <w:contextualSpacing w:val="0"/>
      </w:pPr>
      <w:r w:rsidRPr="00A97E39">
        <w:t>Applicazione della tariffa pay-per-use per tutti i servizi di TPL.</w:t>
      </w:r>
    </w:p>
    <w:p w14:paraId="4503A10E" w14:textId="77777777" w:rsidR="00C2569D" w:rsidRPr="00A97E39" w:rsidRDefault="00C2569D" w:rsidP="00C2569D">
      <w:pPr>
        <w:pStyle w:val="Paragrafoelenco"/>
        <w:numPr>
          <w:ilvl w:val="0"/>
          <w:numId w:val="61"/>
        </w:numPr>
        <w:spacing w:before="120" w:after="0" w:line="240" w:lineRule="auto"/>
        <w:contextualSpacing w:val="0"/>
      </w:pPr>
      <w:r w:rsidRPr="00A97E39">
        <w:t>Adesione alle iniziative degli operatori MaaS (Mobility as a Service), che rappresentano ulteriori canali di vendita.</w:t>
      </w:r>
    </w:p>
    <w:p w14:paraId="37467E3D" w14:textId="77777777" w:rsidR="00C2569D" w:rsidRPr="00A97E39" w:rsidRDefault="00C2569D" w:rsidP="00C2569D">
      <w:pPr>
        <w:pStyle w:val="Paragrafoelenco"/>
        <w:numPr>
          <w:ilvl w:val="0"/>
          <w:numId w:val="61"/>
        </w:numPr>
        <w:spacing w:before="120" w:after="0" w:line="240" w:lineRule="auto"/>
        <w:contextualSpacing w:val="0"/>
      </w:pPr>
      <w:r w:rsidRPr="00A97E39">
        <w:t>Piattaforma di e-commerce per la vendita dei titoli di viaggio.</w:t>
      </w:r>
    </w:p>
    <w:p w14:paraId="2665B012" w14:textId="77777777" w:rsidR="00C2569D" w:rsidRPr="00A97E39" w:rsidRDefault="00C2569D" w:rsidP="00C2569D">
      <w:pPr>
        <w:pStyle w:val="Paragrafoelenco"/>
        <w:numPr>
          <w:ilvl w:val="0"/>
          <w:numId w:val="61"/>
        </w:numPr>
        <w:spacing w:before="120" w:after="0" w:line="240" w:lineRule="auto"/>
        <w:contextualSpacing w:val="0"/>
      </w:pPr>
      <w:r w:rsidRPr="00A97E39">
        <w:t>Utilizzo dell'applicazione digitale regionale SmartBip quando sarà disponibile.</w:t>
      </w:r>
    </w:p>
    <w:p w14:paraId="26206813" w14:textId="77777777" w:rsidR="00C2569D" w:rsidRPr="00A97E39" w:rsidRDefault="00C2569D" w:rsidP="00C2569D">
      <w:pPr>
        <w:pStyle w:val="Paragrafoelenco"/>
        <w:numPr>
          <w:ilvl w:val="0"/>
          <w:numId w:val="61"/>
        </w:numPr>
        <w:spacing w:before="120" w:after="0" w:line="240" w:lineRule="auto"/>
        <w:contextualSpacing w:val="0"/>
      </w:pPr>
      <w:r w:rsidRPr="00A97E39">
        <w:t>Partecipazione a un consorzio per la gestione, clearing e vendita delle tariffe regionali.</w:t>
      </w:r>
    </w:p>
    <w:p w14:paraId="444569F5" w14:textId="77777777" w:rsidR="00C2569D" w:rsidRPr="00A97E39" w:rsidRDefault="00C2569D" w:rsidP="00C2569D">
      <w:pPr>
        <w:spacing w:before="120" w:after="0" w:line="240" w:lineRule="auto"/>
        <w:rPr>
          <w:rFonts w:eastAsia="Times New Roman" w:cstheme="minorHAnsi"/>
          <w:lang w:eastAsia="en-GB"/>
        </w:rPr>
      </w:pPr>
      <w:r w:rsidRPr="00A97E39">
        <w:rPr>
          <w:rFonts w:eastAsia="Times New Roman" w:cstheme="minorHAnsi"/>
          <w:lang w:eastAsia="en-GB"/>
        </w:rPr>
        <w:t>La Comunità MaaS della Regione Piemonte si basa su principi fondamentali come:</w:t>
      </w:r>
    </w:p>
    <w:p w14:paraId="35FEB9AA" w14:textId="77777777" w:rsidR="00C2569D" w:rsidRPr="00A97E39" w:rsidRDefault="00C2569D" w:rsidP="00C2569D">
      <w:pPr>
        <w:pStyle w:val="Paragrafoelenco"/>
        <w:numPr>
          <w:ilvl w:val="0"/>
          <w:numId w:val="62"/>
        </w:numPr>
        <w:spacing w:before="120" w:after="0" w:line="240" w:lineRule="auto"/>
        <w:contextualSpacing w:val="0"/>
      </w:pPr>
      <w:r w:rsidRPr="00A97E39">
        <w:t>Utente al centro: garantire libertà e comodità di utilizzo di tutti i</w:t>
      </w:r>
      <w:r>
        <w:t xml:space="preserve"> modi di trasporto disponibili</w:t>
      </w:r>
      <w:r w:rsidRPr="00A97E39">
        <w:t>.</w:t>
      </w:r>
    </w:p>
    <w:p w14:paraId="08258A8C" w14:textId="77777777" w:rsidR="00C2569D" w:rsidRPr="00A97E39" w:rsidRDefault="00C2569D" w:rsidP="00C2569D">
      <w:pPr>
        <w:pStyle w:val="Paragrafoelenco"/>
        <w:numPr>
          <w:ilvl w:val="0"/>
          <w:numId w:val="62"/>
        </w:numPr>
        <w:spacing w:before="120" w:after="0" w:line="240" w:lineRule="auto"/>
        <w:contextualSpacing w:val="0"/>
      </w:pPr>
      <w:r w:rsidRPr="00A97E39">
        <w:t>Obiettivi sociali: promuovere la sostenibilità del sistema trasporti e l'acces</w:t>
      </w:r>
      <w:r>
        <w:t>sibilità per tutti i cittadini</w:t>
      </w:r>
      <w:r w:rsidRPr="00A97E39">
        <w:t>.</w:t>
      </w:r>
    </w:p>
    <w:p w14:paraId="2340E3E5" w14:textId="77777777" w:rsidR="00C2569D" w:rsidRPr="00A97E39" w:rsidRDefault="00C2569D" w:rsidP="00C2569D">
      <w:pPr>
        <w:pStyle w:val="Paragrafoelenco"/>
        <w:numPr>
          <w:ilvl w:val="0"/>
          <w:numId w:val="62"/>
        </w:numPr>
        <w:spacing w:before="120" w:after="0" w:line="240" w:lineRule="auto"/>
        <w:contextualSpacing w:val="0"/>
      </w:pPr>
      <w:r w:rsidRPr="00A97E39">
        <w:t>Equità: equilibrio tra diritti e doveri dei partecipanti, accesso aperto, trasparenza, no</w:t>
      </w:r>
      <w:r>
        <w:t>n discriminazione e neutralità</w:t>
      </w:r>
      <w:r w:rsidRPr="00A97E39">
        <w:t>.</w:t>
      </w:r>
    </w:p>
    <w:p w14:paraId="0B73832A" w14:textId="77777777" w:rsidR="00C2569D" w:rsidRPr="00A97E39" w:rsidRDefault="00C2569D" w:rsidP="00C2569D">
      <w:pPr>
        <w:pStyle w:val="Paragrafoelenco"/>
        <w:numPr>
          <w:ilvl w:val="0"/>
          <w:numId w:val="62"/>
        </w:numPr>
        <w:spacing w:before="120" w:after="0" w:line="240" w:lineRule="auto"/>
        <w:contextualSpacing w:val="0"/>
      </w:pPr>
      <w:r w:rsidRPr="00A97E39">
        <w:t>Contendibilità: comunità competitiva e non monopolistica, con conc</w:t>
      </w:r>
      <w:r>
        <w:t>orrenza regolata tra operatori</w:t>
      </w:r>
      <w:r w:rsidRPr="00A97E39">
        <w:t>.</w:t>
      </w:r>
    </w:p>
    <w:p w14:paraId="697B93DC" w14:textId="77777777" w:rsidR="00C2569D" w:rsidRPr="00A97E39" w:rsidRDefault="00C2569D" w:rsidP="00C2569D">
      <w:pPr>
        <w:pStyle w:val="Paragrafoelenco"/>
        <w:numPr>
          <w:ilvl w:val="0"/>
          <w:numId w:val="62"/>
        </w:numPr>
        <w:spacing w:before="120" w:after="0" w:line="240" w:lineRule="auto"/>
        <w:contextualSpacing w:val="0"/>
      </w:pPr>
      <w:r w:rsidRPr="00A97E39">
        <w:t>Condivisione e apertura: condivisione di principi e dati per una proposta integrata dei s</w:t>
      </w:r>
      <w:r>
        <w:t>ervizi di mobilità disponibili</w:t>
      </w:r>
      <w:r w:rsidRPr="00A97E39">
        <w:t>.</w:t>
      </w:r>
    </w:p>
    <w:p w14:paraId="44E44234" w14:textId="77777777" w:rsidR="00C2569D" w:rsidRDefault="00C2569D" w:rsidP="00C2569D">
      <w:pPr>
        <w:spacing w:before="120" w:after="0" w:line="240" w:lineRule="auto"/>
        <w:rPr>
          <w:rFonts w:eastAsia="Times New Roman" w:cstheme="minorHAnsi"/>
          <w:lang w:eastAsia="en-GB"/>
        </w:rPr>
      </w:pPr>
      <w:r w:rsidRPr="00A97E39">
        <w:rPr>
          <w:rFonts w:eastAsia="Times New Roman" w:cstheme="minorHAnsi"/>
          <w:lang w:eastAsia="en-GB"/>
        </w:rPr>
        <w:t>Questi principi mirano a creare un ecosistema di mobilità integrata e sostenibile, migliorando la qualità dei servizi di trasporto pubblico per tutti gli utenti.</w:t>
      </w:r>
    </w:p>
    <w:p w14:paraId="03CC9238" w14:textId="77777777" w:rsidR="00C2569D" w:rsidRDefault="00C2569D" w:rsidP="00C2569D">
      <w:pPr>
        <w:spacing w:before="120" w:after="0" w:line="240" w:lineRule="auto"/>
      </w:pPr>
      <w:r>
        <w:t>Per raggiungere questi obiettivi, sarà indispensabile che le aziende siano completamente digitalizzate. Questo significa che dovranno dotarsi di adeguati sistemi gestionali per monitorare tutte le attività aziendali, adottare tecnologie avanzate per la gestione dei biglietti elettronici, garantire la compatibilità con le piattaforme MaaS (Mobility as a Service).</w:t>
      </w:r>
    </w:p>
    <w:p w14:paraId="55938DBE" w14:textId="77777777" w:rsidR="00162229" w:rsidRDefault="00C2569D" w:rsidP="00C2569D">
      <w:pPr>
        <w:pStyle w:val="NormaleWeb"/>
        <w:spacing w:before="120" w:after="0" w:line="240" w:lineRule="auto"/>
        <w:rPr>
          <w:rFonts w:asciiTheme="minorHAnsi" w:hAnsiTheme="minorHAnsi" w:cstheme="minorHAnsi"/>
        </w:rPr>
        <w:sectPr w:rsidR="00162229" w:rsidSect="0031622C">
          <w:footerReference w:type="default" r:id="rId81"/>
          <w:pgSz w:w="11906" w:h="16838"/>
          <w:pgMar w:top="1418" w:right="1418" w:bottom="1418" w:left="1418" w:header="709" w:footer="709" w:gutter="0"/>
          <w:pgBorders w:offsetFrom="page">
            <w:right w:val="single" w:sz="48" w:space="24" w:color="A5C34C" w:themeColor="accent6" w:themeShade="BF"/>
          </w:pgBorders>
          <w:cols w:space="708"/>
          <w:docGrid w:linePitch="360"/>
        </w:sectPr>
      </w:pPr>
      <w:r w:rsidRPr="00C2569D">
        <w:rPr>
          <w:rFonts w:asciiTheme="minorHAnsi" w:hAnsiTheme="minorHAnsi" w:cstheme="minorHAnsi"/>
        </w:rPr>
        <w:lastRenderedPageBreak/>
        <w:t>La digitalizzazione completa delle aziende consentirà una gestione più efficiente e trasparente dei dati, migliorando l'esperienza degli utenti e promuovendo un sistema di trasporto pubblico più sostenibile e accessibile.</w:t>
      </w:r>
    </w:p>
    <w:p w14:paraId="5B8E327B" w14:textId="77777777" w:rsidR="00162229" w:rsidRPr="00AD01C5" w:rsidRDefault="00162229" w:rsidP="00162229">
      <w:pPr>
        <w:pStyle w:val="Titolo1"/>
        <w:ind w:left="426"/>
      </w:pPr>
      <w:bookmarkStart w:id="351" w:name="_Toc204328758"/>
      <w:bookmarkStart w:id="352" w:name="_Ref190356569"/>
      <w:bookmarkStart w:id="353" w:name="_Toc193195790"/>
      <w:bookmarkStart w:id="354" w:name="_Toc2030144843"/>
      <w:bookmarkStart w:id="355" w:name="_Toc197695718"/>
      <w:bookmarkStart w:id="356" w:name="_Toc204616527"/>
      <w:bookmarkStart w:id="357" w:name="_Toc205213758"/>
      <w:r>
        <w:lastRenderedPageBreak/>
        <w:t>I</w:t>
      </w:r>
      <w:r w:rsidRPr="00AD01C5">
        <w:t>dentificazione dei lotti</w:t>
      </w:r>
      <w:bookmarkEnd w:id="351"/>
      <w:bookmarkEnd w:id="357"/>
    </w:p>
    <w:p w14:paraId="793374D8"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Ai fini dello svolgimento delle procedure di gara, la suddivisione del bacino di mobilità in lotti di servizio è espressamente prevista dall’art. 48 comma 4 del DL 50/2017 che recita</w:t>
      </w:r>
    </w:p>
    <w:p w14:paraId="46166C58" w14:textId="77777777" w:rsidR="00162229" w:rsidRPr="00AD01C5" w:rsidRDefault="00162229" w:rsidP="00162229">
      <w:pPr>
        <w:pBdr>
          <w:top w:val="single" w:sz="8" w:space="8" w:color="50B4C8"/>
          <w:bottom w:val="single" w:sz="8" w:space="8" w:color="50B4C8"/>
        </w:pBdr>
        <w:spacing w:before="120"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 xml:space="preserve">“… </w:t>
      </w:r>
      <w:r w:rsidRPr="00AD01C5">
        <w:rPr>
          <w:rFonts w:ascii="Calibri" w:eastAsia="Times New Roman" w:hAnsi="Calibri" w:cs="Calibri"/>
          <w:i/>
          <w:color w:val="50B4C8"/>
          <w:szCs w:val="20"/>
          <w:shd w:val="clear" w:color="auto" w:fill="FFFFFF"/>
        </w:rPr>
        <w:t>gli enti affidanti, con l'obiettivo di promuovere la più ampia partecipazione alle medesime, articolano i bacini di mobilità in più lotti, oggetto di procedure di gara e di contratti di servizio, tenuto conto delle caratteristiche della domanda e salvo eccezioni motivate da economie di scala proprie di ciascuna modalità e da altre ragioni di efficienza economica</w:t>
      </w:r>
      <w:r w:rsidRPr="00AD01C5">
        <w:rPr>
          <w:rFonts w:ascii="Calibri" w:eastAsia="Times New Roman" w:hAnsi="Calibri" w:cs="Calibri"/>
          <w:color w:val="50B4C8"/>
          <w:szCs w:val="20"/>
          <w:shd w:val="clear" w:color="auto" w:fill="FFFFFF"/>
        </w:rPr>
        <w:t xml:space="preserve"> ... </w:t>
      </w:r>
      <w:r w:rsidRPr="00AD01C5">
        <w:rPr>
          <w:rFonts w:ascii="Calibri" w:eastAsia="Times New Roman" w:hAnsi="Calibri" w:cs="Calibri"/>
          <w:i/>
          <w:color w:val="50B4C8"/>
          <w:szCs w:val="20"/>
          <w:shd w:val="clear" w:color="auto" w:fill="FFFFFF"/>
        </w:rPr>
        <w:t>Tali eccezioni sono disciplinate con delibera dell'Autorità di regolazione dei trasporti,</w:t>
      </w:r>
      <w:r w:rsidRPr="00AD01C5">
        <w:rPr>
          <w:rFonts w:ascii="Calibri" w:eastAsia="Times New Roman" w:hAnsi="Calibri" w:cs="Calibri"/>
          <w:color w:val="50B4C8"/>
          <w:szCs w:val="20"/>
          <w:shd w:val="clear" w:color="auto" w:fill="FFFFFF"/>
        </w:rPr>
        <w:t xml:space="preserve"> …” </w:t>
      </w:r>
    </w:p>
    <w:p w14:paraId="654738C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Nell’intento di perseguire gli indirizzi della delibera ART 48/2017, avente ad oggetto “</w:t>
      </w:r>
      <w:r w:rsidRPr="00AD01C5">
        <w:rPr>
          <w:rFonts w:ascii="Calibri" w:eastAsia="Calibri" w:hAnsi="Calibri" w:cs="Arial"/>
          <w:i/>
        </w:rPr>
        <w:t>Atto di regolazione recante la definizione della metodologia per l'individuazione degli ambiti di servizio pubblico e delle modalità più efficienti di finanziamento, ai sensi dell'articolo 37, comma 3, lettera a), del decreto-legge n. 1/2012</w:t>
      </w:r>
      <w:r w:rsidRPr="00AD01C5">
        <w:rPr>
          <w:rFonts w:ascii="Calibri" w:eastAsia="Calibri" w:hAnsi="Calibri" w:cs="Arial"/>
        </w:rPr>
        <w:t>”, sono state utilizzate le seguenti metodologie di analisi per l’individuazione dei lotti all’interno del bacino:</w:t>
      </w:r>
    </w:p>
    <w:p w14:paraId="7859BE5F" w14:textId="73B155B5" w:rsidR="00162229" w:rsidRPr="00AD01C5" w:rsidRDefault="00162229" w:rsidP="00162229">
      <w:pPr>
        <w:numPr>
          <w:ilvl w:val="0"/>
          <w:numId w:val="75"/>
        </w:numPr>
        <w:spacing w:before="120" w:after="0" w:line="240" w:lineRule="auto"/>
        <w:rPr>
          <w:rFonts w:ascii="Calibri" w:eastAsia="Calibri" w:hAnsi="Calibri" w:cs="Arial"/>
        </w:rPr>
      </w:pPr>
      <w:r w:rsidRPr="00AD01C5">
        <w:rPr>
          <w:rFonts w:ascii="Calibri" w:eastAsia="Calibri" w:hAnsi="Calibri" w:cs="Arial"/>
        </w:rPr>
        <w:t>ottimizzazione del servizio in gruppi di linee attraverso un applicativo di assegnazione; si è cercato di selezionare localizzazioni ottimali di depositi e di assegnare ogni singola linea ad un singolo deposito, favorendo l’individuazione dei beni strumentali necessari e sufficienti per la gestione del servizio (paragrafo</w:t>
      </w:r>
      <w:r w:rsidR="00B930AE">
        <w:rPr>
          <w:rFonts w:ascii="Calibri" w:eastAsia="Calibri" w:hAnsi="Calibri" w:cs="Arial"/>
        </w:rPr>
        <w:t xml:space="preserve"> </w:t>
      </w:r>
      <w:r w:rsidR="00B930AE">
        <w:rPr>
          <w:rFonts w:ascii="Calibri" w:eastAsia="Calibri" w:hAnsi="Calibri" w:cs="Arial"/>
        </w:rPr>
        <w:fldChar w:fldCharType="begin"/>
      </w:r>
      <w:r w:rsidR="00B930AE">
        <w:rPr>
          <w:rFonts w:ascii="Calibri" w:eastAsia="Calibri" w:hAnsi="Calibri" w:cs="Arial"/>
        </w:rPr>
        <w:instrText xml:space="preserve"> REF _Ref205205681 \r \h </w:instrText>
      </w:r>
      <w:r w:rsidR="00B930AE">
        <w:rPr>
          <w:rFonts w:ascii="Calibri" w:eastAsia="Calibri" w:hAnsi="Calibri" w:cs="Arial"/>
        </w:rPr>
      </w:r>
      <w:r w:rsidR="00B930AE">
        <w:rPr>
          <w:rFonts w:ascii="Calibri" w:eastAsia="Calibri" w:hAnsi="Calibri" w:cs="Arial"/>
        </w:rPr>
        <w:fldChar w:fldCharType="separate"/>
      </w:r>
      <w:r w:rsidR="00670903">
        <w:rPr>
          <w:rFonts w:ascii="Calibri" w:eastAsia="Calibri" w:hAnsi="Calibri" w:cs="Arial"/>
        </w:rPr>
        <w:t>7.1</w:t>
      </w:r>
      <w:r w:rsidR="00B930AE">
        <w:rPr>
          <w:rFonts w:ascii="Calibri" w:eastAsia="Calibri" w:hAnsi="Calibri" w:cs="Arial"/>
        </w:rPr>
        <w:fldChar w:fldCharType="end"/>
      </w:r>
      <w:r w:rsidRPr="00AD01C5">
        <w:rPr>
          <w:rFonts w:ascii="Calibri" w:eastAsia="Calibri" w:hAnsi="Calibri" w:cs="Arial"/>
        </w:rPr>
        <w:t>);</w:t>
      </w:r>
    </w:p>
    <w:p w14:paraId="25E9366D" w14:textId="160BBA6A" w:rsidR="00162229" w:rsidRPr="00AD01C5" w:rsidRDefault="00162229" w:rsidP="00162229">
      <w:pPr>
        <w:numPr>
          <w:ilvl w:val="0"/>
          <w:numId w:val="75"/>
        </w:numPr>
        <w:spacing w:before="120" w:after="0" w:line="240" w:lineRule="auto"/>
        <w:rPr>
          <w:rFonts w:ascii="Calibri" w:eastAsia="Calibri" w:hAnsi="Calibri" w:cs="Arial"/>
        </w:rPr>
      </w:pPr>
      <w:r w:rsidRPr="00AD01C5">
        <w:rPr>
          <w:rFonts w:ascii="Calibri" w:eastAsia="Calibri" w:hAnsi="Calibri" w:cs="Arial"/>
        </w:rPr>
        <w:t>individuazione di unità di rete basate su linee territorialmente contigue aggregate sulla base del criterio di ottimo previsto dal DM 157/2018 (paragrafo</w:t>
      </w:r>
      <w:r w:rsidRPr="00082EE7">
        <w:rPr>
          <w:rFonts w:ascii="Calibri" w:eastAsia="Calibri" w:hAnsi="Calibri" w:cs="Arial"/>
        </w:rPr>
        <w:t xml:space="preserve"> </w:t>
      </w:r>
      <w:r w:rsidRPr="00082EE7">
        <w:rPr>
          <w:rFonts w:ascii="Calibri" w:eastAsia="Calibri" w:hAnsi="Calibri" w:cs="Arial"/>
        </w:rPr>
        <w:fldChar w:fldCharType="begin"/>
      </w:r>
      <w:r w:rsidRPr="00082EE7">
        <w:rPr>
          <w:rFonts w:ascii="Calibri" w:eastAsia="Calibri" w:hAnsi="Calibri" w:cs="Arial"/>
        </w:rPr>
        <w:instrText xml:space="preserve"> REF _Ref204090195 \r \h </w:instrText>
      </w:r>
      <w:r>
        <w:rPr>
          <w:rFonts w:ascii="Calibri" w:eastAsia="Calibri" w:hAnsi="Calibri" w:cs="Arial"/>
        </w:rPr>
        <w:instrText xml:space="preserve"> \* MERGEFORMAT </w:instrText>
      </w:r>
      <w:r w:rsidRPr="00082EE7">
        <w:rPr>
          <w:rFonts w:ascii="Calibri" w:eastAsia="Calibri" w:hAnsi="Calibri" w:cs="Arial"/>
        </w:rPr>
      </w:r>
      <w:r w:rsidRPr="00082EE7">
        <w:rPr>
          <w:rFonts w:ascii="Calibri" w:eastAsia="Calibri" w:hAnsi="Calibri" w:cs="Arial"/>
        </w:rPr>
        <w:fldChar w:fldCharType="separate"/>
      </w:r>
      <w:r w:rsidR="00670903">
        <w:rPr>
          <w:rFonts w:ascii="Calibri" w:eastAsia="Calibri" w:hAnsi="Calibri" w:cs="Arial"/>
        </w:rPr>
        <w:t>7.2</w:t>
      </w:r>
      <w:r w:rsidRPr="00082EE7">
        <w:rPr>
          <w:rFonts w:ascii="Calibri" w:eastAsia="Calibri" w:hAnsi="Calibri" w:cs="Arial"/>
        </w:rPr>
        <w:fldChar w:fldCharType="end"/>
      </w:r>
      <w:r w:rsidRPr="00AD01C5">
        <w:rPr>
          <w:rFonts w:ascii="Calibri" w:eastAsia="Calibri" w:hAnsi="Calibri" w:cs="Arial"/>
        </w:rPr>
        <w:t>);</w:t>
      </w:r>
    </w:p>
    <w:p w14:paraId="7ED9CD6F" w14:textId="61698F65" w:rsidR="00162229" w:rsidRPr="00AD01C5" w:rsidRDefault="00162229" w:rsidP="00162229">
      <w:pPr>
        <w:numPr>
          <w:ilvl w:val="0"/>
          <w:numId w:val="75"/>
        </w:numPr>
        <w:spacing w:before="120" w:after="0" w:line="240" w:lineRule="auto"/>
        <w:rPr>
          <w:rFonts w:ascii="Calibri" w:eastAsia="Calibri" w:hAnsi="Calibri" w:cs="Arial"/>
        </w:rPr>
      </w:pPr>
      <w:r w:rsidRPr="00AD01C5">
        <w:rPr>
          <w:rFonts w:ascii="Calibri" w:eastAsia="Calibri" w:hAnsi="Calibri" w:cs="Arial"/>
        </w:rPr>
        <w:t>valutazione della possibilità di aggregazione delle unità di rete in lotti</w:t>
      </w:r>
      <w:r w:rsidRPr="00082EE7">
        <w:rPr>
          <w:rFonts w:ascii="Calibri" w:eastAsia="Calibri" w:hAnsi="Calibri" w:cs="Arial"/>
        </w:rPr>
        <w:t xml:space="preserve"> (paragrafo </w:t>
      </w:r>
      <w:r w:rsidRPr="00082EE7">
        <w:rPr>
          <w:rFonts w:ascii="Calibri" w:eastAsia="Calibri" w:hAnsi="Calibri" w:cs="Arial"/>
        </w:rPr>
        <w:fldChar w:fldCharType="begin"/>
      </w:r>
      <w:r w:rsidRPr="00082EE7">
        <w:rPr>
          <w:rFonts w:ascii="Calibri" w:eastAsia="Calibri" w:hAnsi="Calibri" w:cs="Arial"/>
        </w:rPr>
        <w:instrText xml:space="preserve"> REF _Ref204090267 \r \h </w:instrText>
      </w:r>
      <w:r>
        <w:rPr>
          <w:rFonts w:ascii="Calibri" w:eastAsia="Calibri" w:hAnsi="Calibri" w:cs="Arial"/>
        </w:rPr>
        <w:instrText xml:space="preserve"> \* MERGEFORMAT </w:instrText>
      </w:r>
      <w:r w:rsidRPr="00082EE7">
        <w:rPr>
          <w:rFonts w:ascii="Calibri" w:eastAsia="Calibri" w:hAnsi="Calibri" w:cs="Arial"/>
        </w:rPr>
      </w:r>
      <w:r w:rsidRPr="00082EE7">
        <w:rPr>
          <w:rFonts w:ascii="Calibri" w:eastAsia="Calibri" w:hAnsi="Calibri" w:cs="Arial"/>
        </w:rPr>
        <w:fldChar w:fldCharType="separate"/>
      </w:r>
      <w:r w:rsidR="00670903">
        <w:rPr>
          <w:rFonts w:ascii="Calibri" w:eastAsia="Calibri" w:hAnsi="Calibri" w:cs="Arial"/>
        </w:rPr>
        <w:t>7.4.1</w:t>
      </w:r>
      <w:r w:rsidRPr="00082EE7">
        <w:rPr>
          <w:rFonts w:ascii="Calibri" w:eastAsia="Calibri" w:hAnsi="Calibri" w:cs="Arial"/>
        </w:rPr>
        <w:fldChar w:fldCharType="end"/>
      </w:r>
      <w:r w:rsidRPr="00AD01C5">
        <w:rPr>
          <w:rFonts w:ascii="Calibri" w:eastAsia="Calibri" w:hAnsi="Calibri" w:cs="Arial"/>
        </w:rPr>
        <w:t>, questa valutazione è stata basata sulla congruità dell’analisi di auto-contenimento della domanda, utilizzando i dati dell’IMQ 2022 già descritti nel paragrafo</w:t>
      </w:r>
      <w:r w:rsidRPr="00082EE7">
        <w:rPr>
          <w:rFonts w:ascii="Calibri" w:eastAsia="Calibri" w:hAnsi="Calibri" w:cs="Arial"/>
        </w:rPr>
        <w:t xml:space="preserve"> </w:t>
      </w:r>
      <w:r w:rsidRPr="00082EE7">
        <w:rPr>
          <w:rFonts w:ascii="Calibri" w:eastAsia="Calibri" w:hAnsi="Calibri" w:cs="Arial"/>
        </w:rPr>
        <w:fldChar w:fldCharType="begin"/>
      </w:r>
      <w:r w:rsidRPr="00082EE7">
        <w:rPr>
          <w:rFonts w:ascii="Calibri" w:eastAsia="Calibri" w:hAnsi="Calibri" w:cs="Arial"/>
        </w:rPr>
        <w:instrText xml:space="preserve"> REF _Ref204090096 \r \h </w:instrText>
      </w:r>
      <w:r>
        <w:rPr>
          <w:rFonts w:ascii="Calibri" w:eastAsia="Calibri" w:hAnsi="Calibri" w:cs="Arial"/>
        </w:rPr>
        <w:instrText xml:space="preserve"> \* MERGEFORMAT </w:instrText>
      </w:r>
      <w:r w:rsidRPr="00082EE7">
        <w:rPr>
          <w:rFonts w:ascii="Calibri" w:eastAsia="Calibri" w:hAnsi="Calibri" w:cs="Arial"/>
        </w:rPr>
      </w:r>
      <w:r w:rsidRPr="00082EE7">
        <w:rPr>
          <w:rFonts w:ascii="Calibri" w:eastAsia="Calibri" w:hAnsi="Calibri" w:cs="Arial"/>
        </w:rPr>
        <w:fldChar w:fldCharType="separate"/>
      </w:r>
      <w:r w:rsidR="00670903" w:rsidRPr="00670903">
        <w:rPr>
          <w:rFonts w:ascii="Calibri" w:eastAsia="Calibri" w:hAnsi="Calibri" w:cs="Arial"/>
          <w:b/>
          <w:bCs/>
        </w:rPr>
        <w:t>3.3</w:t>
      </w:r>
      <w:r w:rsidRPr="00082EE7">
        <w:rPr>
          <w:rFonts w:ascii="Calibri" w:eastAsia="Calibri" w:hAnsi="Calibri" w:cs="Arial"/>
        </w:rPr>
        <w:fldChar w:fldCharType="end"/>
      </w:r>
      <w:r w:rsidRPr="00AD01C5">
        <w:rPr>
          <w:rFonts w:ascii="Calibri" w:eastAsia="Calibri" w:hAnsi="Calibri" w:cs="Arial"/>
        </w:rPr>
        <w:t>.</w:t>
      </w:r>
    </w:p>
    <w:p w14:paraId="04AB135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Il percorso è stato finalizzato a:</w:t>
      </w:r>
    </w:p>
    <w:p w14:paraId="321289F6" w14:textId="77777777" w:rsidR="00162229" w:rsidRPr="00AD01C5" w:rsidRDefault="00162229" w:rsidP="00162229">
      <w:pPr>
        <w:numPr>
          <w:ilvl w:val="0"/>
          <w:numId w:val="76"/>
        </w:numPr>
        <w:spacing w:before="120" w:after="0" w:line="240" w:lineRule="auto"/>
        <w:rPr>
          <w:rFonts w:ascii="Calibri" w:eastAsia="Calibri" w:hAnsi="Calibri" w:cs="Arial"/>
        </w:rPr>
      </w:pPr>
      <w:r w:rsidRPr="00AD01C5">
        <w:rPr>
          <w:rFonts w:ascii="Calibri" w:eastAsia="Calibri" w:hAnsi="Calibri" w:cs="Arial"/>
        </w:rPr>
        <w:t>Individuare una dimensione minima ottimale con l'obiettivo di garantire efficienza gestionale, economie di scala e densità, oltre a un’adeguata contendibilità. Questo processo è stato dettagliato nel paragrafo 7.3, dove si analizzano i criteri per determinare la dimensione ottimale dei lotti, considerando variabili come la dimensione dei fattori della produzione e la distribuzione geografica;</w:t>
      </w:r>
    </w:p>
    <w:p w14:paraId="0C437E88" w14:textId="0F1B90EE" w:rsidR="00162229" w:rsidRPr="00AD01C5" w:rsidRDefault="00162229" w:rsidP="00162229">
      <w:pPr>
        <w:numPr>
          <w:ilvl w:val="0"/>
          <w:numId w:val="76"/>
        </w:numPr>
        <w:spacing w:before="120" w:after="0" w:line="240" w:lineRule="auto"/>
        <w:rPr>
          <w:rFonts w:ascii="Calibri" w:eastAsia="Calibri" w:hAnsi="Calibri" w:cs="Arial"/>
        </w:rPr>
      </w:pPr>
      <w:r w:rsidRPr="00AD01C5">
        <w:rPr>
          <w:rFonts w:ascii="Calibri" w:eastAsia="Calibri" w:hAnsi="Calibri" w:cs="Arial"/>
        </w:rPr>
        <w:t xml:space="preserve">garantire la congruenza con le manifestazioni di interesse acquisite, cercando di assicurare che le dimensioni e la configurazione dei lotti siano in linea con le manifestazioni di interesse raccolte sia attraverso il sistema di qualificazione dell’Agenzia, sia tramite le consultazioni dedicate agli operatori economici del Trasporto Pubblico Locale (TPL). Il paragrafo </w:t>
      </w:r>
      <w:r w:rsidRPr="00AD01C5">
        <w:rPr>
          <w:rFonts w:ascii="Calibri" w:eastAsia="Calibri" w:hAnsi="Calibri" w:cs="Arial"/>
        </w:rPr>
        <w:fldChar w:fldCharType="begin"/>
      </w:r>
      <w:r w:rsidRPr="00AD01C5">
        <w:rPr>
          <w:rFonts w:ascii="Calibri" w:eastAsia="Calibri" w:hAnsi="Calibri" w:cs="Arial"/>
        </w:rPr>
        <w:instrText xml:space="preserve"> REF _Ref192579067 \r \h </w:instrText>
      </w:r>
      <w:r w:rsidRPr="00AD01C5">
        <w:rPr>
          <w:rFonts w:ascii="Calibri" w:eastAsia="Calibri" w:hAnsi="Calibri" w:cs="Arial"/>
        </w:rPr>
      </w:r>
      <w:r w:rsidRPr="00AD01C5">
        <w:rPr>
          <w:rFonts w:ascii="Calibri" w:eastAsia="Calibri" w:hAnsi="Calibri" w:cs="Arial"/>
        </w:rPr>
        <w:fldChar w:fldCharType="separate"/>
      </w:r>
      <w:r w:rsidR="00670903">
        <w:rPr>
          <w:rFonts w:ascii="Calibri" w:eastAsia="Calibri" w:hAnsi="Calibri" w:cs="Arial"/>
        </w:rPr>
        <w:t>0</w:t>
      </w:r>
      <w:r w:rsidRPr="00AD01C5">
        <w:rPr>
          <w:rFonts w:ascii="Calibri" w:eastAsia="Calibri" w:hAnsi="Calibri" w:cs="Arial"/>
        </w:rPr>
        <w:fldChar w:fldCharType="end"/>
      </w:r>
      <w:r w:rsidRPr="00AD01C5">
        <w:rPr>
          <w:rFonts w:ascii="Calibri" w:eastAsia="Calibri" w:hAnsi="Calibri" w:cs="Arial"/>
        </w:rPr>
        <w:t xml:space="preserve"> raccoglie per raccogliere e analizzare queste manifestazioni di interesse, includendo criteri di valutazione e selezione;</w:t>
      </w:r>
    </w:p>
    <w:p w14:paraId="1459EAEB" w14:textId="77777777" w:rsidR="00162229" w:rsidRPr="00AD01C5" w:rsidRDefault="00162229" w:rsidP="00162229">
      <w:pPr>
        <w:numPr>
          <w:ilvl w:val="0"/>
          <w:numId w:val="76"/>
        </w:numPr>
        <w:spacing w:before="120" w:after="0" w:line="240" w:lineRule="auto"/>
        <w:rPr>
          <w:rFonts w:ascii="Calibri" w:eastAsia="Calibri" w:hAnsi="Calibri" w:cs="Arial"/>
        </w:rPr>
      </w:pPr>
      <w:r w:rsidRPr="00AD01C5">
        <w:rPr>
          <w:rFonts w:ascii="Calibri" w:eastAsia="Calibri" w:hAnsi="Calibri" w:cs="Arial"/>
        </w:rPr>
        <w:t>applicare il costo standard per individuare la soglia ottimale dei costi di produzione, si è applicato il costo standard previsto dal D.M. 157/2018 in coerenza con l’offerta prevista per ciascun lotto. Il paragrafo 7.4 fornisce una descrizione dettagliata della metodologia di calcolo del costo standard, includendo le variabili economiche e operative considerate, nonché le modalità di applicazione per garantire la sostenibilità finanziaria dei lotti.</w:t>
      </w:r>
    </w:p>
    <w:p w14:paraId="58960619"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Inoltre, si è tenuto conto degli esiti delle consultazioni e dei questionari diffusi specificamente sul tema dei lotti. Questi strumenti hanno fornito informazioni preziose sulle esigenze e le aspettative degli </w:t>
      </w:r>
      <w:r w:rsidRPr="00AD01C5">
        <w:rPr>
          <w:rFonts w:ascii="Calibri" w:eastAsia="Calibri" w:hAnsi="Calibri" w:cs="Arial"/>
        </w:rPr>
        <w:lastRenderedPageBreak/>
        <w:t>operatori del settore</w:t>
      </w:r>
      <w:r>
        <w:rPr>
          <w:rFonts w:ascii="Calibri" w:eastAsia="Calibri" w:hAnsi="Calibri" w:cs="Arial"/>
        </w:rPr>
        <w:t xml:space="preserve"> e dei territori</w:t>
      </w:r>
      <w:r w:rsidRPr="00AD01C5">
        <w:rPr>
          <w:rFonts w:ascii="Calibri" w:eastAsia="Calibri" w:hAnsi="Calibri" w:cs="Arial"/>
        </w:rPr>
        <w:t>, permettendo di affinare ulteriormente la configurazione dei lotti. Le indicazioni pervenute dalla Regione Piemonte sono state integrate nel processo decisionale, assicurando che le soluzioni proposte siano in linea con le politiche regionali e le esigenze locali.</w:t>
      </w:r>
    </w:p>
    <w:p w14:paraId="0E74C6ED" w14:textId="77777777" w:rsidR="00162229" w:rsidRPr="00AD01C5" w:rsidRDefault="00162229" w:rsidP="00162229">
      <w:pPr>
        <w:pStyle w:val="Titolo2"/>
        <w:ind w:left="567"/>
      </w:pPr>
      <w:bookmarkStart w:id="358" w:name="_Toc204328759"/>
      <w:bookmarkStart w:id="359" w:name="_Ref205205681"/>
      <w:bookmarkStart w:id="360" w:name="_Toc205213759"/>
      <w:r w:rsidRPr="00AD01C5">
        <w:t>Valutazioni di natura trasportistica per la suddivisione dei lotti</w:t>
      </w:r>
      <w:bookmarkEnd w:id="358"/>
      <w:bookmarkEnd w:id="359"/>
      <w:bookmarkEnd w:id="360"/>
      <w:r w:rsidRPr="00AD01C5">
        <w:t xml:space="preserve"> </w:t>
      </w:r>
    </w:p>
    <w:p w14:paraId="31001D68"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L’attuale organizzazione dei servizi di trasporto pubblico locale (TPL) nel bacino presenta una </w:t>
      </w:r>
      <w:r w:rsidRPr="00454DF4">
        <w:rPr>
          <w:rFonts w:ascii="Calibri" w:eastAsia="Calibri" w:hAnsi="Calibri" w:cs="Arial"/>
        </w:rPr>
        <w:t>significativa frammentazione operativa. Questa è caratterizzata dall'impiego di un numero considerevole di depositi, pari a 31, l’utilizzo di 269 mezzi (MIV)</w:t>
      </w:r>
      <w:r w:rsidRPr="00454DF4">
        <w:rPr>
          <w:rFonts w:ascii="Calibri" w:eastAsia="Calibri" w:hAnsi="Calibri" w:cs="Arial"/>
          <w:vertAlign w:val="superscript"/>
        </w:rPr>
        <w:footnoteReference w:id="38"/>
      </w:r>
      <w:r w:rsidRPr="00454DF4">
        <w:rPr>
          <w:rFonts w:ascii="Calibri" w:eastAsia="Calibri" w:hAnsi="Calibri" w:cs="Arial"/>
        </w:rPr>
        <w:t xml:space="preserve"> e dalla gestione delle linee da parte di 17 imprese</w:t>
      </w:r>
      <w:r w:rsidRPr="00CC0002">
        <w:rPr>
          <w:rFonts w:ascii="Calibri" w:eastAsia="Calibri" w:hAnsi="Calibri" w:cs="Arial"/>
        </w:rPr>
        <w:t xml:space="preserve"> diverse</w:t>
      </w:r>
      <w:r w:rsidRPr="00AD01C5">
        <w:rPr>
          <w:rFonts w:ascii="Calibri" w:eastAsia="Calibri" w:hAnsi="Calibri" w:cs="Arial"/>
        </w:rPr>
        <w:t>. Tale configurazione è il risultato di una stratificazione di eventi che ha influenzato la storia aziendale di ciascuna impresa; ogni azienda ha sviluppato la propria efficienza organizzativa, efficacia ed economicità secondo parametri individuali.</w:t>
      </w:r>
    </w:p>
    <w:p w14:paraId="6C74F82B"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Questa situazione merita un'analisi approfondita sotto due profili principali:</w:t>
      </w:r>
    </w:p>
    <w:p w14:paraId="5E617E35" w14:textId="77777777" w:rsidR="00162229" w:rsidRPr="00AD01C5" w:rsidRDefault="00162229" w:rsidP="00162229">
      <w:pPr>
        <w:numPr>
          <w:ilvl w:val="0"/>
          <w:numId w:val="77"/>
        </w:numPr>
        <w:spacing w:before="120" w:after="0" w:line="240" w:lineRule="auto"/>
        <w:rPr>
          <w:rFonts w:ascii="Calibri" w:eastAsia="Calibri" w:hAnsi="Calibri" w:cs="Arial"/>
        </w:rPr>
      </w:pPr>
      <w:r w:rsidRPr="00AD01C5">
        <w:rPr>
          <w:rFonts w:ascii="Calibri" w:eastAsia="Calibri" w:hAnsi="Calibri" w:cs="Arial"/>
        </w:rPr>
        <w:t>distribuzione delle linee su più depositi: è necessario esaminare come l'elevata distribuzione delle linee su numerosi depositi influisca sull'efficienza operativa complessiva e sugli aspetti organizzativi complessivi;</w:t>
      </w:r>
    </w:p>
    <w:p w14:paraId="5D33A95E" w14:textId="77777777" w:rsidR="00162229" w:rsidRPr="00AD01C5" w:rsidRDefault="00162229" w:rsidP="00162229">
      <w:pPr>
        <w:numPr>
          <w:ilvl w:val="0"/>
          <w:numId w:val="77"/>
        </w:numPr>
        <w:spacing w:before="120" w:after="0" w:line="240" w:lineRule="auto"/>
        <w:rPr>
          <w:rFonts w:ascii="Calibri" w:eastAsia="Calibri" w:hAnsi="Calibri" w:cs="Arial"/>
        </w:rPr>
      </w:pPr>
      <w:r w:rsidRPr="00AD01C5">
        <w:rPr>
          <w:rFonts w:ascii="Calibri" w:eastAsia="Calibri" w:hAnsi="Calibri" w:cs="Arial"/>
        </w:rPr>
        <w:t>efficienza organizzativa: occorre valutare l'efficienza organizzativa del servizio indipendentemente dalle diverse imprese, con l'obiettivo di ottimizzare il servizio di TPL oggetto di affidamento.</w:t>
      </w:r>
    </w:p>
    <w:p w14:paraId="21F56D7E"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L'analisi dovrebbe mirare a determinare una stima efficiente dei costi operativi e gestionali complessivi, al fine di migliorare la gestione e l'efficacia del servizio di trasporto pubblico locale.</w:t>
      </w:r>
    </w:p>
    <w:p w14:paraId="5F76354A"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Si è ritenuto opportuno valutare questa frammentazione con l'obiettivo di razionalizzare e ottimizzare l’intera organizzazione dei servizi, immaginando una gestione unificata che favorisca:</w:t>
      </w:r>
    </w:p>
    <w:p w14:paraId="54E752C4" w14:textId="77777777" w:rsidR="00162229" w:rsidRPr="00AD01C5" w:rsidRDefault="00162229" w:rsidP="00162229">
      <w:pPr>
        <w:numPr>
          <w:ilvl w:val="0"/>
          <w:numId w:val="78"/>
        </w:numPr>
        <w:spacing w:before="120" w:after="0" w:line="240" w:lineRule="auto"/>
        <w:rPr>
          <w:rFonts w:ascii="Calibri" w:eastAsia="Calibri" w:hAnsi="Calibri" w:cs="Arial"/>
        </w:rPr>
      </w:pPr>
      <w:r w:rsidRPr="00AD01C5">
        <w:rPr>
          <w:rFonts w:ascii="Calibri" w:eastAsia="Calibri" w:hAnsi="Calibri" w:cs="Arial"/>
        </w:rPr>
        <w:t>l’ottimizzazione dei fattori della produzione (come l’uso delle risorse veicolari e infrastrutturali);</w:t>
      </w:r>
    </w:p>
    <w:p w14:paraId="495EFED9" w14:textId="77777777" w:rsidR="00162229" w:rsidRPr="00AD01C5" w:rsidRDefault="00162229" w:rsidP="00162229">
      <w:pPr>
        <w:numPr>
          <w:ilvl w:val="0"/>
          <w:numId w:val="78"/>
        </w:numPr>
        <w:spacing w:before="120" w:after="0" w:line="240" w:lineRule="auto"/>
        <w:rPr>
          <w:rFonts w:ascii="Calibri" w:eastAsia="Calibri" w:hAnsi="Calibri" w:cs="Arial"/>
        </w:rPr>
      </w:pPr>
      <w:r w:rsidRPr="00AD01C5">
        <w:rPr>
          <w:rFonts w:ascii="Calibri" w:eastAsia="Calibri" w:hAnsi="Calibri" w:cs="Arial"/>
        </w:rPr>
        <w:t>l’incremento dell’efficienza organizzativa e produttiva strettamente legata alla produzione del servizio di TPL;</w:t>
      </w:r>
    </w:p>
    <w:p w14:paraId="5C6395E9" w14:textId="77777777" w:rsidR="00162229" w:rsidRPr="00AD01C5" w:rsidRDefault="00162229" w:rsidP="00162229">
      <w:pPr>
        <w:numPr>
          <w:ilvl w:val="0"/>
          <w:numId w:val="78"/>
        </w:numPr>
        <w:spacing w:before="120" w:after="0" w:line="240" w:lineRule="auto"/>
        <w:rPr>
          <w:rFonts w:ascii="Calibri" w:eastAsia="Calibri" w:hAnsi="Calibri" w:cs="Arial"/>
        </w:rPr>
      </w:pPr>
      <w:r w:rsidRPr="00AD01C5">
        <w:rPr>
          <w:rFonts w:ascii="Calibri" w:eastAsia="Calibri" w:hAnsi="Calibri" w:cs="Arial"/>
        </w:rPr>
        <w:t>la riduzione dei costi connessi alla gestione delle strutture di supporto all’erogazione dei servizi.</w:t>
      </w:r>
    </w:p>
    <w:p w14:paraId="737AE5A1"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Le analisi sono state condotte sulla base dell’attuale programma di esercizio. Tuttavia, si precisa che il lavoro </w:t>
      </w:r>
      <w:r w:rsidRPr="00AD01C5">
        <w:rPr>
          <w:rFonts w:ascii="Calibri" w:eastAsia="Calibri" w:hAnsi="Calibri" w:cs="Arial"/>
          <w:u w:val="single"/>
        </w:rPr>
        <w:t>non ha avuto</w:t>
      </w:r>
      <w:r w:rsidRPr="00AD01C5">
        <w:rPr>
          <w:rFonts w:ascii="Calibri" w:eastAsia="Calibri" w:hAnsi="Calibri" w:cs="Arial"/>
        </w:rPr>
        <w:t xml:space="preserve"> lo scopo di ottimizzare tutti i fattori della produzione, poiché tale attività sarà demandata alle imprese partecipanti alla successiva procedura di gara. Le aziende concorrenti saranno responsabili della definizione di proposte che rispettino i vincoli economici, normativi e di domanda, puntando ad ottimizzare tutti fattori della produzione quali ad esempio la riduzione dei chilometri percorsi a vuoto (anche attraverso l’individuazione di residenze non infrastrutturate) ed a massimizzare l'efficacia operativa.</w:t>
      </w:r>
    </w:p>
    <w:p w14:paraId="4CC85776"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Le attività di analisi si sono concentrate su:</w:t>
      </w:r>
    </w:p>
    <w:p w14:paraId="3CD01B04" w14:textId="77777777" w:rsidR="00162229" w:rsidRPr="00AD01C5" w:rsidRDefault="00162229" w:rsidP="00162229">
      <w:pPr>
        <w:numPr>
          <w:ilvl w:val="0"/>
          <w:numId w:val="69"/>
        </w:numPr>
        <w:spacing w:before="120" w:after="0" w:line="240" w:lineRule="auto"/>
        <w:rPr>
          <w:rFonts w:ascii="Calibri" w:eastAsia="Calibri" w:hAnsi="Calibri" w:cs="Arial"/>
        </w:rPr>
      </w:pPr>
      <w:r w:rsidRPr="00AD01C5">
        <w:rPr>
          <w:rFonts w:ascii="Calibri" w:eastAsia="Calibri" w:hAnsi="Calibri" w:cs="Arial"/>
          <w:bCs/>
        </w:rPr>
        <w:lastRenderedPageBreak/>
        <w:t>Individuazione di unità di rete funzionali</w:t>
      </w:r>
      <w:r w:rsidRPr="00AD01C5">
        <w:rPr>
          <w:rFonts w:ascii="Calibri" w:eastAsia="Calibri" w:hAnsi="Calibri" w:cs="Arial"/>
        </w:rPr>
        <w:t xml:space="preserve">, procedendo all’aggregazione delle attuali linee del servizio in </w:t>
      </w:r>
      <w:r w:rsidRPr="00AD01C5">
        <w:rPr>
          <w:rFonts w:ascii="Calibri" w:eastAsia="Calibri" w:hAnsi="Calibri" w:cs="Arial"/>
          <w:bCs/>
        </w:rPr>
        <w:t>unità di rete</w:t>
      </w:r>
      <w:r w:rsidRPr="00AD01C5">
        <w:rPr>
          <w:rFonts w:ascii="Calibri" w:eastAsia="Calibri" w:hAnsi="Calibri" w:cs="Arial"/>
        </w:rPr>
        <w:t xml:space="preserve"> per deposito che abbiano una dimensione media di circa 30 veicoli, garantendo una configurazione più razionale e adeguata del servizio.</w:t>
      </w:r>
    </w:p>
    <w:p w14:paraId="16A9376E" w14:textId="77777777" w:rsidR="00162229" w:rsidRPr="00AD01C5" w:rsidRDefault="00162229" w:rsidP="00162229">
      <w:pPr>
        <w:numPr>
          <w:ilvl w:val="0"/>
          <w:numId w:val="69"/>
        </w:numPr>
        <w:spacing w:before="120" w:after="0" w:line="240" w:lineRule="auto"/>
        <w:rPr>
          <w:rFonts w:ascii="Calibri" w:eastAsia="Calibri" w:hAnsi="Calibri" w:cs="Arial"/>
        </w:rPr>
      </w:pPr>
      <w:r w:rsidRPr="00AD01C5">
        <w:rPr>
          <w:rFonts w:ascii="Calibri" w:eastAsia="Calibri" w:hAnsi="Calibri" w:cs="Arial"/>
        </w:rPr>
        <w:t>Ottimizzazione dell’assegnazione delle linee, effettuando una ridefinizione dell’assegnazione delle linee ai depositi, basata sull’individuazione e localizzazione funzionale di un numero ridotto e strategico di depositi, destinati a gestire le linee in modo univoco. Questa assegnazione ha l’obiettivo di:</w:t>
      </w:r>
    </w:p>
    <w:p w14:paraId="74C03BAB" w14:textId="77777777" w:rsidR="00162229" w:rsidRPr="00AD01C5" w:rsidRDefault="00162229" w:rsidP="00162229">
      <w:pPr>
        <w:numPr>
          <w:ilvl w:val="0"/>
          <w:numId w:val="79"/>
        </w:numPr>
        <w:spacing w:before="120" w:after="0" w:line="240" w:lineRule="auto"/>
        <w:rPr>
          <w:rFonts w:ascii="Calibri" w:eastAsia="Calibri" w:hAnsi="Calibri" w:cs="Arial"/>
        </w:rPr>
      </w:pPr>
      <w:r w:rsidRPr="00AD01C5">
        <w:rPr>
          <w:rFonts w:ascii="Calibri" w:eastAsia="Calibri" w:hAnsi="Calibri" w:cs="Arial"/>
        </w:rPr>
        <w:t>minimizzare la frammentazione attuale,</w:t>
      </w:r>
    </w:p>
    <w:p w14:paraId="0DBDFE9E" w14:textId="77777777" w:rsidR="00162229" w:rsidRPr="00AD01C5" w:rsidRDefault="00162229" w:rsidP="00162229">
      <w:pPr>
        <w:numPr>
          <w:ilvl w:val="0"/>
          <w:numId w:val="79"/>
        </w:numPr>
        <w:spacing w:before="120" w:after="0" w:line="240" w:lineRule="auto"/>
        <w:rPr>
          <w:rFonts w:ascii="Calibri" w:eastAsia="Calibri" w:hAnsi="Calibri" w:cs="Arial"/>
        </w:rPr>
      </w:pPr>
      <w:r w:rsidRPr="00AD01C5">
        <w:rPr>
          <w:rFonts w:ascii="Calibri" w:eastAsia="Calibri" w:hAnsi="Calibri" w:cs="Arial"/>
        </w:rPr>
        <w:t>ridurre i costi gestionali associati alle infrastrutture,</w:t>
      </w:r>
    </w:p>
    <w:p w14:paraId="4CDDB1AA" w14:textId="77777777" w:rsidR="00162229" w:rsidRPr="00AD01C5" w:rsidRDefault="00162229" w:rsidP="00162229">
      <w:pPr>
        <w:numPr>
          <w:ilvl w:val="0"/>
          <w:numId w:val="79"/>
        </w:numPr>
        <w:spacing w:before="120" w:after="0" w:line="240" w:lineRule="auto"/>
        <w:rPr>
          <w:rFonts w:ascii="Calibri" w:eastAsia="Calibri" w:hAnsi="Calibri" w:cs="Arial"/>
        </w:rPr>
      </w:pPr>
      <w:r w:rsidRPr="00AD01C5">
        <w:rPr>
          <w:rFonts w:ascii="Calibri" w:eastAsia="Calibri" w:hAnsi="Calibri" w:cs="Arial"/>
        </w:rPr>
        <w:t>migliorare l’efficienza complessiva del sistema.</w:t>
      </w:r>
    </w:p>
    <w:p w14:paraId="6FF59E6C" w14:textId="77777777" w:rsidR="00162229" w:rsidRPr="00AD01C5" w:rsidRDefault="00162229" w:rsidP="00162229">
      <w:pPr>
        <w:numPr>
          <w:ilvl w:val="0"/>
          <w:numId w:val="69"/>
        </w:numPr>
        <w:spacing w:before="120" w:after="0" w:line="240" w:lineRule="auto"/>
        <w:rPr>
          <w:rFonts w:ascii="Calibri" w:eastAsia="Calibri" w:hAnsi="Calibri" w:cs="Arial"/>
        </w:rPr>
      </w:pPr>
      <w:r w:rsidRPr="00AD01C5">
        <w:rPr>
          <w:rFonts w:ascii="Calibri" w:eastAsia="Calibri" w:hAnsi="Calibri" w:cs="Arial"/>
        </w:rPr>
        <w:t>Supporto alla suddivisione in lotti, infatti la relazione diretta tra linea e deposito così ottenuta costituisce un elemento fondamentale per la suddivisione in lotti funzionali dell’intero servizio nel Bacino Sud. Tale suddivisione è intesa a favorire una gestione più razionale e a incentivare una competizione equa tra le imprese nel contesto della procedura di gara.</w:t>
      </w:r>
    </w:p>
    <w:p w14:paraId="3CCB8301"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Il primo passo di ottimizzazione, centrato sull’assegnazione delle linee ai depositi, fornisce quindi una base oggettiva per il contenimento dei costi operativi e infrastrutturali, offrendo al contempo indicazioni utili per una riorganizzazione più efficiente e sostenibile del servizio TPL nell’area del Bacino Sud.</w:t>
      </w:r>
    </w:p>
    <w:p w14:paraId="666D9B3F" w14:textId="77777777" w:rsidR="00162229" w:rsidRPr="00AD01C5" w:rsidRDefault="00162229" w:rsidP="00162229">
      <w:pPr>
        <w:pStyle w:val="Titolo3"/>
        <w:ind w:left="720"/>
      </w:pPr>
      <w:bookmarkStart w:id="361" w:name="_Toc193195792"/>
      <w:bookmarkStart w:id="362" w:name="_Toc252545198"/>
      <w:bookmarkStart w:id="363" w:name="_Toc197695720"/>
      <w:bookmarkStart w:id="364" w:name="_Toc204616529"/>
      <w:bookmarkStart w:id="365" w:name="_Toc205213760"/>
      <w:bookmarkEnd w:id="352"/>
      <w:bookmarkEnd w:id="353"/>
      <w:bookmarkEnd w:id="354"/>
      <w:bookmarkEnd w:id="355"/>
      <w:bookmarkEnd w:id="356"/>
      <w:r w:rsidRPr="00AD01C5">
        <w:t>Metodologia</w:t>
      </w:r>
      <w:r>
        <w:t xml:space="preserve"> </w:t>
      </w:r>
      <w:r w:rsidRPr="00AD01C5">
        <w:t>e</w:t>
      </w:r>
      <w:r>
        <w:t xml:space="preserve"> </w:t>
      </w:r>
      <w:r w:rsidRPr="00AD01C5">
        <w:t>processo</w:t>
      </w:r>
      <w:r>
        <w:t xml:space="preserve"> </w:t>
      </w:r>
      <w:r w:rsidRPr="00AD01C5">
        <w:t>di</w:t>
      </w:r>
      <w:r>
        <w:t xml:space="preserve"> </w:t>
      </w:r>
      <w:r w:rsidRPr="00AD01C5">
        <w:t>assegnazione</w:t>
      </w:r>
      <w:bookmarkEnd w:id="361"/>
      <w:bookmarkEnd w:id="362"/>
      <w:bookmarkEnd w:id="363"/>
      <w:bookmarkEnd w:id="364"/>
      <w:bookmarkEnd w:id="365"/>
    </w:p>
    <w:p w14:paraId="15E9B09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b/>
          <w:bCs/>
        </w:rPr>
        <w:t>Validazione</w:t>
      </w:r>
      <w:r>
        <w:rPr>
          <w:rFonts w:ascii="Calibri" w:eastAsia="Calibri" w:hAnsi="Calibri" w:cs="Arial"/>
          <w:b/>
          <w:bCs/>
        </w:rPr>
        <w:t xml:space="preserve"> </w:t>
      </w:r>
      <w:r w:rsidRPr="00AD01C5">
        <w:rPr>
          <w:rFonts w:ascii="Calibri" w:eastAsia="Calibri" w:hAnsi="Calibri" w:cs="Arial"/>
          <w:b/>
          <w:bCs/>
        </w:rPr>
        <w:t>Base</w:t>
      </w:r>
      <w:r>
        <w:rPr>
          <w:rFonts w:ascii="Calibri" w:eastAsia="Calibri" w:hAnsi="Calibri" w:cs="Arial"/>
          <w:b/>
          <w:bCs/>
        </w:rPr>
        <w:t xml:space="preserve"> </w:t>
      </w:r>
      <w:r w:rsidRPr="00AD01C5">
        <w:rPr>
          <w:rFonts w:ascii="Calibri" w:eastAsia="Calibri" w:hAnsi="Calibri" w:cs="Arial"/>
          <w:b/>
          <w:bCs/>
        </w:rPr>
        <w:t>Dati</w:t>
      </w:r>
    </w:p>
    <w:p w14:paraId="4127FECC"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I dati di servizio utilizzati per l’ottimizzazione sono stati importati in formato GTFS e corrispondono al servizio programmato per il 2024, aggiornato al mese di giungo e scaricato dal sistema regionale </w:t>
      </w:r>
      <w:r w:rsidRPr="00AD01C5">
        <w:rPr>
          <w:rFonts w:ascii="Calibri" w:eastAsia="Calibri" w:hAnsi="Calibri" w:cs="Arial"/>
          <w:i/>
          <w:iCs/>
        </w:rPr>
        <w:t>web-based</w:t>
      </w:r>
      <w:r w:rsidRPr="00AD01C5">
        <w:rPr>
          <w:rFonts w:ascii="Calibri" w:eastAsia="Calibri" w:hAnsi="Calibri" w:cs="Arial"/>
        </w:rPr>
        <w:t xml:space="preserve"> “Transit Café” utilizzato per la gestione e validazione del servizio programmato.</w:t>
      </w:r>
    </w:p>
    <w:p w14:paraId="3666BA91"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Come dato di partenza per la localizzazione dei depositi ottimali sono stati presi in considerazione i depositi all’interno delle 2 province, escludendo quelli ubicati fuori dal Bacino, importando nel modello di assegnazione gli indirizzi geolocalizzati attraverso uno shapefile.</w:t>
      </w:r>
    </w:p>
    <w:p w14:paraId="1E101A1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L’attuale dislocazione dei depositi è raffigurata nella seguente mappa.</w:t>
      </w:r>
    </w:p>
    <w:p w14:paraId="6AC53D17" w14:textId="77777777" w:rsidR="00162229" w:rsidRDefault="00162229" w:rsidP="00162229">
      <w:pPr>
        <w:spacing w:before="120" w:after="0" w:line="240" w:lineRule="auto"/>
        <w:jc w:val="center"/>
        <w:rPr>
          <w:rFonts w:ascii="Calibri" w:eastAsia="Calibri" w:hAnsi="Calibri" w:cs="Arial"/>
        </w:rPr>
      </w:pPr>
      <w:r w:rsidRPr="00AD01C5">
        <w:rPr>
          <w:rFonts w:ascii="Calibri" w:eastAsia="Calibri" w:hAnsi="Calibri" w:cs="Arial"/>
        </w:rPr>
        <w:lastRenderedPageBreak/>
        <w:t xml:space="preserve"> </w:t>
      </w:r>
      <w:r w:rsidRPr="00AD01C5">
        <w:rPr>
          <w:rFonts w:ascii="Calibri" w:eastAsia="Calibri" w:hAnsi="Calibri" w:cs="Arial"/>
          <w:noProof/>
        </w:rPr>
        <w:drawing>
          <wp:inline distT="0" distB="0" distL="0" distR="0" wp14:anchorId="09DB9463" wp14:editId="47D84486">
            <wp:extent cx="5844946" cy="4136571"/>
            <wp:effectExtent l="0" t="0" r="3810" b="0"/>
            <wp:docPr id="890342026" name="Immagine 1"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42026" name="Immagine 1" descr="Immagine che contiene mappa, testo, atlante&#10;&#10;Descrizione generata automaticamente"/>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84492" cy="4164558"/>
                    </a:xfrm>
                    <a:prstGeom prst="rect">
                      <a:avLst/>
                    </a:prstGeom>
                    <a:noFill/>
                    <a:ln>
                      <a:noFill/>
                    </a:ln>
                  </pic:spPr>
                </pic:pic>
              </a:graphicData>
            </a:graphic>
          </wp:inline>
        </w:drawing>
      </w:r>
    </w:p>
    <w:p w14:paraId="2BC594AA" w14:textId="7EA1A491" w:rsidR="00162229" w:rsidRPr="00AD01C5" w:rsidRDefault="00162229" w:rsidP="00162229">
      <w:pPr>
        <w:spacing w:after="0" w:line="240" w:lineRule="auto"/>
        <w:jc w:val="center"/>
        <w:rPr>
          <w:rFonts w:ascii="Calibri" w:eastAsia="Calibri" w:hAnsi="Calibri" w:cs="Calibri"/>
          <w:i/>
          <w:iCs/>
          <w:color w:val="17406D"/>
          <w:sz w:val="18"/>
          <w:szCs w:val="18"/>
        </w:rPr>
      </w:pPr>
      <w:r w:rsidRPr="00AD01C5">
        <w:rPr>
          <w:rFonts w:ascii="Calibri" w:eastAsia="Calibri" w:hAnsi="Calibri" w:cs="Calibri"/>
          <w:i/>
          <w:iCs/>
          <w:color w:val="003366"/>
          <w:sz w:val="18"/>
          <w:szCs w:val="18"/>
        </w:rPr>
        <w:t xml:space="preserve">Figura </w:t>
      </w:r>
      <w:r w:rsidRPr="00AD01C5">
        <w:rPr>
          <w:rFonts w:ascii="Calibri" w:eastAsia="Calibri" w:hAnsi="Calibri" w:cs="Calibri"/>
          <w:i/>
          <w:iCs/>
          <w:color w:val="003366"/>
          <w:sz w:val="18"/>
          <w:szCs w:val="18"/>
        </w:rPr>
        <w:fldChar w:fldCharType="begin"/>
      </w:r>
      <w:r w:rsidRPr="00AD01C5">
        <w:rPr>
          <w:rFonts w:ascii="Calibri" w:eastAsia="Calibri" w:hAnsi="Calibri" w:cs="Calibri"/>
          <w:i/>
          <w:iCs/>
          <w:color w:val="003366"/>
          <w:sz w:val="18"/>
          <w:szCs w:val="18"/>
        </w:rPr>
        <w:instrText xml:space="preserve"> SEQ Figura \* ARABIC </w:instrText>
      </w:r>
      <w:r w:rsidRPr="00AD01C5">
        <w:rPr>
          <w:rFonts w:ascii="Calibri" w:eastAsia="Calibri" w:hAnsi="Calibri" w:cs="Calibri"/>
          <w:i/>
          <w:iCs/>
          <w:color w:val="003366"/>
          <w:sz w:val="18"/>
          <w:szCs w:val="18"/>
        </w:rPr>
        <w:fldChar w:fldCharType="separate"/>
      </w:r>
      <w:r w:rsidR="00670903">
        <w:rPr>
          <w:rFonts w:ascii="Calibri" w:eastAsia="Calibri" w:hAnsi="Calibri" w:cs="Calibri"/>
          <w:i/>
          <w:iCs/>
          <w:noProof/>
          <w:color w:val="003366"/>
          <w:sz w:val="18"/>
          <w:szCs w:val="18"/>
        </w:rPr>
        <w:t>25</w:t>
      </w:r>
      <w:r w:rsidRPr="00AD01C5">
        <w:rPr>
          <w:rFonts w:ascii="Calibri" w:eastAsia="Calibri" w:hAnsi="Calibri" w:cs="Calibri"/>
          <w:i/>
          <w:iCs/>
          <w:color w:val="003366"/>
          <w:sz w:val="18"/>
          <w:szCs w:val="18"/>
        </w:rPr>
        <w:fldChar w:fldCharType="end"/>
      </w:r>
      <w:r w:rsidRPr="00AD01C5">
        <w:rPr>
          <w:rFonts w:ascii="Calibri" w:eastAsia="Calibri" w:hAnsi="Calibri" w:cs="Calibri"/>
          <w:i/>
          <w:iCs/>
          <w:color w:val="003366"/>
          <w:sz w:val="18"/>
          <w:szCs w:val="18"/>
        </w:rPr>
        <w:t xml:space="preserve"> – Mappa depositi attualmente in uso</w:t>
      </w:r>
    </w:p>
    <w:p w14:paraId="55E51A98" w14:textId="77777777" w:rsidR="00162229" w:rsidRPr="00AD01C5" w:rsidRDefault="00162229" w:rsidP="00162229">
      <w:pPr>
        <w:spacing w:before="120" w:after="0" w:line="240" w:lineRule="auto"/>
        <w:jc w:val="left"/>
        <w:rPr>
          <w:rFonts w:ascii="Calibri" w:eastAsia="Calibri" w:hAnsi="Calibri" w:cs="Arial"/>
          <w:b/>
        </w:rPr>
      </w:pPr>
    </w:p>
    <w:p w14:paraId="513A151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b/>
        </w:rPr>
        <w:t>Definizione dei parametri di assegnazione</w:t>
      </w:r>
    </w:p>
    <w:p w14:paraId="3C4794A1"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Il confronto tra diversi scenari operativi rappresenta un approccio metodologico per identificare la soluzione ottimale in termini di efficienza e sostenibilità. L’analisi si basa su un insieme predefinito di parametri di riferimento, che consentono di valutare le alternative su basi comparabili. Tali parametri includono, in particolare, i costi giornalieri e chilometrici. L'obiettivo è individuare configurazioni operative che minimizzino i costi complessivi e massimizzino l'efficacia del servizio, garantendo al contempo la sostenibilità economica e ambientale.</w:t>
      </w:r>
    </w:p>
    <w:p w14:paraId="211DC1B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 costruzione degli scenari analizzati è stata effettuata utilizzando la piattaforma di ottimizzazione Optibus</w:t>
      </w:r>
      <w:r w:rsidRPr="00AD01C5">
        <w:rPr>
          <w:rFonts w:ascii="Calibri" w:eastAsia="Calibri" w:hAnsi="Calibri" w:cs="Arial"/>
          <w:vertAlign w:val="superscript"/>
        </w:rPr>
        <w:footnoteReference w:id="39"/>
      </w:r>
      <w:r w:rsidRPr="00AD01C5">
        <w:rPr>
          <w:rFonts w:ascii="Calibri" w:eastAsia="Calibri" w:hAnsi="Calibri" w:cs="Arial"/>
        </w:rPr>
        <w:t>.</w:t>
      </w:r>
    </w:p>
    <w:p w14:paraId="0D9CC85F"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Il programma di esercizio selezionato per questa analisi si riferisce a un giorno feriale medio del periodo invernale durante il calendario scolastico, specificamente mercoledì 13 novembre. La base dati utilizzata è quella dell'orario programmato con scarico a giugno 2024, che include tutti i servizi operativi previsti per la data futura del 13 novembre 2024.</w:t>
      </w:r>
    </w:p>
    <w:p w14:paraId="52BF9DE8"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Per garantire un confronto uniforme e metodologico tra i diversi scenari, sono stati definiti parametri di riferimento sulla base di valori indicativi, utilizzati esclusivamente a scopo di analisi. È importante </w:t>
      </w:r>
      <w:r w:rsidRPr="00AD01C5">
        <w:rPr>
          <w:rFonts w:ascii="Calibri" w:eastAsia="Calibri" w:hAnsi="Calibri" w:cs="Arial"/>
        </w:rPr>
        <w:lastRenderedPageBreak/>
        <w:t>sottolineare che tali valori non sono rappresentativi dei dati reali di esercizio, ma sono stati selezionati per offrire una base comparativa coerente e priva di influenze derivanti da vincoli operativi o costi effettivi.</w:t>
      </w:r>
    </w:p>
    <w:p w14:paraId="1C19AC5E"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 parametri di riferimento adottati includono:</w:t>
      </w:r>
    </w:p>
    <w:p w14:paraId="1FF658E2" w14:textId="77777777" w:rsidR="00162229" w:rsidRPr="00AD01C5" w:rsidRDefault="00162229" w:rsidP="00162229">
      <w:pPr>
        <w:numPr>
          <w:ilvl w:val="0"/>
          <w:numId w:val="68"/>
        </w:numPr>
        <w:spacing w:before="120" w:after="0" w:line="240" w:lineRule="auto"/>
        <w:rPr>
          <w:rFonts w:ascii="Calibri" w:eastAsia="Calibri" w:hAnsi="Calibri" w:cs="Arial"/>
        </w:rPr>
      </w:pPr>
      <w:r w:rsidRPr="00AD01C5">
        <w:rPr>
          <w:rFonts w:ascii="Calibri" w:eastAsia="Calibri" w:hAnsi="Calibri" w:cs="Arial"/>
          <w:b/>
          <w:bCs/>
        </w:rPr>
        <w:t>100 €/giorno per veicolo</w:t>
      </w:r>
      <w:r w:rsidRPr="00AD01C5">
        <w:rPr>
          <w:rFonts w:ascii="Calibri" w:eastAsia="Calibri" w:hAnsi="Calibri" w:cs="Arial"/>
        </w:rPr>
        <w:t>: questo valore rappresenta una stima dei costi associati alla proprietà dell’autobus ed all'ospitare un autobus in un deposito; comprende l'ammortamento del mezzo, i costi di assicurazione e altre spese correlate;</w:t>
      </w:r>
    </w:p>
    <w:p w14:paraId="48BC9B8F" w14:textId="77777777" w:rsidR="00162229" w:rsidRPr="00AD01C5" w:rsidRDefault="00162229" w:rsidP="00162229">
      <w:pPr>
        <w:numPr>
          <w:ilvl w:val="0"/>
          <w:numId w:val="68"/>
        </w:numPr>
        <w:spacing w:before="120" w:after="0" w:line="240" w:lineRule="auto"/>
        <w:rPr>
          <w:rFonts w:ascii="Calibri" w:eastAsia="Calibri" w:hAnsi="Calibri" w:cs="Arial"/>
        </w:rPr>
      </w:pPr>
      <w:r w:rsidRPr="00AD01C5">
        <w:rPr>
          <w:rFonts w:ascii="Calibri" w:eastAsia="Calibri" w:hAnsi="Calibri" w:cs="Arial"/>
          <w:b/>
          <w:bCs/>
        </w:rPr>
        <w:t>1 €/km per chilometri percorsi a vuoto</w:t>
      </w:r>
      <w:r w:rsidRPr="00AD01C5">
        <w:rPr>
          <w:rFonts w:ascii="Calibri" w:eastAsia="Calibri" w:hAnsi="Calibri" w:cs="Arial"/>
        </w:rPr>
        <w:t>: tale parametro tiene conto dei costi variabili (cosiddetti di rotolamento) legati al carburante o all'energia consumata, al compenso degli autisti e ai costi operativi relativi ai sistemi di gestione e monitoraggio dei veicoli.</w:t>
      </w:r>
    </w:p>
    <w:p w14:paraId="06A8A567"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È fondamentale osservare che l'analisi di confronto degli scenari non ha incluso un livello dettagliato di pianificazione e programmazione operativa, quali l'ottimizzazione di percorsi, orari e turni. Queste attività sono proprie delle offerte di gara e saranno sviluppate dalle imprese che parteciperanno alla successiva fase di gara. In tale contesto, le aziende avranno il compito di definire soluzioni operative che rispettino i vincoli previsti, come i costi operativi, la domanda di trasporto passeggeri e le normative vigenti. Le proposte di gara dovranno sviluppare configurazioni ottimali in grado di rendere efficiente la produzione del servizio, minimizzare i chilometri percorsi a vuoto e migliorare l'efficienza nell'uso delle risorse veicolari.</w:t>
      </w:r>
    </w:p>
    <w:p w14:paraId="0EDE1BD7"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b/>
          <w:bCs/>
        </w:rPr>
        <w:t>Ottimizzazione dei Veicoli</w:t>
      </w:r>
    </w:p>
    <w:p w14:paraId="79DEBC27"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L'algoritmo di assegnazione è stato implementato per ottimizzare l'attribuzione e il collegamento delle corse di ogni linea ai depositi. Questo processo ha utilizzato come grafo viabile la piattaforma "</w:t>
      </w:r>
      <w:r w:rsidRPr="00AD01C5">
        <w:rPr>
          <w:rFonts w:ascii="Calibri" w:eastAsia="Calibri" w:hAnsi="Calibri" w:cs="Arial"/>
          <w:i/>
        </w:rPr>
        <w:t>OpenStreetMap</w:t>
      </w:r>
      <w:r w:rsidRPr="00AD01C5">
        <w:rPr>
          <w:rFonts w:ascii="Calibri" w:eastAsia="Calibri" w:hAnsi="Calibri" w:cs="Arial"/>
        </w:rPr>
        <w:t>", che fornisce una rappresentazione dettagliata della rete stradale e delle infrastrutture di trasporto.</w:t>
      </w:r>
    </w:p>
    <w:p w14:paraId="70E5151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L'assegnazione è stata effettuata senza imporre vincoli sul numero e sulla capacità dei depositi, permettendo così di generare uno "scenario base" di partenza. Questo scenario è già differenziato rispetto alla configurazione "zero", che si basa sulla dichiarazione aziendale riguardante il numero di depositi complessivamente utilizzati per il servizio.</w:t>
      </w:r>
    </w:p>
    <w:p w14:paraId="1F66BCA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In dettaglio, l'algoritmo ha seguito i seguenti passaggi:</w:t>
      </w:r>
    </w:p>
    <w:p w14:paraId="435FBCB7" w14:textId="77777777" w:rsidR="00162229" w:rsidRPr="00AD01C5" w:rsidRDefault="00162229" w:rsidP="00162229">
      <w:pPr>
        <w:numPr>
          <w:ilvl w:val="0"/>
          <w:numId w:val="80"/>
        </w:numPr>
        <w:spacing w:before="120" w:after="0" w:line="240" w:lineRule="auto"/>
        <w:rPr>
          <w:rFonts w:ascii="Calibri" w:eastAsia="Calibri" w:hAnsi="Calibri" w:cs="Arial"/>
        </w:rPr>
      </w:pPr>
      <w:r w:rsidRPr="00AD01C5">
        <w:rPr>
          <w:rFonts w:ascii="Calibri" w:eastAsia="Calibri" w:hAnsi="Calibri" w:cs="Arial"/>
        </w:rPr>
        <w:t>mappatura delle linee e dei depositi, utilizzando i dati di OpenStreetMap, è stata creata una mappa dettagliata delle linee di trasporto e dei depositi disponibili. Questa mappa ha permesso di visualizzare le connessioni viabili tra le diverse linee e i depositi;</w:t>
      </w:r>
    </w:p>
    <w:p w14:paraId="4AD789DA" w14:textId="77777777" w:rsidR="00162229" w:rsidRPr="00AD01C5" w:rsidRDefault="00162229" w:rsidP="00162229">
      <w:pPr>
        <w:numPr>
          <w:ilvl w:val="0"/>
          <w:numId w:val="80"/>
        </w:numPr>
        <w:spacing w:before="120" w:after="0" w:line="240" w:lineRule="auto"/>
        <w:rPr>
          <w:rFonts w:ascii="Calibri" w:eastAsia="Calibri" w:hAnsi="Calibri" w:cs="Arial"/>
        </w:rPr>
      </w:pPr>
      <w:r w:rsidRPr="00AD01C5">
        <w:rPr>
          <w:rFonts w:ascii="Calibri" w:eastAsia="Calibri" w:hAnsi="Calibri" w:cs="Arial"/>
        </w:rPr>
        <w:t>ottimizzazione delle corse, l'algoritmo ha analizzato le corse di ogni linea, cercando di attribuirle ai depositi in modo da minimizzare i tempi di percorrenza e i costi operativi. Questo è stato fatto considerando variabili come la distanza ed il tempo di percorrenza;</w:t>
      </w:r>
    </w:p>
    <w:p w14:paraId="49D05413" w14:textId="77777777" w:rsidR="00162229" w:rsidRPr="00AD01C5" w:rsidRDefault="00162229" w:rsidP="00162229">
      <w:pPr>
        <w:numPr>
          <w:ilvl w:val="0"/>
          <w:numId w:val="80"/>
        </w:numPr>
        <w:spacing w:before="120" w:after="0" w:line="240" w:lineRule="auto"/>
        <w:rPr>
          <w:rFonts w:ascii="Calibri" w:eastAsia="Calibri" w:hAnsi="Calibri" w:cs="Arial"/>
        </w:rPr>
      </w:pPr>
      <w:r w:rsidRPr="00AD01C5">
        <w:rPr>
          <w:rFonts w:ascii="Calibri" w:eastAsia="Calibri" w:hAnsi="Calibri" w:cs="Arial"/>
        </w:rPr>
        <w:t>generazione dello scenario “base”, senza vincoli predefiniti sul numero e sulla capacità dei depositi, l'algoritmo ha creato uno scenario iniziale che rappresenta una configurazione ottimale delle corse rispetto ai depositi. Questo scenario serve come punto di partenza per ulteriori analisi e ottimizzazioni.</w:t>
      </w:r>
    </w:p>
    <w:p w14:paraId="58363B9C" w14:textId="77777777" w:rsidR="00162229" w:rsidRPr="00AD01C5" w:rsidRDefault="00162229" w:rsidP="00162229">
      <w:pPr>
        <w:numPr>
          <w:ilvl w:val="0"/>
          <w:numId w:val="80"/>
        </w:numPr>
        <w:spacing w:before="120" w:after="0" w:line="240" w:lineRule="auto"/>
        <w:rPr>
          <w:rFonts w:ascii="Calibri" w:eastAsia="Calibri" w:hAnsi="Calibri" w:cs="Arial"/>
        </w:rPr>
      </w:pPr>
      <w:r w:rsidRPr="00AD01C5">
        <w:rPr>
          <w:rFonts w:ascii="Calibri" w:eastAsia="Calibri" w:hAnsi="Calibri" w:cs="Arial"/>
        </w:rPr>
        <w:t>confronto con la configurazione "zero": Lo scenario “base” è stato confrontato con la configurazione "zero", che riflette la situazione attuale dichiarata dalle aziende in termini di numero di depositi utilizzati. Questo confronto ha permesso di identificare le differenze e le potenziali aree di miglioramento;</w:t>
      </w:r>
    </w:p>
    <w:p w14:paraId="3399C04A" w14:textId="77777777" w:rsidR="00162229" w:rsidRPr="00AD01C5" w:rsidRDefault="00162229" w:rsidP="00162229">
      <w:pPr>
        <w:numPr>
          <w:ilvl w:val="0"/>
          <w:numId w:val="80"/>
        </w:numPr>
        <w:spacing w:before="120" w:after="0" w:line="240" w:lineRule="auto"/>
        <w:rPr>
          <w:rFonts w:ascii="Calibri" w:eastAsia="Calibri" w:hAnsi="Calibri" w:cs="Arial"/>
        </w:rPr>
      </w:pPr>
      <w:r w:rsidRPr="00AD01C5">
        <w:rPr>
          <w:rFonts w:ascii="Calibri" w:eastAsia="Calibri" w:hAnsi="Calibri" w:cs="Arial"/>
        </w:rPr>
        <w:t>Successive ottimizzazioni dello scenario “base” volte ad individuare gruppi di linee univoche</w:t>
      </w:r>
    </w:p>
    <w:p w14:paraId="2C72B0F3"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lastRenderedPageBreak/>
        <w:t>L'obiettivo finale di questo processo è stato quello di migliorare l'efficienza operativa e gestionale del servizio di trasporto pubblico locale, garantendo una distribuzione ottimale delle risorse e una riduzione dei costi complessivi.</w:t>
      </w:r>
    </w:p>
    <w:p w14:paraId="46FB1A7E"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Lo scenario base offre un punto di riferimento oggettivo per valutare:</w:t>
      </w:r>
    </w:p>
    <w:p w14:paraId="2A3420CD" w14:textId="77777777" w:rsidR="00162229" w:rsidRPr="00AD01C5" w:rsidRDefault="00162229" w:rsidP="00162229">
      <w:pPr>
        <w:numPr>
          <w:ilvl w:val="0"/>
          <w:numId w:val="70"/>
        </w:numPr>
        <w:spacing w:before="120" w:after="0" w:line="240" w:lineRule="auto"/>
        <w:rPr>
          <w:rFonts w:ascii="Calibri" w:eastAsia="Calibri" w:hAnsi="Calibri" w:cs="Arial"/>
        </w:rPr>
      </w:pPr>
      <w:r w:rsidRPr="00AD01C5">
        <w:rPr>
          <w:rFonts w:ascii="Calibri" w:eastAsia="Calibri" w:hAnsi="Calibri" w:cs="Arial"/>
          <w:b/>
          <w:bCs/>
        </w:rPr>
        <w:t>La distribuzione attuale delle risorse infrastrutturali (depositi)</w:t>
      </w:r>
      <w:r w:rsidRPr="00AD01C5">
        <w:rPr>
          <w:rFonts w:ascii="Calibri" w:eastAsia="Calibri" w:hAnsi="Calibri" w:cs="Arial"/>
        </w:rPr>
        <w:t xml:space="preserve"> e il loro utilizzo operativo.</w:t>
      </w:r>
    </w:p>
    <w:p w14:paraId="2CDB27D3" w14:textId="77777777" w:rsidR="00162229" w:rsidRPr="00AD01C5" w:rsidRDefault="00162229" w:rsidP="00162229">
      <w:pPr>
        <w:numPr>
          <w:ilvl w:val="0"/>
          <w:numId w:val="70"/>
        </w:numPr>
        <w:spacing w:before="120" w:after="0" w:line="240" w:lineRule="auto"/>
        <w:rPr>
          <w:rFonts w:ascii="Calibri" w:eastAsia="Calibri" w:hAnsi="Calibri" w:cs="Arial"/>
        </w:rPr>
      </w:pPr>
      <w:r w:rsidRPr="00AD01C5">
        <w:rPr>
          <w:rFonts w:ascii="Calibri" w:eastAsia="Calibri" w:hAnsi="Calibri" w:cs="Arial"/>
          <w:b/>
          <w:bCs/>
        </w:rPr>
        <w:t>I margini di ottimizzazione</w:t>
      </w:r>
      <w:r w:rsidRPr="00AD01C5">
        <w:rPr>
          <w:rFonts w:ascii="Calibri" w:eastAsia="Calibri" w:hAnsi="Calibri" w:cs="Arial"/>
        </w:rPr>
        <w:t xml:space="preserve"> possibili, considerando ulteriori fattori come la riduzione del numero di depositi, l’incremento della capacità di quelli esistenti o l’ottimizzazione della loro localizzazione strategica.</w:t>
      </w:r>
    </w:p>
    <w:p w14:paraId="6E938AD6" w14:textId="77777777" w:rsidR="00162229" w:rsidRPr="00AD01C5" w:rsidRDefault="00162229" w:rsidP="00162229">
      <w:pPr>
        <w:numPr>
          <w:ilvl w:val="0"/>
          <w:numId w:val="70"/>
        </w:numPr>
        <w:spacing w:before="120" w:after="0" w:line="240" w:lineRule="auto"/>
        <w:rPr>
          <w:rFonts w:ascii="Calibri" w:eastAsia="Calibri" w:hAnsi="Calibri" w:cs="Arial"/>
        </w:rPr>
      </w:pPr>
      <w:r w:rsidRPr="00AD01C5">
        <w:rPr>
          <w:rFonts w:ascii="Calibri" w:eastAsia="Calibri" w:hAnsi="Calibri" w:cs="Arial"/>
          <w:b/>
          <w:bCs/>
        </w:rPr>
        <w:t>La base per scenari alternativi</w:t>
      </w:r>
      <w:r w:rsidRPr="00AD01C5">
        <w:rPr>
          <w:rFonts w:ascii="Calibri" w:eastAsia="Calibri" w:hAnsi="Calibri" w:cs="Arial"/>
        </w:rPr>
        <w:t xml:space="preserve"> e per l’individuazione di configurazioni più efficienti.</w:t>
      </w:r>
    </w:p>
    <w:p w14:paraId="2D4234FF"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Di seguito si riporta il risultato dell’assegnazione a ciascun deposito in termini di km di produzione e di n° di veicoli, al netto delle scorte, necessari all’erogazione del servizio.</w:t>
      </w:r>
    </w:p>
    <w:p w14:paraId="5FF7DAD9" w14:textId="77777777" w:rsidR="00162229" w:rsidRDefault="00162229" w:rsidP="00162229">
      <w:pPr>
        <w:spacing w:before="120" w:after="0" w:line="240" w:lineRule="auto"/>
        <w:rPr>
          <w:rFonts w:ascii="Calibri" w:eastAsia="Calibri" w:hAnsi="Calibri" w:cs="Arial"/>
        </w:rPr>
      </w:pPr>
    </w:p>
    <w:tbl>
      <w:tblPr>
        <w:tblW w:w="8860" w:type="dxa"/>
        <w:tblCellMar>
          <w:left w:w="70" w:type="dxa"/>
          <w:right w:w="70" w:type="dxa"/>
        </w:tblCellMar>
        <w:tblLook w:val="04A0" w:firstRow="1" w:lastRow="0" w:firstColumn="1" w:lastColumn="0" w:noHBand="0" w:noVBand="1"/>
      </w:tblPr>
      <w:tblGrid>
        <w:gridCol w:w="1580"/>
        <w:gridCol w:w="2740"/>
        <w:gridCol w:w="1240"/>
        <w:gridCol w:w="1180"/>
        <w:gridCol w:w="1040"/>
        <w:gridCol w:w="1080"/>
      </w:tblGrid>
      <w:tr w:rsidR="00162229" w:rsidRPr="00AD01C5" w14:paraId="3DC7DDB6" w14:textId="77777777" w:rsidTr="002A21C0">
        <w:trPr>
          <w:trHeight w:val="615"/>
        </w:trPr>
        <w:tc>
          <w:tcPr>
            <w:tcW w:w="1580"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4293AA39"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Codice Deposito</w:t>
            </w:r>
          </w:p>
        </w:tc>
        <w:tc>
          <w:tcPr>
            <w:tcW w:w="2740" w:type="dxa"/>
            <w:tcBorders>
              <w:top w:val="single" w:sz="4" w:space="0" w:color="auto"/>
              <w:left w:val="nil"/>
              <w:bottom w:val="single" w:sz="4" w:space="0" w:color="auto"/>
              <w:right w:val="single" w:sz="4" w:space="0" w:color="auto"/>
            </w:tcBorders>
            <w:shd w:val="clear" w:color="auto" w:fill="8DB15F"/>
            <w:vAlign w:val="center"/>
            <w:hideMark/>
          </w:tcPr>
          <w:p w14:paraId="35F61C0F"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Localizzazione</w:t>
            </w:r>
          </w:p>
        </w:tc>
        <w:tc>
          <w:tcPr>
            <w:tcW w:w="1240" w:type="dxa"/>
            <w:tcBorders>
              <w:top w:val="single" w:sz="4" w:space="0" w:color="auto"/>
              <w:left w:val="nil"/>
              <w:bottom w:val="single" w:sz="4" w:space="0" w:color="auto"/>
              <w:right w:val="single" w:sz="4" w:space="0" w:color="auto"/>
            </w:tcBorders>
            <w:shd w:val="clear" w:color="000000" w:fill="8DB15F"/>
            <w:vAlign w:val="center"/>
            <w:hideMark/>
          </w:tcPr>
          <w:p w14:paraId="3D9F2CA3"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Di Veicoli</w:t>
            </w:r>
          </w:p>
        </w:tc>
        <w:tc>
          <w:tcPr>
            <w:tcW w:w="1180" w:type="dxa"/>
            <w:tcBorders>
              <w:top w:val="single" w:sz="4" w:space="0" w:color="auto"/>
              <w:left w:val="nil"/>
              <w:bottom w:val="single" w:sz="4" w:space="0" w:color="auto"/>
              <w:right w:val="single" w:sz="4" w:space="0" w:color="auto"/>
            </w:tcBorders>
            <w:shd w:val="clear" w:color="000000" w:fill="8DB15F"/>
            <w:vAlign w:val="center"/>
            <w:hideMark/>
          </w:tcPr>
          <w:p w14:paraId="1E80441B"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Servizio</w:t>
            </w:r>
          </w:p>
        </w:tc>
        <w:tc>
          <w:tcPr>
            <w:tcW w:w="1040" w:type="dxa"/>
            <w:tcBorders>
              <w:top w:val="single" w:sz="4" w:space="0" w:color="auto"/>
              <w:left w:val="nil"/>
              <w:bottom w:val="single" w:sz="4" w:space="0" w:color="auto"/>
              <w:right w:val="single" w:sz="4" w:space="0" w:color="auto"/>
            </w:tcBorders>
            <w:shd w:val="clear" w:color="000000" w:fill="8DB15F"/>
            <w:vAlign w:val="center"/>
            <w:hideMark/>
          </w:tcPr>
          <w:p w14:paraId="39C17FF3"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Vuoto</w:t>
            </w:r>
          </w:p>
        </w:tc>
        <w:tc>
          <w:tcPr>
            <w:tcW w:w="1080" w:type="dxa"/>
            <w:tcBorders>
              <w:top w:val="single" w:sz="4" w:space="0" w:color="auto"/>
              <w:left w:val="nil"/>
              <w:bottom w:val="single" w:sz="4" w:space="0" w:color="auto"/>
              <w:right w:val="single" w:sz="4" w:space="0" w:color="auto"/>
            </w:tcBorders>
            <w:shd w:val="clear" w:color="000000" w:fill="8DB15F"/>
            <w:vAlign w:val="center"/>
            <w:hideMark/>
          </w:tcPr>
          <w:p w14:paraId="4F565356"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Eff. Deposito</w:t>
            </w:r>
          </w:p>
        </w:tc>
      </w:tr>
      <w:tr w:rsidR="00162229" w:rsidRPr="00AD01C5" w14:paraId="1603F3AB"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3791764B"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SE_001</w:t>
            </w:r>
          </w:p>
        </w:tc>
        <w:tc>
          <w:tcPr>
            <w:tcW w:w="2740" w:type="dxa"/>
            <w:tcBorders>
              <w:top w:val="nil"/>
              <w:left w:val="nil"/>
              <w:bottom w:val="single" w:sz="4" w:space="0" w:color="auto"/>
              <w:right w:val="single" w:sz="4" w:space="0" w:color="auto"/>
            </w:tcBorders>
            <w:shd w:val="clear" w:color="000000" w:fill="FFFFFF"/>
            <w:noWrap/>
            <w:vAlign w:val="bottom"/>
            <w:hideMark/>
          </w:tcPr>
          <w:p w14:paraId="6273F9A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Alessandria (AL)</w:t>
            </w:r>
          </w:p>
        </w:tc>
        <w:tc>
          <w:tcPr>
            <w:tcW w:w="1240" w:type="dxa"/>
            <w:tcBorders>
              <w:top w:val="nil"/>
              <w:left w:val="nil"/>
              <w:bottom w:val="single" w:sz="4" w:space="0" w:color="auto"/>
              <w:right w:val="single" w:sz="4" w:space="0" w:color="auto"/>
            </w:tcBorders>
            <w:noWrap/>
            <w:vAlign w:val="center"/>
            <w:hideMark/>
          </w:tcPr>
          <w:p w14:paraId="163D76C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24</w:t>
            </w:r>
          </w:p>
        </w:tc>
        <w:tc>
          <w:tcPr>
            <w:tcW w:w="1180" w:type="dxa"/>
            <w:tcBorders>
              <w:top w:val="nil"/>
              <w:left w:val="nil"/>
              <w:bottom w:val="single" w:sz="4" w:space="0" w:color="auto"/>
              <w:right w:val="single" w:sz="4" w:space="0" w:color="auto"/>
            </w:tcBorders>
            <w:noWrap/>
            <w:vAlign w:val="center"/>
            <w:hideMark/>
          </w:tcPr>
          <w:p w14:paraId="4F02747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5745</w:t>
            </w:r>
          </w:p>
        </w:tc>
        <w:tc>
          <w:tcPr>
            <w:tcW w:w="1040" w:type="dxa"/>
            <w:tcBorders>
              <w:top w:val="nil"/>
              <w:left w:val="nil"/>
              <w:bottom w:val="single" w:sz="4" w:space="0" w:color="auto"/>
              <w:right w:val="single" w:sz="4" w:space="0" w:color="auto"/>
            </w:tcBorders>
            <w:noWrap/>
            <w:vAlign w:val="center"/>
            <w:hideMark/>
          </w:tcPr>
          <w:p w14:paraId="2C3B516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238</w:t>
            </w:r>
          </w:p>
        </w:tc>
        <w:tc>
          <w:tcPr>
            <w:tcW w:w="1080" w:type="dxa"/>
            <w:tcBorders>
              <w:top w:val="nil"/>
              <w:left w:val="nil"/>
              <w:bottom w:val="single" w:sz="4" w:space="0" w:color="auto"/>
              <w:right w:val="single" w:sz="4" w:space="0" w:color="auto"/>
            </w:tcBorders>
            <w:noWrap/>
            <w:vAlign w:val="center"/>
            <w:hideMark/>
          </w:tcPr>
          <w:p w14:paraId="7AAE912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96%</w:t>
            </w:r>
          </w:p>
        </w:tc>
      </w:tr>
      <w:tr w:rsidR="00162229" w:rsidRPr="00AD01C5" w14:paraId="3A197E50"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30A7A0E4"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SE_002</w:t>
            </w:r>
          </w:p>
        </w:tc>
        <w:tc>
          <w:tcPr>
            <w:tcW w:w="2740" w:type="dxa"/>
            <w:tcBorders>
              <w:top w:val="nil"/>
              <w:left w:val="nil"/>
              <w:bottom w:val="single" w:sz="4" w:space="0" w:color="auto"/>
              <w:right w:val="single" w:sz="4" w:space="0" w:color="auto"/>
            </w:tcBorders>
            <w:shd w:val="clear" w:color="000000" w:fill="FFFFFF"/>
            <w:noWrap/>
            <w:vAlign w:val="bottom"/>
            <w:hideMark/>
          </w:tcPr>
          <w:p w14:paraId="29D4266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Casale Monferrato (AL)</w:t>
            </w:r>
          </w:p>
        </w:tc>
        <w:tc>
          <w:tcPr>
            <w:tcW w:w="1240" w:type="dxa"/>
            <w:tcBorders>
              <w:top w:val="nil"/>
              <w:left w:val="nil"/>
              <w:bottom w:val="single" w:sz="4" w:space="0" w:color="auto"/>
              <w:right w:val="single" w:sz="4" w:space="0" w:color="auto"/>
            </w:tcBorders>
            <w:noWrap/>
            <w:vAlign w:val="center"/>
            <w:hideMark/>
          </w:tcPr>
          <w:p w14:paraId="4AD1A2D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14</w:t>
            </w:r>
          </w:p>
        </w:tc>
        <w:tc>
          <w:tcPr>
            <w:tcW w:w="1180" w:type="dxa"/>
            <w:tcBorders>
              <w:top w:val="nil"/>
              <w:left w:val="nil"/>
              <w:bottom w:val="single" w:sz="4" w:space="0" w:color="auto"/>
              <w:right w:val="single" w:sz="4" w:space="0" w:color="auto"/>
            </w:tcBorders>
            <w:noWrap/>
            <w:vAlign w:val="center"/>
            <w:hideMark/>
          </w:tcPr>
          <w:p w14:paraId="6760199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2632</w:t>
            </w:r>
          </w:p>
        </w:tc>
        <w:tc>
          <w:tcPr>
            <w:tcW w:w="1040" w:type="dxa"/>
            <w:tcBorders>
              <w:top w:val="nil"/>
              <w:left w:val="nil"/>
              <w:bottom w:val="single" w:sz="4" w:space="0" w:color="auto"/>
              <w:right w:val="single" w:sz="4" w:space="0" w:color="auto"/>
            </w:tcBorders>
            <w:noWrap/>
            <w:vAlign w:val="center"/>
            <w:hideMark/>
          </w:tcPr>
          <w:p w14:paraId="6CC3BF9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218</w:t>
            </w:r>
          </w:p>
        </w:tc>
        <w:tc>
          <w:tcPr>
            <w:tcW w:w="1080" w:type="dxa"/>
            <w:tcBorders>
              <w:top w:val="nil"/>
              <w:left w:val="nil"/>
              <w:bottom w:val="single" w:sz="4" w:space="0" w:color="auto"/>
              <w:right w:val="single" w:sz="4" w:space="0" w:color="auto"/>
            </w:tcBorders>
            <w:noWrap/>
            <w:vAlign w:val="center"/>
            <w:hideMark/>
          </w:tcPr>
          <w:p w14:paraId="2C9A64C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21C8E7F1"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7F0F903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SE_003</w:t>
            </w:r>
          </w:p>
        </w:tc>
        <w:tc>
          <w:tcPr>
            <w:tcW w:w="2740" w:type="dxa"/>
            <w:tcBorders>
              <w:top w:val="nil"/>
              <w:left w:val="nil"/>
              <w:bottom w:val="single" w:sz="4" w:space="0" w:color="auto"/>
              <w:right w:val="single" w:sz="4" w:space="0" w:color="auto"/>
            </w:tcBorders>
            <w:shd w:val="clear" w:color="000000" w:fill="FFFFFF"/>
            <w:noWrap/>
            <w:vAlign w:val="bottom"/>
            <w:hideMark/>
          </w:tcPr>
          <w:p w14:paraId="131D51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Asti (AT)</w:t>
            </w:r>
          </w:p>
        </w:tc>
        <w:tc>
          <w:tcPr>
            <w:tcW w:w="1240" w:type="dxa"/>
            <w:tcBorders>
              <w:top w:val="nil"/>
              <w:left w:val="nil"/>
              <w:bottom w:val="single" w:sz="4" w:space="0" w:color="auto"/>
              <w:right w:val="single" w:sz="4" w:space="0" w:color="auto"/>
            </w:tcBorders>
            <w:noWrap/>
            <w:vAlign w:val="center"/>
            <w:hideMark/>
          </w:tcPr>
          <w:p w14:paraId="66CA61C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44</w:t>
            </w:r>
          </w:p>
        </w:tc>
        <w:tc>
          <w:tcPr>
            <w:tcW w:w="1180" w:type="dxa"/>
            <w:tcBorders>
              <w:top w:val="nil"/>
              <w:left w:val="nil"/>
              <w:bottom w:val="single" w:sz="4" w:space="0" w:color="auto"/>
              <w:right w:val="single" w:sz="4" w:space="0" w:color="auto"/>
            </w:tcBorders>
            <w:noWrap/>
            <w:vAlign w:val="center"/>
            <w:hideMark/>
          </w:tcPr>
          <w:p w14:paraId="7D16B1B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7261</w:t>
            </w:r>
          </w:p>
        </w:tc>
        <w:tc>
          <w:tcPr>
            <w:tcW w:w="1040" w:type="dxa"/>
            <w:tcBorders>
              <w:top w:val="nil"/>
              <w:left w:val="nil"/>
              <w:bottom w:val="single" w:sz="4" w:space="0" w:color="auto"/>
              <w:right w:val="single" w:sz="4" w:space="0" w:color="auto"/>
            </w:tcBorders>
            <w:noWrap/>
            <w:vAlign w:val="center"/>
            <w:hideMark/>
          </w:tcPr>
          <w:p w14:paraId="6AAC94D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814</w:t>
            </w:r>
          </w:p>
        </w:tc>
        <w:tc>
          <w:tcPr>
            <w:tcW w:w="1080" w:type="dxa"/>
            <w:tcBorders>
              <w:top w:val="nil"/>
              <w:left w:val="nil"/>
              <w:bottom w:val="single" w:sz="4" w:space="0" w:color="auto"/>
              <w:right w:val="single" w:sz="4" w:space="0" w:color="auto"/>
            </w:tcBorders>
            <w:noWrap/>
            <w:vAlign w:val="center"/>
            <w:hideMark/>
          </w:tcPr>
          <w:p w14:paraId="79D5FFF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90%</w:t>
            </w:r>
          </w:p>
        </w:tc>
      </w:tr>
      <w:tr w:rsidR="00162229" w:rsidRPr="00AD01C5" w14:paraId="2EDFA389"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3376DA4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SE_004</w:t>
            </w:r>
          </w:p>
        </w:tc>
        <w:tc>
          <w:tcPr>
            <w:tcW w:w="2740" w:type="dxa"/>
            <w:tcBorders>
              <w:top w:val="nil"/>
              <w:left w:val="nil"/>
              <w:bottom w:val="single" w:sz="4" w:space="0" w:color="auto"/>
              <w:right w:val="single" w:sz="4" w:space="0" w:color="auto"/>
            </w:tcBorders>
            <w:shd w:val="clear" w:color="000000" w:fill="FFFFFF"/>
            <w:noWrap/>
            <w:vAlign w:val="bottom"/>
            <w:hideMark/>
          </w:tcPr>
          <w:p w14:paraId="71A175F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Altavilla (AL)</w:t>
            </w:r>
          </w:p>
        </w:tc>
        <w:tc>
          <w:tcPr>
            <w:tcW w:w="1240" w:type="dxa"/>
            <w:tcBorders>
              <w:top w:val="nil"/>
              <w:left w:val="nil"/>
              <w:bottom w:val="single" w:sz="4" w:space="0" w:color="auto"/>
              <w:right w:val="single" w:sz="4" w:space="0" w:color="auto"/>
            </w:tcBorders>
            <w:noWrap/>
            <w:vAlign w:val="center"/>
            <w:hideMark/>
          </w:tcPr>
          <w:p w14:paraId="5A37753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w:t>
            </w:r>
          </w:p>
        </w:tc>
        <w:tc>
          <w:tcPr>
            <w:tcW w:w="1180" w:type="dxa"/>
            <w:tcBorders>
              <w:top w:val="nil"/>
              <w:left w:val="nil"/>
              <w:bottom w:val="single" w:sz="4" w:space="0" w:color="auto"/>
              <w:right w:val="single" w:sz="4" w:space="0" w:color="auto"/>
            </w:tcBorders>
            <w:noWrap/>
            <w:vAlign w:val="center"/>
            <w:hideMark/>
          </w:tcPr>
          <w:p w14:paraId="1C97F1B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2671</w:t>
            </w:r>
          </w:p>
        </w:tc>
        <w:tc>
          <w:tcPr>
            <w:tcW w:w="1040" w:type="dxa"/>
            <w:tcBorders>
              <w:top w:val="nil"/>
              <w:left w:val="nil"/>
              <w:bottom w:val="single" w:sz="4" w:space="0" w:color="auto"/>
              <w:right w:val="single" w:sz="4" w:space="0" w:color="auto"/>
            </w:tcBorders>
            <w:noWrap/>
            <w:vAlign w:val="center"/>
            <w:hideMark/>
          </w:tcPr>
          <w:p w14:paraId="0C21625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226</w:t>
            </w:r>
          </w:p>
        </w:tc>
        <w:tc>
          <w:tcPr>
            <w:tcW w:w="1080" w:type="dxa"/>
            <w:tcBorders>
              <w:top w:val="nil"/>
              <w:left w:val="nil"/>
              <w:bottom w:val="single" w:sz="4" w:space="0" w:color="auto"/>
              <w:right w:val="single" w:sz="4" w:space="0" w:color="auto"/>
            </w:tcBorders>
            <w:noWrap/>
            <w:vAlign w:val="center"/>
            <w:hideMark/>
          </w:tcPr>
          <w:p w14:paraId="77C72B9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4B25D749"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54917F6F"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SE_005</w:t>
            </w:r>
          </w:p>
        </w:tc>
        <w:tc>
          <w:tcPr>
            <w:tcW w:w="2740" w:type="dxa"/>
            <w:tcBorders>
              <w:top w:val="nil"/>
              <w:left w:val="nil"/>
              <w:bottom w:val="single" w:sz="4" w:space="0" w:color="auto"/>
              <w:right w:val="single" w:sz="4" w:space="0" w:color="auto"/>
            </w:tcBorders>
            <w:shd w:val="clear" w:color="000000" w:fill="FFFFFF"/>
            <w:noWrap/>
            <w:vAlign w:val="bottom"/>
            <w:hideMark/>
          </w:tcPr>
          <w:p w14:paraId="6CD295C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Cerrina (AL)</w:t>
            </w:r>
          </w:p>
        </w:tc>
        <w:tc>
          <w:tcPr>
            <w:tcW w:w="1240" w:type="dxa"/>
            <w:tcBorders>
              <w:top w:val="nil"/>
              <w:left w:val="nil"/>
              <w:bottom w:val="single" w:sz="4" w:space="0" w:color="auto"/>
              <w:right w:val="single" w:sz="4" w:space="0" w:color="auto"/>
            </w:tcBorders>
            <w:noWrap/>
            <w:vAlign w:val="center"/>
            <w:hideMark/>
          </w:tcPr>
          <w:p w14:paraId="65C9901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w:t>
            </w:r>
          </w:p>
        </w:tc>
        <w:tc>
          <w:tcPr>
            <w:tcW w:w="1180" w:type="dxa"/>
            <w:tcBorders>
              <w:top w:val="nil"/>
              <w:left w:val="nil"/>
              <w:bottom w:val="single" w:sz="4" w:space="0" w:color="auto"/>
              <w:right w:val="single" w:sz="4" w:space="0" w:color="auto"/>
            </w:tcBorders>
            <w:noWrap/>
            <w:vAlign w:val="center"/>
            <w:hideMark/>
          </w:tcPr>
          <w:p w14:paraId="00A9D29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1754</w:t>
            </w:r>
          </w:p>
        </w:tc>
        <w:tc>
          <w:tcPr>
            <w:tcW w:w="1040" w:type="dxa"/>
            <w:tcBorders>
              <w:top w:val="nil"/>
              <w:left w:val="nil"/>
              <w:bottom w:val="single" w:sz="4" w:space="0" w:color="auto"/>
              <w:right w:val="single" w:sz="4" w:space="0" w:color="auto"/>
            </w:tcBorders>
            <w:noWrap/>
            <w:vAlign w:val="center"/>
            <w:hideMark/>
          </w:tcPr>
          <w:p w14:paraId="0E00DDF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97</w:t>
            </w:r>
          </w:p>
        </w:tc>
        <w:tc>
          <w:tcPr>
            <w:tcW w:w="1080" w:type="dxa"/>
            <w:tcBorders>
              <w:top w:val="nil"/>
              <w:left w:val="nil"/>
              <w:bottom w:val="single" w:sz="4" w:space="0" w:color="auto"/>
              <w:right w:val="single" w:sz="4" w:space="0" w:color="auto"/>
            </w:tcBorders>
            <w:noWrap/>
            <w:vAlign w:val="center"/>
            <w:hideMark/>
          </w:tcPr>
          <w:p w14:paraId="524F66C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95%</w:t>
            </w:r>
          </w:p>
        </w:tc>
      </w:tr>
      <w:tr w:rsidR="00162229" w:rsidRPr="00AD01C5" w14:paraId="4D220B6C"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05C0F386"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SE_006</w:t>
            </w:r>
          </w:p>
        </w:tc>
        <w:tc>
          <w:tcPr>
            <w:tcW w:w="2740" w:type="dxa"/>
            <w:tcBorders>
              <w:top w:val="nil"/>
              <w:left w:val="nil"/>
              <w:bottom w:val="single" w:sz="4" w:space="0" w:color="auto"/>
              <w:right w:val="single" w:sz="4" w:space="0" w:color="auto"/>
            </w:tcBorders>
            <w:shd w:val="clear" w:color="000000" w:fill="FFFFFF"/>
            <w:noWrap/>
            <w:vAlign w:val="bottom"/>
            <w:hideMark/>
          </w:tcPr>
          <w:p w14:paraId="564B13A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Castelnuovo Don Bosco (AT)</w:t>
            </w:r>
          </w:p>
        </w:tc>
        <w:tc>
          <w:tcPr>
            <w:tcW w:w="1240" w:type="dxa"/>
            <w:tcBorders>
              <w:top w:val="nil"/>
              <w:left w:val="nil"/>
              <w:bottom w:val="single" w:sz="4" w:space="0" w:color="auto"/>
              <w:right w:val="single" w:sz="4" w:space="0" w:color="auto"/>
            </w:tcBorders>
            <w:noWrap/>
            <w:vAlign w:val="center"/>
            <w:hideMark/>
          </w:tcPr>
          <w:p w14:paraId="193DBB7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w:t>
            </w:r>
          </w:p>
        </w:tc>
        <w:tc>
          <w:tcPr>
            <w:tcW w:w="1180" w:type="dxa"/>
            <w:tcBorders>
              <w:top w:val="nil"/>
              <w:left w:val="nil"/>
              <w:bottom w:val="single" w:sz="4" w:space="0" w:color="auto"/>
              <w:right w:val="single" w:sz="4" w:space="0" w:color="auto"/>
            </w:tcBorders>
            <w:noWrap/>
            <w:vAlign w:val="center"/>
            <w:hideMark/>
          </w:tcPr>
          <w:p w14:paraId="704CCCB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845</w:t>
            </w:r>
          </w:p>
        </w:tc>
        <w:tc>
          <w:tcPr>
            <w:tcW w:w="1040" w:type="dxa"/>
            <w:tcBorders>
              <w:top w:val="nil"/>
              <w:left w:val="nil"/>
              <w:bottom w:val="single" w:sz="4" w:space="0" w:color="auto"/>
              <w:right w:val="single" w:sz="4" w:space="0" w:color="auto"/>
            </w:tcBorders>
            <w:noWrap/>
            <w:vAlign w:val="center"/>
            <w:hideMark/>
          </w:tcPr>
          <w:p w14:paraId="4D56938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w:t>
            </w:r>
          </w:p>
        </w:tc>
        <w:tc>
          <w:tcPr>
            <w:tcW w:w="1080" w:type="dxa"/>
            <w:tcBorders>
              <w:top w:val="nil"/>
              <w:left w:val="nil"/>
              <w:bottom w:val="single" w:sz="4" w:space="0" w:color="auto"/>
              <w:right w:val="single" w:sz="4" w:space="0" w:color="auto"/>
            </w:tcBorders>
            <w:noWrap/>
            <w:vAlign w:val="center"/>
            <w:hideMark/>
          </w:tcPr>
          <w:p w14:paraId="0D67407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97%</w:t>
            </w:r>
          </w:p>
        </w:tc>
      </w:tr>
      <w:tr w:rsidR="00162229" w:rsidRPr="00AD01C5" w14:paraId="7BCACB0E"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E1D0C6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SE_007</w:t>
            </w:r>
          </w:p>
        </w:tc>
        <w:tc>
          <w:tcPr>
            <w:tcW w:w="2740" w:type="dxa"/>
            <w:tcBorders>
              <w:top w:val="nil"/>
              <w:left w:val="nil"/>
              <w:bottom w:val="single" w:sz="4" w:space="0" w:color="auto"/>
              <w:right w:val="single" w:sz="4" w:space="0" w:color="auto"/>
            </w:tcBorders>
            <w:shd w:val="clear" w:color="000000" w:fill="FFFFFF"/>
            <w:noWrap/>
            <w:vAlign w:val="bottom"/>
            <w:hideMark/>
          </w:tcPr>
          <w:p w14:paraId="2B724B1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Villanova D'Asti (AT)</w:t>
            </w:r>
          </w:p>
        </w:tc>
        <w:tc>
          <w:tcPr>
            <w:tcW w:w="1240" w:type="dxa"/>
            <w:tcBorders>
              <w:top w:val="nil"/>
              <w:left w:val="nil"/>
              <w:bottom w:val="single" w:sz="4" w:space="0" w:color="auto"/>
              <w:right w:val="single" w:sz="4" w:space="0" w:color="auto"/>
            </w:tcBorders>
            <w:noWrap/>
            <w:vAlign w:val="center"/>
            <w:hideMark/>
          </w:tcPr>
          <w:p w14:paraId="5AB6E8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14</w:t>
            </w:r>
          </w:p>
        </w:tc>
        <w:tc>
          <w:tcPr>
            <w:tcW w:w="1180" w:type="dxa"/>
            <w:tcBorders>
              <w:top w:val="nil"/>
              <w:left w:val="nil"/>
              <w:bottom w:val="single" w:sz="4" w:space="0" w:color="auto"/>
              <w:right w:val="single" w:sz="4" w:space="0" w:color="auto"/>
            </w:tcBorders>
            <w:noWrap/>
            <w:vAlign w:val="center"/>
            <w:hideMark/>
          </w:tcPr>
          <w:p w14:paraId="360067B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2677</w:t>
            </w:r>
          </w:p>
        </w:tc>
        <w:tc>
          <w:tcPr>
            <w:tcW w:w="1040" w:type="dxa"/>
            <w:tcBorders>
              <w:top w:val="nil"/>
              <w:left w:val="nil"/>
              <w:bottom w:val="single" w:sz="4" w:space="0" w:color="auto"/>
              <w:right w:val="single" w:sz="4" w:space="0" w:color="auto"/>
            </w:tcBorders>
            <w:noWrap/>
            <w:vAlign w:val="center"/>
            <w:hideMark/>
          </w:tcPr>
          <w:p w14:paraId="4898569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167</w:t>
            </w:r>
          </w:p>
        </w:tc>
        <w:tc>
          <w:tcPr>
            <w:tcW w:w="1080" w:type="dxa"/>
            <w:tcBorders>
              <w:top w:val="nil"/>
              <w:left w:val="nil"/>
              <w:bottom w:val="single" w:sz="4" w:space="0" w:color="auto"/>
              <w:right w:val="single" w:sz="4" w:space="0" w:color="auto"/>
            </w:tcBorders>
            <w:noWrap/>
            <w:vAlign w:val="center"/>
            <w:hideMark/>
          </w:tcPr>
          <w:p w14:paraId="173F8B2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94%</w:t>
            </w:r>
          </w:p>
        </w:tc>
      </w:tr>
      <w:tr w:rsidR="00162229" w:rsidRPr="00AD01C5" w14:paraId="20572049"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DDCE182"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SE_008</w:t>
            </w:r>
          </w:p>
        </w:tc>
        <w:tc>
          <w:tcPr>
            <w:tcW w:w="2740" w:type="dxa"/>
            <w:tcBorders>
              <w:top w:val="nil"/>
              <w:left w:val="nil"/>
              <w:bottom w:val="single" w:sz="4" w:space="0" w:color="auto"/>
              <w:right w:val="single" w:sz="4" w:space="0" w:color="auto"/>
            </w:tcBorders>
            <w:shd w:val="clear" w:color="000000" w:fill="FFFFFF"/>
            <w:noWrap/>
            <w:vAlign w:val="bottom"/>
            <w:hideMark/>
          </w:tcPr>
          <w:p w14:paraId="0DC3F0C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Canelli (AT)</w:t>
            </w:r>
          </w:p>
        </w:tc>
        <w:tc>
          <w:tcPr>
            <w:tcW w:w="1240" w:type="dxa"/>
            <w:tcBorders>
              <w:top w:val="nil"/>
              <w:left w:val="nil"/>
              <w:bottom w:val="single" w:sz="4" w:space="0" w:color="auto"/>
              <w:right w:val="single" w:sz="4" w:space="0" w:color="auto"/>
            </w:tcBorders>
            <w:noWrap/>
            <w:vAlign w:val="center"/>
            <w:hideMark/>
          </w:tcPr>
          <w:p w14:paraId="30F9A14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27</w:t>
            </w:r>
          </w:p>
        </w:tc>
        <w:tc>
          <w:tcPr>
            <w:tcW w:w="1180" w:type="dxa"/>
            <w:tcBorders>
              <w:top w:val="nil"/>
              <w:left w:val="nil"/>
              <w:bottom w:val="single" w:sz="4" w:space="0" w:color="auto"/>
              <w:right w:val="single" w:sz="4" w:space="0" w:color="auto"/>
            </w:tcBorders>
            <w:noWrap/>
            <w:vAlign w:val="center"/>
            <w:hideMark/>
          </w:tcPr>
          <w:p w14:paraId="73ACA1C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5171</w:t>
            </w:r>
          </w:p>
        </w:tc>
        <w:tc>
          <w:tcPr>
            <w:tcW w:w="1040" w:type="dxa"/>
            <w:tcBorders>
              <w:top w:val="nil"/>
              <w:left w:val="nil"/>
              <w:bottom w:val="single" w:sz="4" w:space="0" w:color="auto"/>
              <w:right w:val="single" w:sz="4" w:space="0" w:color="auto"/>
            </w:tcBorders>
            <w:noWrap/>
            <w:vAlign w:val="center"/>
            <w:hideMark/>
          </w:tcPr>
          <w:p w14:paraId="40C6C3E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942</w:t>
            </w:r>
          </w:p>
        </w:tc>
        <w:tc>
          <w:tcPr>
            <w:tcW w:w="1080" w:type="dxa"/>
            <w:tcBorders>
              <w:top w:val="nil"/>
              <w:left w:val="nil"/>
              <w:bottom w:val="single" w:sz="4" w:space="0" w:color="auto"/>
              <w:right w:val="single" w:sz="4" w:space="0" w:color="auto"/>
            </w:tcBorders>
            <w:noWrap/>
            <w:vAlign w:val="center"/>
            <w:hideMark/>
          </w:tcPr>
          <w:p w14:paraId="24565DB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85%</w:t>
            </w:r>
          </w:p>
        </w:tc>
      </w:tr>
      <w:tr w:rsidR="00162229" w:rsidRPr="00AD01C5" w14:paraId="02CB8401"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497E5754"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SE_009</w:t>
            </w:r>
          </w:p>
        </w:tc>
        <w:tc>
          <w:tcPr>
            <w:tcW w:w="2740" w:type="dxa"/>
            <w:tcBorders>
              <w:top w:val="nil"/>
              <w:left w:val="nil"/>
              <w:bottom w:val="single" w:sz="4" w:space="0" w:color="auto"/>
              <w:right w:val="single" w:sz="4" w:space="0" w:color="auto"/>
            </w:tcBorders>
            <w:shd w:val="clear" w:color="000000" w:fill="FFFFFF"/>
            <w:noWrap/>
            <w:vAlign w:val="bottom"/>
            <w:hideMark/>
          </w:tcPr>
          <w:p w14:paraId="0EE8FDF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Ticineto (AL)</w:t>
            </w:r>
          </w:p>
        </w:tc>
        <w:tc>
          <w:tcPr>
            <w:tcW w:w="1240" w:type="dxa"/>
            <w:tcBorders>
              <w:top w:val="nil"/>
              <w:left w:val="nil"/>
              <w:bottom w:val="single" w:sz="4" w:space="0" w:color="auto"/>
              <w:right w:val="single" w:sz="4" w:space="0" w:color="auto"/>
            </w:tcBorders>
            <w:noWrap/>
            <w:vAlign w:val="center"/>
            <w:hideMark/>
          </w:tcPr>
          <w:p w14:paraId="1B62EAE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w:t>
            </w:r>
          </w:p>
        </w:tc>
        <w:tc>
          <w:tcPr>
            <w:tcW w:w="1180" w:type="dxa"/>
            <w:tcBorders>
              <w:top w:val="nil"/>
              <w:left w:val="nil"/>
              <w:bottom w:val="single" w:sz="4" w:space="0" w:color="auto"/>
              <w:right w:val="single" w:sz="4" w:space="0" w:color="auto"/>
            </w:tcBorders>
            <w:noWrap/>
            <w:vAlign w:val="center"/>
            <w:hideMark/>
          </w:tcPr>
          <w:p w14:paraId="3CD99BE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466</w:t>
            </w:r>
          </w:p>
        </w:tc>
        <w:tc>
          <w:tcPr>
            <w:tcW w:w="1040" w:type="dxa"/>
            <w:tcBorders>
              <w:top w:val="nil"/>
              <w:left w:val="nil"/>
              <w:bottom w:val="single" w:sz="4" w:space="0" w:color="auto"/>
              <w:right w:val="single" w:sz="4" w:space="0" w:color="auto"/>
            </w:tcBorders>
            <w:noWrap/>
            <w:vAlign w:val="center"/>
            <w:hideMark/>
          </w:tcPr>
          <w:p w14:paraId="033E781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w:t>
            </w:r>
          </w:p>
        </w:tc>
        <w:tc>
          <w:tcPr>
            <w:tcW w:w="1080" w:type="dxa"/>
            <w:tcBorders>
              <w:top w:val="nil"/>
              <w:left w:val="nil"/>
              <w:bottom w:val="single" w:sz="4" w:space="0" w:color="auto"/>
              <w:right w:val="single" w:sz="4" w:space="0" w:color="auto"/>
            </w:tcBorders>
            <w:noWrap/>
            <w:vAlign w:val="center"/>
            <w:hideMark/>
          </w:tcPr>
          <w:p w14:paraId="0E9199F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98%</w:t>
            </w:r>
          </w:p>
        </w:tc>
      </w:tr>
      <w:tr w:rsidR="00162229" w:rsidRPr="00AD01C5" w14:paraId="50DE9BEC"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5493CF7D"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SE_010</w:t>
            </w:r>
          </w:p>
        </w:tc>
        <w:tc>
          <w:tcPr>
            <w:tcW w:w="2740" w:type="dxa"/>
            <w:tcBorders>
              <w:top w:val="nil"/>
              <w:left w:val="nil"/>
              <w:bottom w:val="single" w:sz="4" w:space="0" w:color="auto"/>
              <w:right w:val="single" w:sz="4" w:space="0" w:color="auto"/>
            </w:tcBorders>
            <w:shd w:val="clear" w:color="000000" w:fill="FFFFFF"/>
            <w:noWrap/>
            <w:vAlign w:val="bottom"/>
            <w:hideMark/>
          </w:tcPr>
          <w:p w14:paraId="458BBFE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Cabella Ligure (AL)</w:t>
            </w:r>
          </w:p>
        </w:tc>
        <w:tc>
          <w:tcPr>
            <w:tcW w:w="1240" w:type="dxa"/>
            <w:tcBorders>
              <w:top w:val="nil"/>
              <w:left w:val="nil"/>
              <w:bottom w:val="single" w:sz="4" w:space="0" w:color="auto"/>
              <w:right w:val="single" w:sz="4" w:space="0" w:color="auto"/>
            </w:tcBorders>
            <w:noWrap/>
            <w:vAlign w:val="center"/>
            <w:hideMark/>
          </w:tcPr>
          <w:p w14:paraId="1D4F164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w:t>
            </w:r>
          </w:p>
        </w:tc>
        <w:tc>
          <w:tcPr>
            <w:tcW w:w="1180" w:type="dxa"/>
            <w:tcBorders>
              <w:top w:val="nil"/>
              <w:left w:val="nil"/>
              <w:bottom w:val="single" w:sz="4" w:space="0" w:color="auto"/>
              <w:right w:val="single" w:sz="4" w:space="0" w:color="auto"/>
            </w:tcBorders>
            <w:noWrap/>
            <w:vAlign w:val="center"/>
            <w:hideMark/>
          </w:tcPr>
          <w:p w14:paraId="7E16958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1559</w:t>
            </w:r>
          </w:p>
        </w:tc>
        <w:tc>
          <w:tcPr>
            <w:tcW w:w="1040" w:type="dxa"/>
            <w:tcBorders>
              <w:top w:val="nil"/>
              <w:left w:val="nil"/>
              <w:bottom w:val="single" w:sz="4" w:space="0" w:color="auto"/>
              <w:right w:val="single" w:sz="4" w:space="0" w:color="auto"/>
            </w:tcBorders>
            <w:noWrap/>
            <w:vAlign w:val="center"/>
            <w:hideMark/>
          </w:tcPr>
          <w:p w14:paraId="43745AC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288</w:t>
            </w:r>
          </w:p>
        </w:tc>
        <w:tc>
          <w:tcPr>
            <w:tcW w:w="1080" w:type="dxa"/>
            <w:tcBorders>
              <w:top w:val="nil"/>
              <w:left w:val="nil"/>
              <w:bottom w:val="single" w:sz="4" w:space="0" w:color="auto"/>
              <w:right w:val="single" w:sz="4" w:space="0" w:color="auto"/>
            </w:tcBorders>
            <w:noWrap/>
            <w:vAlign w:val="center"/>
            <w:hideMark/>
          </w:tcPr>
          <w:p w14:paraId="61CB573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7959E62F"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071081A2"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SE_011</w:t>
            </w:r>
          </w:p>
        </w:tc>
        <w:tc>
          <w:tcPr>
            <w:tcW w:w="2740" w:type="dxa"/>
            <w:tcBorders>
              <w:top w:val="nil"/>
              <w:left w:val="nil"/>
              <w:bottom w:val="single" w:sz="4" w:space="0" w:color="auto"/>
              <w:right w:val="single" w:sz="4" w:space="0" w:color="auto"/>
            </w:tcBorders>
            <w:shd w:val="clear" w:color="000000" w:fill="FFFFFF"/>
            <w:noWrap/>
            <w:vAlign w:val="bottom"/>
            <w:hideMark/>
          </w:tcPr>
          <w:p w14:paraId="1F49CF9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Borghetto Di Borbera (AL)</w:t>
            </w:r>
          </w:p>
        </w:tc>
        <w:tc>
          <w:tcPr>
            <w:tcW w:w="1240" w:type="dxa"/>
            <w:tcBorders>
              <w:top w:val="nil"/>
              <w:left w:val="nil"/>
              <w:bottom w:val="single" w:sz="4" w:space="0" w:color="auto"/>
              <w:right w:val="single" w:sz="4" w:space="0" w:color="auto"/>
            </w:tcBorders>
            <w:noWrap/>
            <w:vAlign w:val="center"/>
            <w:hideMark/>
          </w:tcPr>
          <w:p w14:paraId="6DAE708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w:t>
            </w:r>
          </w:p>
        </w:tc>
        <w:tc>
          <w:tcPr>
            <w:tcW w:w="1180" w:type="dxa"/>
            <w:tcBorders>
              <w:top w:val="nil"/>
              <w:left w:val="nil"/>
              <w:bottom w:val="single" w:sz="4" w:space="0" w:color="auto"/>
              <w:right w:val="single" w:sz="4" w:space="0" w:color="auto"/>
            </w:tcBorders>
            <w:noWrap/>
            <w:vAlign w:val="center"/>
            <w:hideMark/>
          </w:tcPr>
          <w:p w14:paraId="581F071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733</w:t>
            </w:r>
          </w:p>
        </w:tc>
        <w:tc>
          <w:tcPr>
            <w:tcW w:w="1040" w:type="dxa"/>
            <w:tcBorders>
              <w:top w:val="nil"/>
              <w:left w:val="nil"/>
              <w:bottom w:val="single" w:sz="4" w:space="0" w:color="auto"/>
              <w:right w:val="single" w:sz="4" w:space="0" w:color="auto"/>
            </w:tcBorders>
            <w:noWrap/>
            <w:vAlign w:val="center"/>
            <w:hideMark/>
          </w:tcPr>
          <w:p w14:paraId="395FCB8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117</w:t>
            </w:r>
          </w:p>
        </w:tc>
        <w:tc>
          <w:tcPr>
            <w:tcW w:w="1080" w:type="dxa"/>
            <w:tcBorders>
              <w:top w:val="nil"/>
              <w:left w:val="nil"/>
              <w:bottom w:val="single" w:sz="4" w:space="0" w:color="auto"/>
              <w:right w:val="single" w:sz="4" w:space="0" w:color="auto"/>
            </w:tcBorders>
            <w:noWrap/>
            <w:vAlign w:val="center"/>
            <w:hideMark/>
          </w:tcPr>
          <w:p w14:paraId="2B0EFF0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86%</w:t>
            </w:r>
          </w:p>
        </w:tc>
      </w:tr>
      <w:tr w:rsidR="00162229" w:rsidRPr="00AD01C5" w14:paraId="06657E01"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08E09FF3"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SE_012</w:t>
            </w:r>
          </w:p>
        </w:tc>
        <w:tc>
          <w:tcPr>
            <w:tcW w:w="2740" w:type="dxa"/>
            <w:tcBorders>
              <w:top w:val="nil"/>
              <w:left w:val="nil"/>
              <w:bottom w:val="single" w:sz="4" w:space="0" w:color="auto"/>
              <w:right w:val="single" w:sz="4" w:space="0" w:color="auto"/>
            </w:tcBorders>
            <w:shd w:val="clear" w:color="000000" w:fill="FFFFFF"/>
            <w:noWrap/>
            <w:vAlign w:val="bottom"/>
            <w:hideMark/>
          </w:tcPr>
          <w:p w14:paraId="2C64DEF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Acqui Terme (AL)</w:t>
            </w:r>
          </w:p>
        </w:tc>
        <w:tc>
          <w:tcPr>
            <w:tcW w:w="1240" w:type="dxa"/>
            <w:tcBorders>
              <w:top w:val="nil"/>
              <w:left w:val="nil"/>
              <w:bottom w:val="single" w:sz="4" w:space="0" w:color="auto"/>
              <w:right w:val="single" w:sz="4" w:space="0" w:color="auto"/>
            </w:tcBorders>
            <w:noWrap/>
            <w:vAlign w:val="center"/>
            <w:hideMark/>
          </w:tcPr>
          <w:p w14:paraId="34CA20E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12</w:t>
            </w:r>
          </w:p>
        </w:tc>
        <w:tc>
          <w:tcPr>
            <w:tcW w:w="1180" w:type="dxa"/>
            <w:tcBorders>
              <w:top w:val="nil"/>
              <w:left w:val="nil"/>
              <w:bottom w:val="single" w:sz="4" w:space="0" w:color="auto"/>
              <w:right w:val="single" w:sz="4" w:space="0" w:color="auto"/>
            </w:tcBorders>
            <w:noWrap/>
            <w:vAlign w:val="center"/>
            <w:hideMark/>
          </w:tcPr>
          <w:p w14:paraId="495C940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2128</w:t>
            </w:r>
          </w:p>
        </w:tc>
        <w:tc>
          <w:tcPr>
            <w:tcW w:w="1040" w:type="dxa"/>
            <w:tcBorders>
              <w:top w:val="nil"/>
              <w:left w:val="nil"/>
              <w:bottom w:val="single" w:sz="4" w:space="0" w:color="auto"/>
              <w:right w:val="single" w:sz="4" w:space="0" w:color="auto"/>
            </w:tcBorders>
            <w:noWrap/>
            <w:vAlign w:val="center"/>
            <w:hideMark/>
          </w:tcPr>
          <w:p w14:paraId="7FA7E28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190</w:t>
            </w:r>
          </w:p>
        </w:tc>
        <w:tc>
          <w:tcPr>
            <w:tcW w:w="1080" w:type="dxa"/>
            <w:tcBorders>
              <w:top w:val="nil"/>
              <w:left w:val="nil"/>
              <w:bottom w:val="single" w:sz="4" w:space="0" w:color="auto"/>
              <w:right w:val="single" w:sz="4" w:space="0" w:color="auto"/>
            </w:tcBorders>
            <w:noWrap/>
            <w:vAlign w:val="center"/>
            <w:hideMark/>
          </w:tcPr>
          <w:p w14:paraId="66A9426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39A27AE7"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7E9FA741"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SE_013</w:t>
            </w:r>
          </w:p>
        </w:tc>
        <w:tc>
          <w:tcPr>
            <w:tcW w:w="2740" w:type="dxa"/>
            <w:tcBorders>
              <w:top w:val="nil"/>
              <w:left w:val="nil"/>
              <w:bottom w:val="single" w:sz="4" w:space="0" w:color="auto"/>
              <w:right w:val="single" w:sz="4" w:space="0" w:color="auto"/>
            </w:tcBorders>
            <w:shd w:val="clear" w:color="000000" w:fill="FFFFFF"/>
            <w:noWrap/>
            <w:vAlign w:val="bottom"/>
            <w:hideMark/>
          </w:tcPr>
          <w:p w14:paraId="4DE05FF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Alessandria (AL)</w:t>
            </w:r>
          </w:p>
        </w:tc>
        <w:tc>
          <w:tcPr>
            <w:tcW w:w="1240" w:type="dxa"/>
            <w:tcBorders>
              <w:top w:val="nil"/>
              <w:left w:val="nil"/>
              <w:bottom w:val="single" w:sz="4" w:space="0" w:color="auto"/>
              <w:right w:val="single" w:sz="4" w:space="0" w:color="auto"/>
            </w:tcBorders>
            <w:noWrap/>
            <w:vAlign w:val="center"/>
            <w:hideMark/>
          </w:tcPr>
          <w:p w14:paraId="33CEBAE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14</w:t>
            </w:r>
          </w:p>
        </w:tc>
        <w:tc>
          <w:tcPr>
            <w:tcW w:w="1180" w:type="dxa"/>
            <w:tcBorders>
              <w:top w:val="nil"/>
              <w:left w:val="nil"/>
              <w:bottom w:val="single" w:sz="4" w:space="0" w:color="auto"/>
              <w:right w:val="single" w:sz="4" w:space="0" w:color="auto"/>
            </w:tcBorders>
            <w:noWrap/>
            <w:vAlign w:val="center"/>
            <w:hideMark/>
          </w:tcPr>
          <w:p w14:paraId="1CE636B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3303</w:t>
            </w:r>
          </w:p>
        </w:tc>
        <w:tc>
          <w:tcPr>
            <w:tcW w:w="1040" w:type="dxa"/>
            <w:tcBorders>
              <w:top w:val="nil"/>
              <w:left w:val="nil"/>
              <w:bottom w:val="single" w:sz="4" w:space="0" w:color="auto"/>
              <w:right w:val="single" w:sz="4" w:space="0" w:color="auto"/>
            </w:tcBorders>
            <w:noWrap/>
            <w:vAlign w:val="center"/>
            <w:hideMark/>
          </w:tcPr>
          <w:p w14:paraId="46CF01A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174</w:t>
            </w:r>
          </w:p>
        </w:tc>
        <w:tc>
          <w:tcPr>
            <w:tcW w:w="1080" w:type="dxa"/>
            <w:tcBorders>
              <w:top w:val="nil"/>
              <w:left w:val="nil"/>
              <w:bottom w:val="single" w:sz="4" w:space="0" w:color="auto"/>
              <w:right w:val="single" w:sz="4" w:space="0" w:color="auto"/>
            </w:tcBorders>
            <w:noWrap/>
            <w:vAlign w:val="center"/>
            <w:hideMark/>
          </w:tcPr>
          <w:p w14:paraId="0E7F02F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95%</w:t>
            </w:r>
          </w:p>
        </w:tc>
      </w:tr>
      <w:tr w:rsidR="00162229" w:rsidRPr="00AD01C5" w14:paraId="34BF1314"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951C557"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SE_014</w:t>
            </w:r>
          </w:p>
        </w:tc>
        <w:tc>
          <w:tcPr>
            <w:tcW w:w="2740" w:type="dxa"/>
            <w:tcBorders>
              <w:top w:val="nil"/>
              <w:left w:val="nil"/>
              <w:bottom w:val="single" w:sz="4" w:space="0" w:color="auto"/>
              <w:right w:val="single" w:sz="4" w:space="0" w:color="auto"/>
            </w:tcBorders>
            <w:shd w:val="clear" w:color="000000" w:fill="FFFFFF"/>
            <w:noWrap/>
            <w:vAlign w:val="bottom"/>
            <w:hideMark/>
          </w:tcPr>
          <w:p w14:paraId="410C50C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Tortona (AL)</w:t>
            </w:r>
          </w:p>
        </w:tc>
        <w:tc>
          <w:tcPr>
            <w:tcW w:w="1240" w:type="dxa"/>
            <w:tcBorders>
              <w:top w:val="nil"/>
              <w:left w:val="nil"/>
              <w:bottom w:val="single" w:sz="4" w:space="0" w:color="auto"/>
              <w:right w:val="single" w:sz="4" w:space="0" w:color="auto"/>
            </w:tcBorders>
            <w:noWrap/>
            <w:vAlign w:val="center"/>
            <w:hideMark/>
          </w:tcPr>
          <w:p w14:paraId="1083C8A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w:t>
            </w:r>
          </w:p>
        </w:tc>
        <w:tc>
          <w:tcPr>
            <w:tcW w:w="1180" w:type="dxa"/>
            <w:tcBorders>
              <w:top w:val="nil"/>
              <w:left w:val="nil"/>
              <w:bottom w:val="single" w:sz="4" w:space="0" w:color="auto"/>
              <w:right w:val="single" w:sz="4" w:space="0" w:color="auto"/>
            </w:tcBorders>
            <w:noWrap/>
            <w:vAlign w:val="center"/>
            <w:hideMark/>
          </w:tcPr>
          <w:p w14:paraId="2AB5406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1987</w:t>
            </w:r>
          </w:p>
        </w:tc>
        <w:tc>
          <w:tcPr>
            <w:tcW w:w="1040" w:type="dxa"/>
            <w:tcBorders>
              <w:top w:val="nil"/>
              <w:left w:val="nil"/>
              <w:bottom w:val="single" w:sz="4" w:space="0" w:color="auto"/>
              <w:right w:val="single" w:sz="4" w:space="0" w:color="auto"/>
            </w:tcBorders>
            <w:noWrap/>
            <w:vAlign w:val="center"/>
            <w:hideMark/>
          </w:tcPr>
          <w:p w14:paraId="0675715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281</w:t>
            </w:r>
          </w:p>
        </w:tc>
        <w:tc>
          <w:tcPr>
            <w:tcW w:w="1080" w:type="dxa"/>
            <w:tcBorders>
              <w:top w:val="nil"/>
              <w:left w:val="nil"/>
              <w:bottom w:val="single" w:sz="4" w:space="0" w:color="auto"/>
              <w:right w:val="single" w:sz="4" w:space="0" w:color="auto"/>
            </w:tcBorders>
            <w:noWrap/>
            <w:vAlign w:val="center"/>
            <w:hideMark/>
          </w:tcPr>
          <w:p w14:paraId="6288CA2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88%</w:t>
            </w:r>
          </w:p>
        </w:tc>
      </w:tr>
      <w:tr w:rsidR="00162229" w:rsidRPr="00AD01C5" w14:paraId="61338673"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14BBDD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SE_016</w:t>
            </w:r>
          </w:p>
        </w:tc>
        <w:tc>
          <w:tcPr>
            <w:tcW w:w="2740" w:type="dxa"/>
            <w:tcBorders>
              <w:top w:val="nil"/>
              <w:left w:val="nil"/>
              <w:bottom w:val="single" w:sz="4" w:space="0" w:color="auto"/>
              <w:right w:val="single" w:sz="4" w:space="0" w:color="auto"/>
            </w:tcBorders>
            <w:shd w:val="clear" w:color="000000" w:fill="FFFFFF"/>
            <w:noWrap/>
            <w:vAlign w:val="bottom"/>
            <w:hideMark/>
          </w:tcPr>
          <w:p w14:paraId="71BF615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Ovada (AL)</w:t>
            </w:r>
          </w:p>
        </w:tc>
        <w:tc>
          <w:tcPr>
            <w:tcW w:w="1240" w:type="dxa"/>
            <w:tcBorders>
              <w:top w:val="nil"/>
              <w:left w:val="nil"/>
              <w:bottom w:val="single" w:sz="4" w:space="0" w:color="auto"/>
              <w:right w:val="single" w:sz="4" w:space="0" w:color="auto"/>
            </w:tcBorders>
            <w:noWrap/>
            <w:vAlign w:val="center"/>
            <w:hideMark/>
          </w:tcPr>
          <w:p w14:paraId="5606E85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16</w:t>
            </w:r>
          </w:p>
        </w:tc>
        <w:tc>
          <w:tcPr>
            <w:tcW w:w="1180" w:type="dxa"/>
            <w:tcBorders>
              <w:top w:val="nil"/>
              <w:left w:val="nil"/>
              <w:bottom w:val="single" w:sz="4" w:space="0" w:color="auto"/>
              <w:right w:val="single" w:sz="4" w:space="0" w:color="auto"/>
            </w:tcBorders>
            <w:noWrap/>
            <w:vAlign w:val="center"/>
            <w:hideMark/>
          </w:tcPr>
          <w:p w14:paraId="620CAE1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3022</w:t>
            </w:r>
          </w:p>
        </w:tc>
        <w:tc>
          <w:tcPr>
            <w:tcW w:w="1040" w:type="dxa"/>
            <w:tcBorders>
              <w:top w:val="nil"/>
              <w:left w:val="nil"/>
              <w:bottom w:val="single" w:sz="4" w:space="0" w:color="auto"/>
              <w:right w:val="single" w:sz="4" w:space="0" w:color="auto"/>
            </w:tcBorders>
            <w:noWrap/>
            <w:vAlign w:val="center"/>
            <w:hideMark/>
          </w:tcPr>
          <w:p w14:paraId="1B80A48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165</w:t>
            </w:r>
          </w:p>
        </w:tc>
        <w:tc>
          <w:tcPr>
            <w:tcW w:w="1080" w:type="dxa"/>
            <w:tcBorders>
              <w:top w:val="nil"/>
              <w:left w:val="nil"/>
              <w:bottom w:val="single" w:sz="4" w:space="0" w:color="auto"/>
              <w:right w:val="single" w:sz="4" w:space="0" w:color="auto"/>
            </w:tcBorders>
            <w:noWrap/>
            <w:vAlign w:val="center"/>
            <w:hideMark/>
          </w:tcPr>
          <w:p w14:paraId="313534B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95%</w:t>
            </w:r>
          </w:p>
        </w:tc>
      </w:tr>
      <w:tr w:rsidR="00162229" w:rsidRPr="00AD01C5" w14:paraId="785F8D2C"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10B9D84D"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SE_017</w:t>
            </w:r>
          </w:p>
        </w:tc>
        <w:tc>
          <w:tcPr>
            <w:tcW w:w="2740" w:type="dxa"/>
            <w:tcBorders>
              <w:top w:val="nil"/>
              <w:left w:val="nil"/>
              <w:bottom w:val="single" w:sz="4" w:space="0" w:color="auto"/>
              <w:right w:val="single" w:sz="4" w:space="0" w:color="auto"/>
            </w:tcBorders>
            <w:shd w:val="clear" w:color="000000" w:fill="FFFFFF"/>
            <w:noWrap/>
            <w:vAlign w:val="bottom"/>
            <w:hideMark/>
          </w:tcPr>
          <w:p w14:paraId="44ABB26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Mirabello (AL)</w:t>
            </w:r>
          </w:p>
        </w:tc>
        <w:tc>
          <w:tcPr>
            <w:tcW w:w="1240" w:type="dxa"/>
            <w:tcBorders>
              <w:top w:val="nil"/>
              <w:left w:val="nil"/>
              <w:bottom w:val="single" w:sz="4" w:space="0" w:color="auto"/>
              <w:right w:val="single" w:sz="4" w:space="0" w:color="auto"/>
            </w:tcBorders>
            <w:noWrap/>
            <w:vAlign w:val="center"/>
            <w:hideMark/>
          </w:tcPr>
          <w:p w14:paraId="09E6F3C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w:t>
            </w:r>
          </w:p>
        </w:tc>
        <w:tc>
          <w:tcPr>
            <w:tcW w:w="1180" w:type="dxa"/>
            <w:tcBorders>
              <w:top w:val="nil"/>
              <w:left w:val="nil"/>
              <w:bottom w:val="single" w:sz="4" w:space="0" w:color="auto"/>
              <w:right w:val="single" w:sz="4" w:space="0" w:color="auto"/>
            </w:tcBorders>
            <w:noWrap/>
            <w:vAlign w:val="center"/>
            <w:hideMark/>
          </w:tcPr>
          <w:p w14:paraId="7C21F5A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727</w:t>
            </w:r>
          </w:p>
        </w:tc>
        <w:tc>
          <w:tcPr>
            <w:tcW w:w="1040" w:type="dxa"/>
            <w:tcBorders>
              <w:top w:val="nil"/>
              <w:left w:val="nil"/>
              <w:bottom w:val="single" w:sz="4" w:space="0" w:color="auto"/>
              <w:right w:val="single" w:sz="4" w:space="0" w:color="auto"/>
            </w:tcBorders>
            <w:noWrap/>
            <w:vAlign w:val="center"/>
            <w:hideMark/>
          </w:tcPr>
          <w:p w14:paraId="3DD9C68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55</w:t>
            </w:r>
          </w:p>
        </w:tc>
        <w:tc>
          <w:tcPr>
            <w:tcW w:w="1080" w:type="dxa"/>
            <w:tcBorders>
              <w:top w:val="nil"/>
              <w:left w:val="nil"/>
              <w:bottom w:val="single" w:sz="4" w:space="0" w:color="auto"/>
              <w:right w:val="single" w:sz="4" w:space="0" w:color="auto"/>
            </w:tcBorders>
            <w:noWrap/>
            <w:vAlign w:val="center"/>
            <w:hideMark/>
          </w:tcPr>
          <w:p w14:paraId="66A2388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93%</w:t>
            </w:r>
          </w:p>
        </w:tc>
      </w:tr>
      <w:tr w:rsidR="00162229" w:rsidRPr="00AD01C5" w14:paraId="77283EB5"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04B7D40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SE_018</w:t>
            </w:r>
          </w:p>
        </w:tc>
        <w:tc>
          <w:tcPr>
            <w:tcW w:w="2740" w:type="dxa"/>
            <w:tcBorders>
              <w:top w:val="nil"/>
              <w:left w:val="nil"/>
              <w:bottom w:val="single" w:sz="4" w:space="0" w:color="auto"/>
              <w:right w:val="single" w:sz="4" w:space="0" w:color="auto"/>
            </w:tcBorders>
            <w:shd w:val="clear" w:color="000000" w:fill="FFFFFF"/>
            <w:noWrap/>
            <w:vAlign w:val="bottom"/>
            <w:hideMark/>
          </w:tcPr>
          <w:p w14:paraId="1B4E2B4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Tortona (AL)</w:t>
            </w:r>
          </w:p>
        </w:tc>
        <w:tc>
          <w:tcPr>
            <w:tcW w:w="1240" w:type="dxa"/>
            <w:tcBorders>
              <w:top w:val="nil"/>
              <w:left w:val="nil"/>
              <w:bottom w:val="single" w:sz="4" w:space="0" w:color="auto"/>
              <w:right w:val="single" w:sz="4" w:space="0" w:color="auto"/>
            </w:tcBorders>
            <w:noWrap/>
            <w:vAlign w:val="center"/>
            <w:hideMark/>
          </w:tcPr>
          <w:p w14:paraId="20DED34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w:t>
            </w:r>
          </w:p>
        </w:tc>
        <w:tc>
          <w:tcPr>
            <w:tcW w:w="1180" w:type="dxa"/>
            <w:tcBorders>
              <w:top w:val="nil"/>
              <w:left w:val="nil"/>
              <w:bottom w:val="single" w:sz="4" w:space="0" w:color="auto"/>
              <w:right w:val="single" w:sz="4" w:space="0" w:color="auto"/>
            </w:tcBorders>
            <w:noWrap/>
            <w:vAlign w:val="center"/>
            <w:hideMark/>
          </w:tcPr>
          <w:p w14:paraId="1F5C232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382</w:t>
            </w:r>
          </w:p>
        </w:tc>
        <w:tc>
          <w:tcPr>
            <w:tcW w:w="1040" w:type="dxa"/>
            <w:tcBorders>
              <w:top w:val="nil"/>
              <w:left w:val="nil"/>
              <w:bottom w:val="single" w:sz="4" w:space="0" w:color="auto"/>
              <w:right w:val="single" w:sz="4" w:space="0" w:color="auto"/>
            </w:tcBorders>
            <w:noWrap/>
            <w:vAlign w:val="center"/>
            <w:hideMark/>
          </w:tcPr>
          <w:p w14:paraId="2CBCAF1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91</w:t>
            </w:r>
          </w:p>
        </w:tc>
        <w:tc>
          <w:tcPr>
            <w:tcW w:w="1080" w:type="dxa"/>
            <w:tcBorders>
              <w:top w:val="nil"/>
              <w:left w:val="nil"/>
              <w:bottom w:val="single" w:sz="4" w:space="0" w:color="auto"/>
              <w:right w:val="single" w:sz="4" w:space="0" w:color="auto"/>
            </w:tcBorders>
            <w:noWrap/>
            <w:vAlign w:val="center"/>
            <w:hideMark/>
          </w:tcPr>
          <w:p w14:paraId="5D96A44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81%</w:t>
            </w:r>
          </w:p>
        </w:tc>
      </w:tr>
      <w:tr w:rsidR="00162229" w:rsidRPr="00AD01C5" w14:paraId="7D600678"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5DFA9193"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SE_019</w:t>
            </w:r>
          </w:p>
        </w:tc>
        <w:tc>
          <w:tcPr>
            <w:tcW w:w="2740" w:type="dxa"/>
            <w:tcBorders>
              <w:top w:val="nil"/>
              <w:left w:val="nil"/>
              <w:bottom w:val="single" w:sz="4" w:space="0" w:color="auto"/>
              <w:right w:val="single" w:sz="4" w:space="0" w:color="auto"/>
            </w:tcBorders>
            <w:shd w:val="clear" w:color="000000" w:fill="FFFFFF"/>
            <w:noWrap/>
            <w:vAlign w:val="bottom"/>
            <w:hideMark/>
          </w:tcPr>
          <w:p w14:paraId="70AF9CE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Novi Ligure (AL)</w:t>
            </w:r>
          </w:p>
        </w:tc>
        <w:tc>
          <w:tcPr>
            <w:tcW w:w="1240" w:type="dxa"/>
            <w:tcBorders>
              <w:top w:val="nil"/>
              <w:left w:val="nil"/>
              <w:bottom w:val="single" w:sz="4" w:space="0" w:color="auto"/>
              <w:right w:val="single" w:sz="4" w:space="0" w:color="auto"/>
            </w:tcBorders>
            <w:noWrap/>
            <w:vAlign w:val="center"/>
            <w:hideMark/>
          </w:tcPr>
          <w:p w14:paraId="1C2418D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w:t>
            </w:r>
          </w:p>
        </w:tc>
        <w:tc>
          <w:tcPr>
            <w:tcW w:w="1180" w:type="dxa"/>
            <w:tcBorders>
              <w:top w:val="nil"/>
              <w:left w:val="nil"/>
              <w:bottom w:val="single" w:sz="4" w:space="0" w:color="auto"/>
              <w:right w:val="single" w:sz="4" w:space="0" w:color="auto"/>
            </w:tcBorders>
            <w:noWrap/>
            <w:vAlign w:val="center"/>
            <w:hideMark/>
          </w:tcPr>
          <w:p w14:paraId="2FDA144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2794</w:t>
            </w:r>
          </w:p>
        </w:tc>
        <w:tc>
          <w:tcPr>
            <w:tcW w:w="1040" w:type="dxa"/>
            <w:tcBorders>
              <w:top w:val="nil"/>
              <w:left w:val="nil"/>
              <w:bottom w:val="single" w:sz="4" w:space="0" w:color="auto"/>
              <w:right w:val="single" w:sz="4" w:space="0" w:color="auto"/>
            </w:tcBorders>
            <w:noWrap/>
            <w:vAlign w:val="center"/>
            <w:hideMark/>
          </w:tcPr>
          <w:p w14:paraId="5C489A4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293</w:t>
            </w:r>
          </w:p>
        </w:tc>
        <w:tc>
          <w:tcPr>
            <w:tcW w:w="1080" w:type="dxa"/>
            <w:tcBorders>
              <w:top w:val="nil"/>
              <w:left w:val="nil"/>
              <w:bottom w:val="single" w:sz="4" w:space="0" w:color="auto"/>
              <w:right w:val="single" w:sz="4" w:space="0" w:color="auto"/>
            </w:tcBorders>
            <w:noWrap/>
            <w:vAlign w:val="center"/>
            <w:hideMark/>
          </w:tcPr>
          <w:p w14:paraId="6854196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90%</w:t>
            </w:r>
          </w:p>
        </w:tc>
      </w:tr>
      <w:tr w:rsidR="00162229" w:rsidRPr="00AD01C5" w14:paraId="3AFD7EFD"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67E5194F"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SE_020</w:t>
            </w:r>
          </w:p>
        </w:tc>
        <w:tc>
          <w:tcPr>
            <w:tcW w:w="2740" w:type="dxa"/>
            <w:tcBorders>
              <w:top w:val="nil"/>
              <w:left w:val="nil"/>
              <w:bottom w:val="single" w:sz="4" w:space="0" w:color="auto"/>
              <w:right w:val="single" w:sz="4" w:space="0" w:color="auto"/>
            </w:tcBorders>
            <w:shd w:val="clear" w:color="000000" w:fill="FFFFFF"/>
            <w:noWrap/>
            <w:vAlign w:val="bottom"/>
            <w:hideMark/>
          </w:tcPr>
          <w:p w14:paraId="5B08E54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Terzo (AL)</w:t>
            </w:r>
          </w:p>
        </w:tc>
        <w:tc>
          <w:tcPr>
            <w:tcW w:w="1240" w:type="dxa"/>
            <w:tcBorders>
              <w:top w:val="nil"/>
              <w:left w:val="nil"/>
              <w:bottom w:val="single" w:sz="4" w:space="0" w:color="auto"/>
              <w:right w:val="single" w:sz="4" w:space="0" w:color="auto"/>
            </w:tcBorders>
            <w:noWrap/>
            <w:vAlign w:val="center"/>
            <w:hideMark/>
          </w:tcPr>
          <w:p w14:paraId="7F51D9F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w:t>
            </w:r>
          </w:p>
        </w:tc>
        <w:tc>
          <w:tcPr>
            <w:tcW w:w="1180" w:type="dxa"/>
            <w:tcBorders>
              <w:top w:val="nil"/>
              <w:left w:val="nil"/>
              <w:bottom w:val="single" w:sz="4" w:space="0" w:color="auto"/>
              <w:right w:val="single" w:sz="4" w:space="0" w:color="auto"/>
            </w:tcBorders>
            <w:noWrap/>
            <w:vAlign w:val="center"/>
            <w:hideMark/>
          </w:tcPr>
          <w:p w14:paraId="0223E9D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607</w:t>
            </w:r>
          </w:p>
        </w:tc>
        <w:tc>
          <w:tcPr>
            <w:tcW w:w="1040" w:type="dxa"/>
            <w:tcBorders>
              <w:top w:val="nil"/>
              <w:left w:val="nil"/>
              <w:bottom w:val="single" w:sz="4" w:space="0" w:color="auto"/>
              <w:right w:val="single" w:sz="4" w:space="0" w:color="auto"/>
            </w:tcBorders>
            <w:noWrap/>
            <w:vAlign w:val="center"/>
            <w:hideMark/>
          </w:tcPr>
          <w:p w14:paraId="36CFBD5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167</w:t>
            </w:r>
          </w:p>
        </w:tc>
        <w:tc>
          <w:tcPr>
            <w:tcW w:w="1080" w:type="dxa"/>
            <w:tcBorders>
              <w:top w:val="nil"/>
              <w:left w:val="nil"/>
              <w:bottom w:val="single" w:sz="4" w:space="0" w:color="auto"/>
              <w:right w:val="single" w:sz="4" w:space="0" w:color="auto"/>
            </w:tcBorders>
            <w:noWrap/>
            <w:vAlign w:val="center"/>
            <w:hideMark/>
          </w:tcPr>
          <w:p w14:paraId="5A9FAEB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78%</w:t>
            </w:r>
          </w:p>
        </w:tc>
      </w:tr>
      <w:tr w:rsidR="00162229" w:rsidRPr="00AD01C5" w14:paraId="31733153"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9FD7CB7"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SE_022</w:t>
            </w:r>
          </w:p>
        </w:tc>
        <w:tc>
          <w:tcPr>
            <w:tcW w:w="2740" w:type="dxa"/>
            <w:tcBorders>
              <w:top w:val="nil"/>
              <w:left w:val="nil"/>
              <w:bottom w:val="single" w:sz="4" w:space="0" w:color="auto"/>
              <w:right w:val="single" w:sz="4" w:space="0" w:color="auto"/>
            </w:tcBorders>
            <w:shd w:val="clear" w:color="000000" w:fill="FFFFFF"/>
            <w:noWrap/>
            <w:vAlign w:val="bottom"/>
            <w:hideMark/>
          </w:tcPr>
          <w:p w14:paraId="7CA632E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Casale Monferrato (AL)</w:t>
            </w:r>
          </w:p>
        </w:tc>
        <w:tc>
          <w:tcPr>
            <w:tcW w:w="1240" w:type="dxa"/>
            <w:tcBorders>
              <w:top w:val="nil"/>
              <w:left w:val="nil"/>
              <w:bottom w:val="single" w:sz="4" w:space="0" w:color="auto"/>
              <w:right w:val="single" w:sz="4" w:space="0" w:color="auto"/>
            </w:tcBorders>
            <w:noWrap/>
            <w:vAlign w:val="center"/>
            <w:hideMark/>
          </w:tcPr>
          <w:p w14:paraId="0EFC7BA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w:t>
            </w:r>
          </w:p>
        </w:tc>
        <w:tc>
          <w:tcPr>
            <w:tcW w:w="1180" w:type="dxa"/>
            <w:tcBorders>
              <w:top w:val="nil"/>
              <w:left w:val="nil"/>
              <w:bottom w:val="single" w:sz="4" w:space="0" w:color="auto"/>
              <w:right w:val="single" w:sz="4" w:space="0" w:color="auto"/>
            </w:tcBorders>
            <w:noWrap/>
            <w:vAlign w:val="center"/>
            <w:hideMark/>
          </w:tcPr>
          <w:p w14:paraId="0720692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189</w:t>
            </w:r>
          </w:p>
        </w:tc>
        <w:tc>
          <w:tcPr>
            <w:tcW w:w="1040" w:type="dxa"/>
            <w:tcBorders>
              <w:top w:val="nil"/>
              <w:left w:val="nil"/>
              <w:bottom w:val="single" w:sz="4" w:space="0" w:color="auto"/>
              <w:right w:val="single" w:sz="4" w:space="0" w:color="auto"/>
            </w:tcBorders>
            <w:noWrap/>
            <w:vAlign w:val="center"/>
            <w:hideMark/>
          </w:tcPr>
          <w:p w14:paraId="016E821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20</w:t>
            </w:r>
          </w:p>
        </w:tc>
        <w:tc>
          <w:tcPr>
            <w:tcW w:w="1080" w:type="dxa"/>
            <w:tcBorders>
              <w:top w:val="nil"/>
              <w:left w:val="nil"/>
              <w:bottom w:val="single" w:sz="4" w:space="0" w:color="auto"/>
              <w:right w:val="single" w:sz="4" w:space="0" w:color="auto"/>
            </w:tcBorders>
            <w:noWrap/>
            <w:vAlign w:val="center"/>
            <w:hideMark/>
          </w:tcPr>
          <w:p w14:paraId="07826BE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91%</w:t>
            </w:r>
          </w:p>
        </w:tc>
      </w:tr>
      <w:tr w:rsidR="00162229" w:rsidRPr="00AD01C5" w14:paraId="71C8F6AA" w14:textId="77777777" w:rsidTr="002A21C0">
        <w:trPr>
          <w:trHeight w:val="300"/>
        </w:trPr>
        <w:tc>
          <w:tcPr>
            <w:tcW w:w="1580" w:type="dxa"/>
            <w:tcBorders>
              <w:top w:val="nil"/>
              <w:left w:val="single" w:sz="4" w:space="0" w:color="auto"/>
              <w:bottom w:val="single" w:sz="4" w:space="0" w:color="auto"/>
              <w:right w:val="single" w:sz="4" w:space="0" w:color="auto"/>
            </w:tcBorders>
            <w:shd w:val="clear" w:color="000000" w:fill="CFE4AF"/>
            <w:vAlign w:val="center"/>
            <w:hideMark/>
          </w:tcPr>
          <w:p w14:paraId="2B381468"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SE_023</w:t>
            </w:r>
          </w:p>
        </w:tc>
        <w:tc>
          <w:tcPr>
            <w:tcW w:w="2740" w:type="dxa"/>
            <w:tcBorders>
              <w:top w:val="nil"/>
              <w:left w:val="nil"/>
              <w:bottom w:val="single" w:sz="4" w:space="0" w:color="auto"/>
              <w:right w:val="single" w:sz="4" w:space="0" w:color="auto"/>
            </w:tcBorders>
            <w:shd w:val="clear" w:color="000000" w:fill="FFFFFF"/>
            <w:noWrap/>
            <w:vAlign w:val="bottom"/>
            <w:hideMark/>
          </w:tcPr>
          <w:p w14:paraId="2173B46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Montechiaro D'Asti (AT)</w:t>
            </w:r>
          </w:p>
        </w:tc>
        <w:tc>
          <w:tcPr>
            <w:tcW w:w="1240" w:type="dxa"/>
            <w:tcBorders>
              <w:top w:val="nil"/>
              <w:left w:val="nil"/>
              <w:bottom w:val="single" w:sz="4" w:space="0" w:color="auto"/>
              <w:right w:val="single" w:sz="4" w:space="0" w:color="auto"/>
            </w:tcBorders>
            <w:noWrap/>
            <w:vAlign w:val="center"/>
            <w:hideMark/>
          </w:tcPr>
          <w:p w14:paraId="6EDCDB1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w:t>
            </w:r>
          </w:p>
        </w:tc>
        <w:tc>
          <w:tcPr>
            <w:tcW w:w="1180" w:type="dxa"/>
            <w:tcBorders>
              <w:top w:val="nil"/>
              <w:left w:val="nil"/>
              <w:bottom w:val="single" w:sz="4" w:space="0" w:color="auto"/>
              <w:right w:val="single" w:sz="4" w:space="0" w:color="auto"/>
            </w:tcBorders>
            <w:noWrap/>
            <w:vAlign w:val="center"/>
            <w:hideMark/>
          </w:tcPr>
          <w:p w14:paraId="29CD4F9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494</w:t>
            </w:r>
          </w:p>
        </w:tc>
        <w:tc>
          <w:tcPr>
            <w:tcW w:w="1040" w:type="dxa"/>
            <w:tcBorders>
              <w:top w:val="nil"/>
              <w:left w:val="nil"/>
              <w:bottom w:val="single" w:sz="4" w:space="0" w:color="auto"/>
              <w:right w:val="single" w:sz="4" w:space="0" w:color="auto"/>
            </w:tcBorders>
            <w:noWrap/>
            <w:vAlign w:val="center"/>
            <w:hideMark/>
          </w:tcPr>
          <w:p w14:paraId="44723FD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25</w:t>
            </w:r>
          </w:p>
        </w:tc>
        <w:tc>
          <w:tcPr>
            <w:tcW w:w="1080" w:type="dxa"/>
            <w:tcBorders>
              <w:top w:val="nil"/>
              <w:left w:val="nil"/>
              <w:bottom w:val="single" w:sz="4" w:space="0" w:color="auto"/>
              <w:right w:val="single" w:sz="4" w:space="0" w:color="auto"/>
            </w:tcBorders>
            <w:noWrap/>
            <w:vAlign w:val="center"/>
            <w:hideMark/>
          </w:tcPr>
          <w:p w14:paraId="6E0931D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95%</w:t>
            </w:r>
          </w:p>
        </w:tc>
      </w:tr>
      <w:tr w:rsidR="00162229" w:rsidRPr="00AD01C5" w14:paraId="0E938AD9" w14:textId="77777777" w:rsidTr="002A21C0">
        <w:trPr>
          <w:trHeight w:val="300"/>
        </w:trPr>
        <w:tc>
          <w:tcPr>
            <w:tcW w:w="1580" w:type="dxa"/>
            <w:tcBorders>
              <w:top w:val="nil"/>
              <w:left w:val="single" w:sz="4" w:space="0" w:color="auto"/>
              <w:bottom w:val="nil"/>
              <w:right w:val="single" w:sz="4" w:space="0" w:color="auto"/>
            </w:tcBorders>
            <w:shd w:val="clear" w:color="000000" w:fill="CFE4AF"/>
            <w:vAlign w:val="center"/>
            <w:hideMark/>
          </w:tcPr>
          <w:p w14:paraId="45ABCC92"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SE_024</w:t>
            </w:r>
          </w:p>
        </w:tc>
        <w:tc>
          <w:tcPr>
            <w:tcW w:w="2740" w:type="dxa"/>
            <w:tcBorders>
              <w:top w:val="nil"/>
              <w:left w:val="nil"/>
              <w:bottom w:val="nil"/>
              <w:right w:val="single" w:sz="4" w:space="0" w:color="auto"/>
            </w:tcBorders>
            <w:shd w:val="clear" w:color="000000" w:fill="FFFFFF"/>
            <w:noWrap/>
            <w:vAlign w:val="bottom"/>
            <w:hideMark/>
          </w:tcPr>
          <w:p w14:paraId="6AD3DDC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Cocconato (AT)</w:t>
            </w:r>
          </w:p>
        </w:tc>
        <w:tc>
          <w:tcPr>
            <w:tcW w:w="1240" w:type="dxa"/>
            <w:tcBorders>
              <w:top w:val="nil"/>
              <w:left w:val="nil"/>
              <w:bottom w:val="nil"/>
              <w:right w:val="single" w:sz="4" w:space="0" w:color="auto"/>
            </w:tcBorders>
            <w:noWrap/>
            <w:vAlign w:val="center"/>
            <w:hideMark/>
          </w:tcPr>
          <w:p w14:paraId="5CEFBB8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w:t>
            </w:r>
          </w:p>
        </w:tc>
        <w:tc>
          <w:tcPr>
            <w:tcW w:w="1180" w:type="dxa"/>
            <w:tcBorders>
              <w:top w:val="nil"/>
              <w:left w:val="nil"/>
              <w:bottom w:val="nil"/>
              <w:right w:val="single" w:sz="4" w:space="0" w:color="auto"/>
            </w:tcBorders>
            <w:noWrap/>
            <w:vAlign w:val="center"/>
            <w:hideMark/>
          </w:tcPr>
          <w:p w14:paraId="73F96E9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1008</w:t>
            </w:r>
          </w:p>
        </w:tc>
        <w:tc>
          <w:tcPr>
            <w:tcW w:w="1040" w:type="dxa"/>
            <w:tcBorders>
              <w:top w:val="nil"/>
              <w:left w:val="nil"/>
              <w:bottom w:val="nil"/>
              <w:right w:val="single" w:sz="4" w:space="0" w:color="auto"/>
            </w:tcBorders>
            <w:noWrap/>
            <w:vAlign w:val="center"/>
            <w:hideMark/>
          </w:tcPr>
          <w:p w14:paraId="4315C86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130</w:t>
            </w:r>
          </w:p>
        </w:tc>
        <w:tc>
          <w:tcPr>
            <w:tcW w:w="1080" w:type="dxa"/>
            <w:tcBorders>
              <w:top w:val="nil"/>
              <w:left w:val="nil"/>
              <w:bottom w:val="nil"/>
              <w:right w:val="single" w:sz="4" w:space="0" w:color="auto"/>
            </w:tcBorders>
            <w:noWrap/>
            <w:vAlign w:val="center"/>
            <w:hideMark/>
          </w:tcPr>
          <w:p w14:paraId="35B57D4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89%</w:t>
            </w:r>
          </w:p>
        </w:tc>
      </w:tr>
      <w:tr w:rsidR="00162229" w:rsidRPr="00AD01C5" w14:paraId="453B9FE5" w14:textId="77777777" w:rsidTr="002A21C0">
        <w:trPr>
          <w:trHeight w:val="300"/>
        </w:trPr>
        <w:tc>
          <w:tcPr>
            <w:tcW w:w="1580" w:type="dxa"/>
            <w:tcBorders>
              <w:top w:val="double" w:sz="6" w:space="0" w:color="auto"/>
              <w:left w:val="single" w:sz="4" w:space="0" w:color="auto"/>
              <w:bottom w:val="single" w:sz="4" w:space="0" w:color="auto"/>
              <w:right w:val="single" w:sz="4" w:space="0" w:color="auto"/>
            </w:tcBorders>
            <w:shd w:val="clear" w:color="000000" w:fill="CFE4AF"/>
            <w:vAlign w:val="center"/>
            <w:hideMark/>
          </w:tcPr>
          <w:p w14:paraId="4D4264F2"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Totale</w:t>
            </w:r>
          </w:p>
        </w:tc>
        <w:tc>
          <w:tcPr>
            <w:tcW w:w="2740" w:type="dxa"/>
            <w:tcBorders>
              <w:top w:val="double" w:sz="6" w:space="0" w:color="auto"/>
              <w:left w:val="nil"/>
              <w:bottom w:val="single" w:sz="4" w:space="0" w:color="auto"/>
              <w:right w:val="single" w:sz="4" w:space="0" w:color="auto"/>
            </w:tcBorders>
            <w:noWrap/>
            <w:vAlign w:val="bottom"/>
            <w:hideMark/>
          </w:tcPr>
          <w:p w14:paraId="07278803"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240" w:type="dxa"/>
            <w:tcBorders>
              <w:top w:val="double" w:sz="6" w:space="0" w:color="auto"/>
              <w:left w:val="nil"/>
              <w:bottom w:val="single" w:sz="4" w:space="0" w:color="auto"/>
              <w:right w:val="single" w:sz="4" w:space="0" w:color="auto"/>
            </w:tcBorders>
            <w:noWrap/>
            <w:vAlign w:val="bottom"/>
            <w:hideMark/>
          </w:tcPr>
          <w:p w14:paraId="12998461"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252</w:t>
            </w:r>
          </w:p>
        </w:tc>
        <w:tc>
          <w:tcPr>
            <w:tcW w:w="1180" w:type="dxa"/>
            <w:tcBorders>
              <w:top w:val="double" w:sz="6" w:space="0" w:color="auto"/>
              <w:left w:val="nil"/>
              <w:bottom w:val="single" w:sz="4" w:space="0" w:color="auto"/>
              <w:right w:val="single" w:sz="4" w:space="0" w:color="auto"/>
            </w:tcBorders>
            <w:noWrap/>
            <w:vAlign w:val="bottom"/>
            <w:hideMark/>
          </w:tcPr>
          <w:p w14:paraId="267833F0"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48.156</w:t>
            </w:r>
          </w:p>
        </w:tc>
        <w:tc>
          <w:tcPr>
            <w:tcW w:w="1040" w:type="dxa"/>
            <w:tcBorders>
              <w:top w:val="double" w:sz="6" w:space="0" w:color="auto"/>
              <w:left w:val="nil"/>
              <w:bottom w:val="single" w:sz="4" w:space="0" w:color="auto"/>
              <w:right w:val="single" w:sz="4" w:space="0" w:color="auto"/>
            </w:tcBorders>
            <w:noWrap/>
            <w:vAlign w:val="bottom"/>
            <w:hideMark/>
          </w:tcPr>
          <w:p w14:paraId="6C6D4897"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4.731</w:t>
            </w:r>
          </w:p>
        </w:tc>
        <w:tc>
          <w:tcPr>
            <w:tcW w:w="1080" w:type="dxa"/>
            <w:tcBorders>
              <w:top w:val="double" w:sz="6" w:space="0" w:color="auto"/>
              <w:left w:val="nil"/>
              <w:bottom w:val="single" w:sz="4" w:space="0" w:color="auto"/>
              <w:right w:val="single" w:sz="4" w:space="0" w:color="auto"/>
            </w:tcBorders>
            <w:noWrap/>
            <w:vAlign w:val="bottom"/>
            <w:hideMark/>
          </w:tcPr>
          <w:p w14:paraId="3786B0DB"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r>
    </w:tbl>
    <w:p w14:paraId="1B71E1F8" w14:textId="2EA8749B" w:rsidR="00162229" w:rsidRPr="00AD01C5" w:rsidRDefault="00162229" w:rsidP="00162229">
      <w:pPr>
        <w:spacing w:after="200" w:line="240" w:lineRule="auto"/>
        <w:jc w:val="center"/>
        <w:rPr>
          <w:rFonts w:ascii="Calibri" w:eastAsia="Calibri" w:hAnsi="Calibri" w:cs="Arial"/>
          <w:i/>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43</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Descrizione indicatori scenario base</w:t>
      </w:r>
    </w:p>
    <w:p w14:paraId="7AF6AF65"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Nello “scenario base” così definito la produzione giornaliera dei servizi è gestita con 22 depositi e 252 veicoli, contro i 31 depositi e i 269 veicoli dello “scenario zero”, tale organizzazione comporta una produzione di km a vuoto tale da generare un’efficienza media dei depositi del 91% (km di servizio sul totale di km percorsi dagli autobus assegnati al deposito). </w:t>
      </w:r>
    </w:p>
    <w:p w14:paraId="64B3C0C2" w14:textId="77777777" w:rsidR="00162229" w:rsidRPr="00AD01C5" w:rsidRDefault="00162229" w:rsidP="00162229">
      <w:pPr>
        <w:pStyle w:val="Titolo3"/>
        <w:ind w:left="720"/>
      </w:pPr>
      <w:bookmarkStart w:id="366" w:name="_Toc204328761"/>
      <w:bookmarkStart w:id="367" w:name="_Toc205213761"/>
      <w:r w:rsidRPr="00AD01C5">
        <w:lastRenderedPageBreak/>
        <w:t>Generazione degli scenari di assegnazione</w:t>
      </w:r>
      <w:bookmarkEnd w:id="366"/>
      <w:bookmarkEnd w:id="367"/>
    </w:p>
    <w:p w14:paraId="5EF6B11C" w14:textId="1BE6D573"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Da questa prima assegnazione sono seguite due fasi di ottimizzazione successive con riduzione progressiva del numero di depositi, così come descritte nello schema di </w:t>
      </w:r>
      <w:r w:rsidR="00B930AE">
        <w:rPr>
          <w:rFonts w:ascii="Calibri" w:eastAsia="Calibri" w:hAnsi="Calibri" w:cs="Arial"/>
        </w:rPr>
        <w:fldChar w:fldCharType="begin"/>
      </w:r>
      <w:r w:rsidR="00B930AE">
        <w:rPr>
          <w:rFonts w:ascii="Calibri" w:eastAsia="Calibri" w:hAnsi="Calibri" w:cs="Arial"/>
        </w:rPr>
        <w:instrText xml:space="preserve"> REF _Ref205205762 \h </w:instrText>
      </w:r>
      <w:r w:rsidR="00B930AE">
        <w:rPr>
          <w:rFonts w:ascii="Calibri" w:eastAsia="Calibri" w:hAnsi="Calibri" w:cs="Arial"/>
        </w:rPr>
      </w:r>
      <w:r w:rsidR="00B930AE">
        <w:rPr>
          <w:rFonts w:ascii="Calibri" w:eastAsia="Calibri" w:hAnsi="Calibri" w:cs="Arial"/>
        </w:rPr>
        <w:instrText xml:space="preserve"> \* MERGEFORMAT </w:instrText>
      </w:r>
      <w:r w:rsidR="00B930AE">
        <w:rPr>
          <w:rFonts w:ascii="Calibri" w:eastAsia="Calibri" w:hAnsi="Calibri" w:cs="Arial"/>
        </w:rPr>
        <w:fldChar w:fldCharType="separate"/>
      </w:r>
      <w:r w:rsidR="00670903" w:rsidRPr="00670903">
        <w:rPr>
          <w:rFonts w:ascii="Calibri" w:eastAsia="Calibri" w:hAnsi="Calibri" w:cs="Arial"/>
        </w:rPr>
        <w:t>Figura 26</w:t>
      </w:r>
      <w:r w:rsidR="00B930AE">
        <w:rPr>
          <w:rFonts w:ascii="Calibri" w:eastAsia="Calibri" w:hAnsi="Calibri" w:cs="Arial"/>
        </w:rPr>
        <w:fldChar w:fldCharType="end"/>
      </w:r>
      <w:r w:rsidR="00B930AE">
        <w:rPr>
          <w:rFonts w:ascii="Calibri" w:eastAsia="Calibri" w:hAnsi="Calibri" w:cs="Arial"/>
        </w:rPr>
        <w:t>.</w:t>
      </w:r>
    </w:p>
    <w:p w14:paraId="38F568D2"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noProof/>
        </w:rPr>
        <w:drawing>
          <wp:inline distT="0" distB="0" distL="0" distR="0" wp14:anchorId="4EC9A91D" wp14:editId="374A053E">
            <wp:extent cx="5738948" cy="3327847"/>
            <wp:effectExtent l="0" t="0" r="0" b="6350"/>
            <wp:docPr id="772580443" name="Immagine 1" descr="Immagine che contiene testo, schermata, Carattere,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33293" name="Immagine 1" descr="Immagine che contiene testo, schermata, Carattere, Rettangolo&#10;&#10;Descrizione generata automaticament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92557" cy="3358933"/>
                    </a:xfrm>
                    <a:prstGeom prst="rect">
                      <a:avLst/>
                    </a:prstGeom>
                    <a:noFill/>
                  </pic:spPr>
                </pic:pic>
              </a:graphicData>
            </a:graphic>
          </wp:inline>
        </w:drawing>
      </w:r>
    </w:p>
    <w:p w14:paraId="39C31E7A" w14:textId="456A4C66" w:rsidR="00162229" w:rsidRPr="00AD01C5" w:rsidRDefault="00162229" w:rsidP="00162229">
      <w:pPr>
        <w:spacing w:after="0" w:line="240" w:lineRule="auto"/>
        <w:jc w:val="center"/>
        <w:rPr>
          <w:rFonts w:ascii="Calibri" w:eastAsia="Calibri" w:hAnsi="Calibri" w:cs="Arial"/>
          <w:iCs/>
          <w:color w:val="003366"/>
          <w:sz w:val="18"/>
          <w:szCs w:val="18"/>
        </w:rPr>
      </w:pPr>
      <w:bookmarkStart w:id="368" w:name="_Ref205205753"/>
      <w:bookmarkStart w:id="369" w:name="_Ref205205762"/>
      <w:r w:rsidRPr="00AD01C5">
        <w:rPr>
          <w:rFonts w:ascii="Calibri" w:eastAsia="Calibri" w:hAnsi="Calibri" w:cs="Arial"/>
          <w:i/>
          <w:color w:val="003366"/>
          <w:sz w:val="18"/>
          <w:szCs w:val="18"/>
        </w:rPr>
        <w:t xml:space="preserve">Figura </w:t>
      </w:r>
      <w:r w:rsidRPr="00AD01C5">
        <w:rPr>
          <w:rFonts w:ascii="Calibri" w:eastAsia="Calibri" w:hAnsi="Calibri" w:cs="Arial"/>
          <w:i/>
          <w:color w:val="003366"/>
          <w:sz w:val="18"/>
          <w:szCs w:val="18"/>
        </w:rPr>
        <w:fldChar w:fldCharType="begin"/>
      </w:r>
      <w:r w:rsidRPr="00AD01C5">
        <w:rPr>
          <w:rFonts w:ascii="Calibri" w:eastAsia="Calibri" w:hAnsi="Calibri" w:cs="Arial"/>
          <w:i/>
          <w:color w:val="003366"/>
          <w:sz w:val="18"/>
          <w:szCs w:val="18"/>
        </w:rPr>
        <w:instrText xml:space="preserve"> SEQ Figura \* ARABIC </w:instrText>
      </w:r>
      <w:r w:rsidRPr="00AD01C5">
        <w:rPr>
          <w:rFonts w:ascii="Calibri" w:eastAsia="Calibri" w:hAnsi="Calibri" w:cs="Arial"/>
          <w:i/>
          <w:color w:val="003366"/>
          <w:sz w:val="18"/>
          <w:szCs w:val="18"/>
        </w:rPr>
        <w:fldChar w:fldCharType="separate"/>
      </w:r>
      <w:r w:rsidR="00670903">
        <w:rPr>
          <w:rFonts w:ascii="Calibri" w:eastAsia="Calibri" w:hAnsi="Calibri" w:cs="Arial"/>
          <w:i/>
          <w:noProof/>
          <w:color w:val="003366"/>
          <w:sz w:val="18"/>
          <w:szCs w:val="18"/>
        </w:rPr>
        <w:t>26</w:t>
      </w:r>
      <w:r w:rsidRPr="00AD01C5">
        <w:rPr>
          <w:rFonts w:ascii="Calibri" w:eastAsia="Calibri" w:hAnsi="Calibri" w:cs="Arial"/>
          <w:i/>
          <w:color w:val="003366"/>
          <w:sz w:val="18"/>
          <w:szCs w:val="18"/>
        </w:rPr>
        <w:fldChar w:fldCharType="end"/>
      </w:r>
      <w:bookmarkEnd w:id="369"/>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Flusso processo di ottimizzazione</w:t>
      </w:r>
      <w:bookmarkEnd w:id="368"/>
    </w:p>
    <w:p w14:paraId="59E16B71" w14:textId="511D63B9"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Analizzando il risultato dello scenario base è stato possibile identificare i depositi meno utilizzati e, per ogni linea, il numero di corse assegnate ad ogni deposito. Sono stati quindi gradualmente rimossi alcuni depositi in base al numero residuo di veicoli assegnati e alla posizione geografica (es. un solo deposito per comune), verificando che l’impiego complessivo di veicoli fosse tale da ottenere una media di circa 30 veicoli a deposito. Lo scenario 1 riduce drasticamente il numero dei depositi, mantenendo quasi invariato il numero di veicoli e con un incremento modesto dei km giornalieri a vuoto rispetto allo scenario base che definisce una efficienza media dei depositi pari all’88%.</w:t>
      </w:r>
    </w:p>
    <w:tbl>
      <w:tblPr>
        <w:tblW w:w="8569" w:type="dxa"/>
        <w:jc w:val="center"/>
        <w:tblCellMar>
          <w:left w:w="70" w:type="dxa"/>
          <w:right w:w="70" w:type="dxa"/>
        </w:tblCellMar>
        <w:tblLook w:val="04A0" w:firstRow="1" w:lastRow="0" w:firstColumn="1" w:lastColumn="0" w:noHBand="0" w:noVBand="1"/>
      </w:tblPr>
      <w:tblGrid>
        <w:gridCol w:w="1365"/>
        <w:gridCol w:w="2374"/>
        <w:gridCol w:w="1512"/>
        <w:gridCol w:w="1239"/>
        <w:gridCol w:w="1029"/>
        <w:gridCol w:w="1050"/>
      </w:tblGrid>
      <w:tr w:rsidR="00162229" w:rsidRPr="00AD01C5" w14:paraId="6ADD025C" w14:textId="77777777" w:rsidTr="002A21C0">
        <w:trPr>
          <w:trHeight w:val="787"/>
          <w:jc w:val="center"/>
        </w:trPr>
        <w:tc>
          <w:tcPr>
            <w:tcW w:w="1365"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37E3B202"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Codice Deposito</w:t>
            </w:r>
          </w:p>
        </w:tc>
        <w:tc>
          <w:tcPr>
            <w:tcW w:w="2374" w:type="dxa"/>
            <w:tcBorders>
              <w:top w:val="single" w:sz="4" w:space="0" w:color="auto"/>
              <w:left w:val="nil"/>
              <w:bottom w:val="single" w:sz="4" w:space="0" w:color="auto"/>
              <w:right w:val="single" w:sz="4" w:space="0" w:color="auto"/>
            </w:tcBorders>
            <w:shd w:val="clear" w:color="000000" w:fill="8DB15F"/>
            <w:vAlign w:val="center"/>
            <w:hideMark/>
          </w:tcPr>
          <w:p w14:paraId="3530B60B"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Localizzazione</w:t>
            </w:r>
          </w:p>
        </w:tc>
        <w:tc>
          <w:tcPr>
            <w:tcW w:w="1512" w:type="dxa"/>
            <w:tcBorders>
              <w:top w:val="single" w:sz="4" w:space="0" w:color="auto"/>
              <w:left w:val="nil"/>
              <w:bottom w:val="single" w:sz="4" w:space="0" w:color="auto"/>
              <w:right w:val="single" w:sz="4" w:space="0" w:color="auto"/>
            </w:tcBorders>
            <w:shd w:val="clear" w:color="000000" w:fill="8DB15F"/>
            <w:vAlign w:val="center"/>
            <w:hideMark/>
          </w:tcPr>
          <w:p w14:paraId="28C48A21"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Di Veicoli</w:t>
            </w:r>
          </w:p>
        </w:tc>
        <w:tc>
          <w:tcPr>
            <w:tcW w:w="1239" w:type="dxa"/>
            <w:tcBorders>
              <w:top w:val="single" w:sz="4" w:space="0" w:color="auto"/>
              <w:left w:val="nil"/>
              <w:bottom w:val="single" w:sz="4" w:space="0" w:color="auto"/>
              <w:right w:val="single" w:sz="4" w:space="0" w:color="auto"/>
            </w:tcBorders>
            <w:shd w:val="clear" w:color="000000" w:fill="8DB15F"/>
            <w:vAlign w:val="center"/>
            <w:hideMark/>
          </w:tcPr>
          <w:p w14:paraId="16F3EE6E"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Servizio</w:t>
            </w:r>
          </w:p>
        </w:tc>
        <w:tc>
          <w:tcPr>
            <w:tcW w:w="1029" w:type="dxa"/>
            <w:tcBorders>
              <w:top w:val="single" w:sz="4" w:space="0" w:color="auto"/>
              <w:left w:val="nil"/>
              <w:bottom w:val="single" w:sz="4" w:space="0" w:color="auto"/>
              <w:right w:val="single" w:sz="4" w:space="0" w:color="auto"/>
            </w:tcBorders>
            <w:shd w:val="clear" w:color="000000" w:fill="8DB15F"/>
            <w:vAlign w:val="center"/>
            <w:hideMark/>
          </w:tcPr>
          <w:p w14:paraId="270EAEA8"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Vuoto</w:t>
            </w:r>
          </w:p>
        </w:tc>
        <w:tc>
          <w:tcPr>
            <w:tcW w:w="1050" w:type="dxa"/>
            <w:tcBorders>
              <w:top w:val="single" w:sz="4" w:space="0" w:color="auto"/>
              <w:left w:val="nil"/>
              <w:bottom w:val="single" w:sz="4" w:space="0" w:color="auto"/>
              <w:right w:val="single" w:sz="4" w:space="0" w:color="auto"/>
            </w:tcBorders>
            <w:shd w:val="clear" w:color="000000" w:fill="8DB15F"/>
            <w:vAlign w:val="center"/>
            <w:hideMark/>
          </w:tcPr>
          <w:p w14:paraId="794F1B73"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Eff. Deposito</w:t>
            </w:r>
          </w:p>
        </w:tc>
      </w:tr>
      <w:tr w:rsidR="00162229" w:rsidRPr="00AD01C5" w14:paraId="0A30280C"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3BB07FB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SE_001</w:t>
            </w:r>
          </w:p>
        </w:tc>
        <w:tc>
          <w:tcPr>
            <w:tcW w:w="2374" w:type="dxa"/>
            <w:tcBorders>
              <w:top w:val="nil"/>
              <w:left w:val="nil"/>
              <w:bottom w:val="single" w:sz="4" w:space="0" w:color="auto"/>
              <w:right w:val="single" w:sz="4" w:space="0" w:color="auto"/>
            </w:tcBorders>
            <w:shd w:val="clear" w:color="000000" w:fill="FFFFFF"/>
            <w:noWrap/>
            <w:vAlign w:val="bottom"/>
            <w:hideMark/>
          </w:tcPr>
          <w:p w14:paraId="7D20E99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Alessandria (AL)</w:t>
            </w:r>
          </w:p>
        </w:tc>
        <w:tc>
          <w:tcPr>
            <w:tcW w:w="1512" w:type="dxa"/>
            <w:tcBorders>
              <w:top w:val="nil"/>
              <w:left w:val="nil"/>
              <w:bottom w:val="single" w:sz="4" w:space="0" w:color="auto"/>
              <w:right w:val="single" w:sz="4" w:space="0" w:color="auto"/>
            </w:tcBorders>
            <w:noWrap/>
            <w:vAlign w:val="center"/>
            <w:hideMark/>
          </w:tcPr>
          <w:p w14:paraId="72AE630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47</w:t>
            </w:r>
          </w:p>
        </w:tc>
        <w:tc>
          <w:tcPr>
            <w:tcW w:w="1239" w:type="dxa"/>
            <w:tcBorders>
              <w:top w:val="nil"/>
              <w:left w:val="nil"/>
              <w:bottom w:val="single" w:sz="4" w:space="0" w:color="auto"/>
              <w:right w:val="single" w:sz="4" w:space="0" w:color="auto"/>
            </w:tcBorders>
            <w:noWrap/>
            <w:vAlign w:val="center"/>
            <w:hideMark/>
          </w:tcPr>
          <w:p w14:paraId="271AED3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10721</w:t>
            </w:r>
          </w:p>
        </w:tc>
        <w:tc>
          <w:tcPr>
            <w:tcW w:w="1029" w:type="dxa"/>
            <w:tcBorders>
              <w:top w:val="nil"/>
              <w:left w:val="nil"/>
              <w:bottom w:val="single" w:sz="4" w:space="0" w:color="auto"/>
              <w:right w:val="single" w:sz="4" w:space="0" w:color="auto"/>
            </w:tcBorders>
            <w:noWrap/>
            <w:vAlign w:val="center"/>
            <w:hideMark/>
          </w:tcPr>
          <w:p w14:paraId="4F0B752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983</w:t>
            </w:r>
          </w:p>
        </w:tc>
        <w:tc>
          <w:tcPr>
            <w:tcW w:w="1050" w:type="dxa"/>
            <w:tcBorders>
              <w:top w:val="nil"/>
              <w:left w:val="nil"/>
              <w:bottom w:val="single" w:sz="4" w:space="0" w:color="auto"/>
              <w:right w:val="single" w:sz="4" w:space="0" w:color="auto"/>
            </w:tcBorders>
            <w:noWrap/>
            <w:vAlign w:val="center"/>
            <w:hideMark/>
          </w:tcPr>
          <w:p w14:paraId="059A440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2D0D745D"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747CF89F"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SE_002</w:t>
            </w:r>
          </w:p>
        </w:tc>
        <w:tc>
          <w:tcPr>
            <w:tcW w:w="2374" w:type="dxa"/>
            <w:tcBorders>
              <w:top w:val="nil"/>
              <w:left w:val="nil"/>
              <w:bottom w:val="single" w:sz="4" w:space="0" w:color="auto"/>
              <w:right w:val="single" w:sz="4" w:space="0" w:color="auto"/>
            </w:tcBorders>
            <w:shd w:val="clear" w:color="000000" w:fill="FFFFFF"/>
            <w:noWrap/>
            <w:vAlign w:val="bottom"/>
            <w:hideMark/>
          </w:tcPr>
          <w:p w14:paraId="795AE8A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Casale Monferrato (AL)</w:t>
            </w:r>
          </w:p>
        </w:tc>
        <w:tc>
          <w:tcPr>
            <w:tcW w:w="1512" w:type="dxa"/>
            <w:tcBorders>
              <w:top w:val="nil"/>
              <w:left w:val="nil"/>
              <w:bottom w:val="single" w:sz="4" w:space="0" w:color="auto"/>
              <w:right w:val="single" w:sz="4" w:space="0" w:color="auto"/>
            </w:tcBorders>
            <w:noWrap/>
            <w:vAlign w:val="center"/>
            <w:hideMark/>
          </w:tcPr>
          <w:p w14:paraId="2F9CBA2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w:t>
            </w:r>
          </w:p>
        </w:tc>
        <w:tc>
          <w:tcPr>
            <w:tcW w:w="1239" w:type="dxa"/>
            <w:tcBorders>
              <w:top w:val="nil"/>
              <w:left w:val="nil"/>
              <w:bottom w:val="single" w:sz="4" w:space="0" w:color="auto"/>
              <w:right w:val="single" w:sz="4" w:space="0" w:color="auto"/>
            </w:tcBorders>
            <w:noWrap/>
            <w:vAlign w:val="center"/>
            <w:hideMark/>
          </w:tcPr>
          <w:p w14:paraId="2A9ED99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4771</w:t>
            </w:r>
          </w:p>
        </w:tc>
        <w:tc>
          <w:tcPr>
            <w:tcW w:w="1029" w:type="dxa"/>
            <w:tcBorders>
              <w:top w:val="nil"/>
              <w:left w:val="nil"/>
              <w:bottom w:val="single" w:sz="4" w:space="0" w:color="auto"/>
              <w:right w:val="single" w:sz="4" w:space="0" w:color="auto"/>
            </w:tcBorders>
            <w:noWrap/>
            <w:vAlign w:val="center"/>
            <w:hideMark/>
          </w:tcPr>
          <w:p w14:paraId="2B0D504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612</w:t>
            </w:r>
          </w:p>
        </w:tc>
        <w:tc>
          <w:tcPr>
            <w:tcW w:w="1050" w:type="dxa"/>
            <w:tcBorders>
              <w:top w:val="nil"/>
              <w:left w:val="nil"/>
              <w:bottom w:val="single" w:sz="4" w:space="0" w:color="auto"/>
              <w:right w:val="single" w:sz="4" w:space="0" w:color="auto"/>
            </w:tcBorders>
            <w:noWrap/>
            <w:vAlign w:val="center"/>
            <w:hideMark/>
          </w:tcPr>
          <w:p w14:paraId="38CD0A3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89%</w:t>
            </w:r>
          </w:p>
        </w:tc>
      </w:tr>
      <w:tr w:rsidR="00162229" w:rsidRPr="00AD01C5" w14:paraId="6F739095"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7835D6D8"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SE_003</w:t>
            </w:r>
          </w:p>
        </w:tc>
        <w:tc>
          <w:tcPr>
            <w:tcW w:w="2374" w:type="dxa"/>
            <w:tcBorders>
              <w:top w:val="nil"/>
              <w:left w:val="nil"/>
              <w:bottom w:val="single" w:sz="4" w:space="0" w:color="auto"/>
              <w:right w:val="single" w:sz="4" w:space="0" w:color="auto"/>
            </w:tcBorders>
            <w:shd w:val="clear" w:color="000000" w:fill="FFFFFF"/>
            <w:noWrap/>
            <w:vAlign w:val="bottom"/>
            <w:hideMark/>
          </w:tcPr>
          <w:p w14:paraId="44800C1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Asti (AT)</w:t>
            </w:r>
          </w:p>
        </w:tc>
        <w:tc>
          <w:tcPr>
            <w:tcW w:w="1512" w:type="dxa"/>
            <w:tcBorders>
              <w:top w:val="nil"/>
              <w:left w:val="nil"/>
              <w:bottom w:val="single" w:sz="4" w:space="0" w:color="auto"/>
              <w:right w:val="single" w:sz="4" w:space="0" w:color="auto"/>
            </w:tcBorders>
            <w:noWrap/>
            <w:vAlign w:val="center"/>
            <w:hideMark/>
          </w:tcPr>
          <w:p w14:paraId="7F5D80E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51</w:t>
            </w:r>
          </w:p>
        </w:tc>
        <w:tc>
          <w:tcPr>
            <w:tcW w:w="1239" w:type="dxa"/>
            <w:tcBorders>
              <w:top w:val="nil"/>
              <w:left w:val="nil"/>
              <w:bottom w:val="single" w:sz="4" w:space="0" w:color="auto"/>
              <w:right w:val="single" w:sz="4" w:space="0" w:color="auto"/>
            </w:tcBorders>
            <w:noWrap/>
            <w:vAlign w:val="center"/>
            <w:hideMark/>
          </w:tcPr>
          <w:p w14:paraId="412661D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8331</w:t>
            </w:r>
          </w:p>
        </w:tc>
        <w:tc>
          <w:tcPr>
            <w:tcW w:w="1029" w:type="dxa"/>
            <w:tcBorders>
              <w:top w:val="nil"/>
              <w:left w:val="nil"/>
              <w:bottom w:val="single" w:sz="4" w:space="0" w:color="auto"/>
              <w:right w:val="single" w:sz="4" w:space="0" w:color="auto"/>
            </w:tcBorders>
            <w:noWrap/>
            <w:vAlign w:val="center"/>
            <w:hideMark/>
          </w:tcPr>
          <w:p w14:paraId="7883C21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1137</w:t>
            </w:r>
          </w:p>
        </w:tc>
        <w:tc>
          <w:tcPr>
            <w:tcW w:w="1050" w:type="dxa"/>
            <w:tcBorders>
              <w:top w:val="nil"/>
              <w:left w:val="nil"/>
              <w:bottom w:val="single" w:sz="4" w:space="0" w:color="auto"/>
              <w:right w:val="single" w:sz="4" w:space="0" w:color="auto"/>
            </w:tcBorders>
            <w:noWrap/>
            <w:vAlign w:val="center"/>
            <w:hideMark/>
          </w:tcPr>
          <w:p w14:paraId="71B95EB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88%</w:t>
            </w:r>
          </w:p>
        </w:tc>
      </w:tr>
      <w:tr w:rsidR="00162229" w:rsidRPr="00AD01C5" w14:paraId="09D53A25"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3F7E98F1"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SE_004</w:t>
            </w:r>
          </w:p>
        </w:tc>
        <w:tc>
          <w:tcPr>
            <w:tcW w:w="2374" w:type="dxa"/>
            <w:tcBorders>
              <w:top w:val="nil"/>
              <w:left w:val="nil"/>
              <w:bottom w:val="single" w:sz="4" w:space="0" w:color="auto"/>
              <w:right w:val="single" w:sz="4" w:space="0" w:color="auto"/>
            </w:tcBorders>
            <w:shd w:val="clear" w:color="000000" w:fill="FFFFFF"/>
            <w:noWrap/>
            <w:vAlign w:val="bottom"/>
            <w:hideMark/>
          </w:tcPr>
          <w:p w14:paraId="76BE364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Altavilla (AL)</w:t>
            </w:r>
          </w:p>
        </w:tc>
        <w:tc>
          <w:tcPr>
            <w:tcW w:w="1512" w:type="dxa"/>
            <w:tcBorders>
              <w:top w:val="nil"/>
              <w:left w:val="nil"/>
              <w:bottom w:val="single" w:sz="4" w:space="0" w:color="auto"/>
              <w:right w:val="single" w:sz="4" w:space="0" w:color="auto"/>
            </w:tcBorders>
            <w:noWrap/>
            <w:vAlign w:val="center"/>
            <w:hideMark/>
          </w:tcPr>
          <w:p w14:paraId="7A35551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19</w:t>
            </w:r>
          </w:p>
        </w:tc>
        <w:tc>
          <w:tcPr>
            <w:tcW w:w="1239" w:type="dxa"/>
            <w:tcBorders>
              <w:top w:val="nil"/>
              <w:left w:val="nil"/>
              <w:bottom w:val="single" w:sz="4" w:space="0" w:color="auto"/>
              <w:right w:val="single" w:sz="4" w:space="0" w:color="auto"/>
            </w:tcBorders>
            <w:noWrap/>
            <w:vAlign w:val="center"/>
            <w:hideMark/>
          </w:tcPr>
          <w:p w14:paraId="6B0EA47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3535</w:t>
            </w:r>
          </w:p>
        </w:tc>
        <w:tc>
          <w:tcPr>
            <w:tcW w:w="1029" w:type="dxa"/>
            <w:tcBorders>
              <w:top w:val="nil"/>
              <w:left w:val="nil"/>
              <w:bottom w:val="single" w:sz="4" w:space="0" w:color="auto"/>
              <w:right w:val="single" w:sz="4" w:space="0" w:color="auto"/>
            </w:tcBorders>
            <w:noWrap/>
            <w:vAlign w:val="center"/>
            <w:hideMark/>
          </w:tcPr>
          <w:p w14:paraId="2BC8DB0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404</w:t>
            </w:r>
          </w:p>
        </w:tc>
        <w:tc>
          <w:tcPr>
            <w:tcW w:w="1050" w:type="dxa"/>
            <w:tcBorders>
              <w:top w:val="nil"/>
              <w:left w:val="nil"/>
              <w:bottom w:val="single" w:sz="4" w:space="0" w:color="auto"/>
              <w:right w:val="single" w:sz="4" w:space="0" w:color="auto"/>
            </w:tcBorders>
            <w:noWrap/>
            <w:vAlign w:val="center"/>
            <w:hideMark/>
          </w:tcPr>
          <w:p w14:paraId="5387550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90%</w:t>
            </w:r>
          </w:p>
        </w:tc>
      </w:tr>
      <w:tr w:rsidR="00162229" w:rsidRPr="00AD01C5" w14:paraId="51947E65"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5424600D"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SE_007</w:t>
            </w:r>
          </w:p>
        </w:tc>
        <w:tc>
          <w:tcPr>
            <w:tcW w:w="2374" w:type="dxa"/>
            <w:tcBorders>
              <w:top w:val="nil"/>
              <w:left w:val="nil"/>
              <w:bottom w:val="single" w:sz="4" w:space="0" w:color="auto"/>
              <w:right w:val="single" w:sz="4" w:space="0" w:color="auto"/>
            </w:tcBorders>
            <w:shd w:val="clear" w:color="000000" w:fill="FFFFFF"/>
            <w:noWrap/>
            <w:vAlign w:val="bottom"/>
            <w:hideMark/>
          </w:tcPr>
          <w:p w14:paraId="1285BEE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Villanova D'Asti (AT)</w:t>
            </w:r>
          </w:p>
        </w:tc>
        <w:tc>
          <w:tcPr>
            <w:tcW w:w="1512" w:type="dxa"/>
            <w:tcBorders>
              <w:top w:val="nil"/>
              <w:left w:val="nil"/>
              <w:bottom w:val="single" w:sz="4" w:space="0" w:color="auto"/>
              <w:right w:val="single" w:sz="4" w:space="0" w:color="auto"/>
            </w:tcBorders>
            <w:noWrap/>
            <w:vAlign w:val="center"/>
            <w:hideMark/>
          </w:tcPr>
          <w:p w14:paraId="2FFA224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21</w:t>
            </w:r>
          </w:p>
        </w:tc>
        <w:tc>
          <w:tcPr>
            <w:tcW w:w="1239" w:type="dxa"/>
            <w:tcBorders>
              <w:top w:val="nil"/>
              <w:left w:val="nil"/>
              <w:bottom w:val="single" w:sz="4" w:space="0" w:color="auto"/>
              <w:right w:val="single" w:sz="4" w:space="0" w:color="auto"/>
            </w:tcBorders>
            <w:noWrap/>
            <w:vAlign w:val="center"/>
            <w:hideMark/>
          </w:tcPr>
          <w:p w14:paraId="2A02B12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4436</w:t>
            </w:r>
          </w:p>
        </w:tc>
        <w:tc>
          <w:tcPr>
            <w:tcW w:w="1029" w:type="dxa"/>
            <w:tcBorders>
              <w:top w:val="nil"/>
              <w:left w:val="nil"/>
              <w:bottom w:val="single" w:sz="4" w:space="0" w:color="auto"/>
              <w:right w:val="single" w:sz="4" w:space="0" w:color="auto"/>
            </w:tcBorders>
            <w:noWrap/>
            <w:vAlign w:val="center"/>
            <w:hideMark/>
          </w:tcPr>
          <w:p w14:paraId="4452DC1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491</w:t>
            </w:r>
          </w:p>
        </w:tc>
        <w:tc>
          <w:tcPr>
            <w:tcW w:w="1050" w:type="dxa"/>
            <w:tcBorders>
              <w:top w:val="nil"/>
              <w:left w:val="nil"/>
              <w:bottom w:val="single" w:sz="4" w:space="0" w:color="auto"/>
              <w:right w:val="single" w:sz="4" w:space="0" w:color="auto"/>
            </w:tcBorders>
            <w:noWrap/>
            <w:vAlign w:val="center"/>
            <w:hideMark/>
          </w:tcPr>
          <w:p w14:paraId="39D23DA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90%</w:t>
            </w:r>
          </w:p>
        </w:tc>
      </w:tr>
      <w:tr w:rsidR="00162229" w:rsidRPr="00AD01C5" w14:paraId="3489D31D"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48C1C826"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SE_008</w:t>
            </w:r>
          </w:p>
        </w:tc>
        <w:tc>
          <w:tcPr>
            <w:tcW w:w="2374" w:type="dxa"/>
            <w:tcBorders>
              <w:top w:val="nil"/>
              <w:left w:val="nil"/>
              <w:bottom w:val="single" w:sz="4" w:space="0" w:color="auto"/>
              <w:right w:val="single" w:sz="4" w:space="0" w:color="auto"/>
            </w:tcBorders>
            <w:shd w:val="clear" w:color="000000" w:fill="FFFFFF"/>
            <w:noWrap/>
            <w:vAlign w:val="bottom"/>
            <w:hideMark/>
          </w:tcPr>
          <w:p w14:paraId="4D28436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Canelli (AT)</w:t>
            </w:r>
          </w:p>
        </w:tc>
        <w:tc>
          <w:tcPr>
            <w:tcW w:w="1512" w:type="dxa"/>
            <w:tcBorders>
              <w:top w:val="nil"/>
              <w:left w:val="nil"/>
              <w:bottom w:val="single" w:sz="4" w:space="0" w:color="auto"/>
              <w:right w:val="single" w:sz="4" w:space="0" w:color="auto"/>
            </w:tcBorders>
            <w:noWrap/>
            <w:vAlign w:val="center"/>
            <w:hideMark/>
          </w:tcPr>
          <w:p w14:paraId="1CADB77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29</w:t>
            </w:r>
          </w:p>
        </w:tc>
        <w:tc>
          <w:tcPr>
            <w:tcW w:w="1239" w:type="dxa"/>
            <w:tcBorders>
              <w:top w:val="nil"/>
              <w:left w:val="nil"/>
              <w:bottom w:val="single" w:sz="4" w:space="0" w:color="auto"/>
              <w:right w:val="single" w:sz="4" w:space="0" w:color="auto"/>
            </w:tcBorders>
            <w:noWrap/>
            <w:vAlign w:val="center"/>
            <w:hideMark/>
          </w:tcPr>
          <w:p w14:paraId="4F63C77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5081</w:t>
            </w:r>
          </w:p>
        </w:tc>
        <w:tc>
          <w:tcPr>
            <w:tcW w:w="1029" w:type="dxa"/>
            <w:tcBorders>
              <w:top w:val="nil"/>
              <w:left w:val="nil"/>
              <w:bottom w:val="single" w:sz="4" w:space="0" w:color="auto"/>
              <w:right w:val="single" w:sz="4" w:space="0" w:color="auto"/>
            </w:tcBorders>
            <w:noWrap/>
            <w:vAlign w:val="center"/>
            <w:hideMark/>
          </w:tcPr>
          <w:p w14:paraId="41E7F06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850</w:t>
            </w:r>
          </w:p>
        </w:tc>
        <w:tc>
          <w:tcPr>
            <w:tcW w:w="1050" w:type="dxa"/>
            <w:tcBorders>
              <w:top w:val="nil"/>
              <w:left w:val="nil"/>
              <w:bottom w:val="single" w:sz="4" w:space="0" w:color="auto"/>
              <w:right w:val="single" w:sz="4" w:space="0" w:color="auto"/>
            </w:tcBorders>
            <w:noWrap/>
            <w:vAlign w:val="center"/>
            <w:hideMark/>
          </w:tcPr>
          <w:p w14:paraId="79FE86E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86%</w:t>
            </w:r>
          </w:p>
        </w:tc>
      </w:tr>
      <w:tr w:rsidR="00162229" w:rsidRPr="00AD01C5" w14:paraId="55621649"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2674C3C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SE_010</w:t>
            </w:r>
          </w:p>
        </w:tc>
        <w:tc>
          <w:tcPr>
            <w:tcW w:w="2374" w:type="dxa"/>
            <w:tcBorders>
              <w:top w:val="nil"/>
              <w:left w:val="nil"/>
              <w:bottom w:val="single" w:sz="4" w:space="0" w:color="auto"/>
              <w:right w:val="single" w:sz="4" w:space="0" w:color="auto"/>
            </w:tcBorders>
            <w:shd w:val="clear" w:color="000000" w:fill="FFFFFF"/>
            <w:noWrap/>
            <w:vAlign w:val="bottom"/>
            <w:hideMark/>
          </w:tcPr>
          <w:p w14:paraId="68882E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Cabella Ligure (AL)</w:t>
            </w:r>
          </w:p>
        </w:tc>
        <w:tc>
          <w:tcPr>
            <w:tcW w:w="1512" w:type="dxa"/>
            <w:tcBorders>
              <w:top w:val="nil"/>
              <w:left w:val="nil"/>
              <w:bottom w:val="single" w:sz="4" w:space="0" w:color="auto"/>
              <w:right w:val="single" w:sz="4" w:space="0" w:color="auto"/>
            </w:tcBorders>
            <w:noWrap/>
            <w:vAlign w:val="center"/>
            <w:hideMark/>
          </w:tcPr>
          <w:p w14:paraId="4B77F8B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w:t>
            </w:r>
          </w:p>
        </w:tc>
        <w:tc>
          <w:tcPr>
            <w:tcW w:w="1239" w:type="dxa"/>
            <w:tcBorders>
              <w:top w:val="nil"/>
              <w:left w:val="nil"/>
              <w:bottom w:val="single" w:sz="4" w:space="0" w:color="auto"/>
              <w:right w:val="single" w:sz="4" w:space="0" w:color="auto"/>
            </w:tcBorders>
            <w:noWrap/>
            <w:vAlign w:val="center"/>
            <w:hideMark/>
          </w:tcPr>
          <w:p w14:paraId="548E401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1922</w:t>
            </w:r>
          </w:p>
        </w:tc>
        <w:tc>
          <w:tcPr>
            <w:tcW w:w="1029" w:type="dxa"/>
            <w:tcBorders>
              <w:top w:val="nil"/>
              <w:left w:val="nil"/>
              <w:bottom w:val="single" w:sz="4" w:space="0" w:color="auto"/>
              <w:right w:val="single" w:sz="4" w:space="0" w:color="auto"/>
            </w:tcBorders>
            <w:noWrap/>
            <w:vAlign w:val="center"/>
            <w:hideMark/>
          </w:tcPr>
          <w:p w14:paraId="703D1BC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361</w:t>
            </w:r>
          </w:p>
        </w:tc>
        <w:tc>
          <w:tcPr>
            <w:tcW w:w="1050" w:type="dxa"/>
            <w:tcBorders>
              <w:top w:val="nil"/>
              <w:left w:val="nil"/>
              <w:bottom w:val="single" w:sz="4" w:space="0" w:color="auto"/>
              <w:right w:val="single" w:sz="4" w:space="0" w:color="auto"/>
            </w:tcBorders>
            <w:noWrap/>
            <w:vAlign w:val="center"/>
            <w:hideMark/>
          </w:tcPr>
          <w:p w14:paraId="73606DD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4A617A20" w14:textId="77777777" w:rsidTr="002A21C0">
        <w:trPr>
          <w:trHeight w:val="337"/>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2EFDD83F"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SE_016</w:t>
            </w:r>
          </w:p>
        </w:tc>
        <w:tc>
          <w:tcPr>
            <w:tcW w:w="2374" w:type="dxa"/>
            <w:tcBorders>
              <w:top w:val="nil"/>
              <w:left w:val="nil"/>
              <w:bottom w:val="single" w:sz="4" w:space="0" w:color="auto"/>
              <w:right w:val="single" w:sz="4" w:space="0" w:color="auto"/>
            </w:tcBorders>
            <w:shd w:val="clear" w:color="000000" w:fill="FFFFFF"/>
            <w:noWrap/>
            <w:vAlign w:val="bottom"/>
            <w:hideMark/>
          </w:tcPr>
          <w:p w14:paraId="5B5DA7A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Ovada (AL)</w:t>
            </w:r>
          </w:p>
        </w:tc>
        <w:tc>
          <w:tcPr>
            <w:tcW w:w="1512" w:type="dxa"/>
            <w:tcBorders>
              <w:top w:val="nil"/>
              <w:left w:val="nil"/>
              <w:bottom w:val="single" w:sz="4" w:space="0" w:color="auto"/>
              <w:right w:val="single" w:sz="4" w:space="0" w:color="auto"/>
            </w:tcBorders>
            <w:noWrap/>
            <w:vAlign w:val="center"/>
            <w:hideMark/>
          </w:tcPr>
          <w:p w14:paraId="32F679E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28</w:t>
            </w:r>
          </w:p>
        </w:tc>
        <w:tc>
          <w:tcPr>
            <w:tcW w:w="1239" w:type="dxa"/>
            <w:tcBorders>
              <w:top w:val="nil"/>
              <w:left w:val="nil"/>
              <w:bottom w:val="single" w:sz="4" w:space="0" w:color="auto"/>
              <w:right w:val="single" w:sz="4" w:space="0" w:color="auto"/>
            </w:tcBorders>
            <w:noWrap/>
            <w:vAlign w:val="center"/>
            <w:hideMark/>
          </w:tcPr>
          <w:p w14:paraId="34B0706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5424</w:t>
            </w:r>
          </w:p>
        </w:tc>
        <w:tc>
          <w:tcPr>
            <w:tcW w:w="1029" w:type="dxa"/>
            <w:tcBorders>
              <w:top w:val="nil"/>
              <w:left w:val="nil"/>
              <w:bottom w:val="single" w:sz="4" w:space="0" w:color="auto"/>
              <w:right w:val="single" w:sz="4" w:space="0" w:color="auto"/>
            </w:tcBorders>
            <w:noWrap/>
            <w:vAlign w:val="center"/>
            <w:hideMark/>
          </w:tcPr>
          <w:p w14:paraId="6FD4400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802</w:t>
            </w:r>
          </w:p>
        </w:tc>
        <w:tc>
          <w:tcPr>
            <w:tcW w:w="1050" w:type="dxa"/>
            <w:tcBorders>
              <w:top w:val="nil"/>
              <w:left w:val="nil"/>
              <w:bottom w:val="single" w:sz="4" w:space="0" w:color="auto"/>
              <w:right w:val="single" w:sz="4" w:space="0" w:color="auto"/>
            </w:tcBorders>
            <w:noWrap/>
            <w:vAlign w:val="center"/>
            <w:hideMark/>
          </w:tcPr>
          <w:p w14:paraId="3CA96A5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87%</w:t>
            </w:r>
          </w:p>
        </w:tc>
      </w:tr>
      <w:tr w:rsidR="00162229" w:rsidRPr="00AD01C5" w14:paraId="6A221C88" w14:textId="77777777" w:rsidTr="002A21C0">
        <w:trPr>
          <w:trHeight w:val="353"/>
          <w:jc w:val="center"/>
        </w:trPr>
        <w:tc>
          <w:tcPr>
            <w:tcW w:w="1365" w:type="dxa"/>
            <w:tcBorders>
              <w:top w:val="nil"/>
              <w:left w:val="single" w:sz="4" w:space="0" w:color="auto"/>
              <w:bottom w:val="single" w:sz="4" w:space="0" w:color="auto"/>
              <w:right w:val="single" w:sz="4" w:space="0" w:color="auto"/>
            </w:tcBorders>
            <w:shd w:val="clear" w:color="000000" w:fill="CFE4AF"/>
            <w:vAlign w:val="center"/>
            <w:hideMark/>
          </w:tcPr>
          <w:p w14:paraId="1896F465"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SE_019</w:t>
            </w:r>
          </w:p>
        </w:tc>
        <w:tc>
          <w:tcPr>
            <w:tcW w:w="2374" w:type="dxa"/>
            <w:tcBorders>
              <w:top w:val="nil"/>
              <w:left w:val="nil"/>
              <w:bottom w:val="nil"/>
              <w:right w:val="single" w:sz="4" w:space="0" w:color="auto"/>
            </w:tcBorders>
            <w:shd w:val="clear" w:color="000000" w:fill="FFFFFF"/>
            <w:noWrap/>
            <w:vAlign w:val="bottom"/>
            <w:hideMark/>
          </w:tcPr>
          <w:p w14:paraId="722A873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Novi Ligure (AL)</w:t>
            </w:r>
          </w:p>
        </w:tc>
        <w:tc>
          <w:tcPr>
            <w:tcW w:w="1512" w:type="dxa"/>
            <w:tcBorders>
              <w:top w:val="nil"/>
              <w:left w:val="nil"/>
              <w:bottom w:val="nil"/>
              <w:right w:val="single" w:sz="4" w:space="0" w:color="auto"/>
            </w:tcBorders>
            <w:noWrap/>
            <w:vAlign w:val="center"/>
            <w:hideMark/>
          </w:tcPr>
          <w:p w14:paraId="6491BE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22</w:t>
            </w:r>
          </w:p>
        </w:tc>
        <w:tc>
          <w:tcPr>
            <w:tcW w:w="1239" w:type="dxa"/>
            <w:tcBorders>
              <w:top w:val="nil"/>
              <w:left w:val="nil"/>
              <w:bottom w:val="nil"/>
              <w:right w:val="single" w:sz="4" w:space="0" w:color="auto"/>
            </w:tcBorders>
            <w:noWrap/>
            <w:vAlign w:val="center"/>
            <w:hideMark/>
          </w:tcPr>
          <w:p w14:paraId="4651309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3934</w:t>
            </w:r>
          </w:p>
        </w:tc>
        <w:tc>
          <w:tcPr>
            <w:tcW w:w="1029" w:type="dxa"/>
            <w:tcBorders>
              <w:top w:val="nil"/>
              <w:left w:val="nil"/>
              <w:bottom w:val="nil"/>
              <w:right w:val="single" w:sz="4" w:space="0" w:color="auto"/>
            </w:tcBorders>
            <w:noWrap/>
            <w:vAlign w:val="center"/>
            <w:hideMark/>
          </w:tcPr>
          <w:p w14:paraId="33C2B9B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716</w:t>
            </w:r>
          </w:p>
        </w:tc>
        <w:tc>
          <w:tcPr>
            <w:tcW w:w="1050" w:type="dxa"/>
            <w:tcBorders>
              <w:top w:val="nil"/>
              <w:left w:val="nil"/>
              <w:bottom w:val="nil"/>
              <w:right w:val="single" w:sz="4" w:space="0" w:color="auto"/>
            </w:tcBorders>
            <w:noWrap/>
            <w:vAlign w:val="center"/>
            <w:hideMark/>
          </w:tcPr>
          <w:p w14:paraId="505BBB0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85%</w:t>
            </w:r>
          </w:p>
        </w:tc>
      </w:tr>
      <w:tr w:rsidR="00162229" w:rsidRPr="00AD01C5" w14:paraId="59986318" w14:textId="77777777" w:rsidTr="002A21C0">
        <w:trPr>
          <w:trHeight w:val="321"/>
          <w:jc w:val="center"/>
        </w:trPr>
        <w:tc>
          <w:tcPr>
            <w:tcW w:w="1365" w:type="dxa"/>
            <w:tcBorders>
              <w:top w:val="double" w:sz="6" w:space="0" w:color="auto"/>
              <w:left w:val="single" w:sz="4" w:space="0" w:color="auto"/>
              <w:bottom w:val="single" w:sz="4" w:space="0" w:color="auto"/>
              <w:right w:val="single" w:sz="4" w:space="0" w:color="auto"/>
            </w:tcBorders>
            <w:shd w:val="clear" w:color="000000" w:fill="CFE4AF"/>
            <w:vAlign w:val="center"/>
            <w:hideMark/>
          </w:tcPr>
          <w:p w14:paraId="39AD8152"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Totale</w:t>
            </w:r>
          </w:p>
        </w:tc>
        <w:tc>
          <w:tcPr>
            <w:tcW w:w="2374" w:type="dxa"/>
            <w:tcBorders>
              <w:top w:val="double" w:sz="6" w:space="0" w:color="auto"/>
              <w:left w:val="nil"/>
              <w:bottom w:val="single" w:sz="4" w:space="0" w:color="auto"/>
              <w:right w:val="single" w:sz="4" w:space="0" w:color="auto"/>
            </w:tcBorders>
            <w:noWrap/>
            <w:vAlign w:val="bottom"/>
            <w:hideMark/>
          </w:tcPr>
          <w:p w14:paraId="5047008D"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512" w:type="dxa"/>
            <w:tcBorders>
              <w:top w:val="double" w:sz="6" w:space="0" w:color="auto"/>
              <w:left w:val="nil"/>
              <w:bottom w:val="single" w:sz="4" w:space="0" w:color="auto"/>
              <w:right w:val="single" w:sz="4" w:space="0" w:color="auto"/>
            </w:tcBorders>
            <w:noWrap/>
            <w:vAlign w:val="bottom"/>
            <w:hideMark/>
          </w:tcPr>
          <w:p w14:paraId="4EED124A"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254</w:t>
            </w:r>
          </w:p>
        </w:tc>
        <w:tc>
          <w:tcPr>
            <w:tcW w:w="1239" w:type="dxa"/>
            <w:tcBorders>
              <w:top w:val="double" w:sz="6" w:space="0" w:color="auto"/>
              <w:left w:val="nil"/>
              <w:bottom w:val="single" w:sz="4" w:space="0" w:color="auto"/>
              <w:right w:val="single" w:sz="4" w:space="0" w:color="auto"/>
            </w:tcBorders>
            <w:noWrap/>
            <w:vAlign w:val="bottom"/>
            <w:hideMark/>
          </w:tcPr>
          <w:p w14:paraId="77E37E64"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48.156</w:t>
            </w:r>
          </w:p>
        </w:tc>
        <w:tc>
          <w:tcPr>
            <w:tcW w:w="1029" w:type="dxa"/>
            <w:tcBorders>
              <w:top w:val="double" w:sz="6" w:space="0" w:color="auto"/>
              <w:left w:val="nil"/>
              <w:bottom w:val="single" w:sz="4" w:space="0" w:color="auto"/>
              <w:right w:val="single" w:sz="4" w:space="0" w:color="auto"/>
            </w:tcBorders>
            <w:noWrap/>
            <w:vAlign w:val="bottom"/>
            <w:hideMark/>
          </w:tcPr>
          <w:p w14:paraId="6D74B68A"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6.356</w:t>
            </w:r>
          </w:p>
        </w:tc>
        <w:tc>
          <w:tcPr>
            <w:tcW w:w="1050" w:type="dxa"/>
            <w:tcBorders>
              <w:top w:val="double" w:sz="6" w:space="0" w:color="auto"/>
              <w:left w:val="nil"/>
              <w:bottom w:val="single" w:sz="4" w:space="0" w:color="auto"/>
              <w:right w:val="single" w:sz="4" w:space="0" w:color="auto"/>
            </w:tcBorders>
            <w:noWrap/>
            <w:vAlign w:val="bottom"/>
            <w:hideMark/>
          </w:tcPr>
          <w:p w14:paraId="318BC1D9"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r>
    </w:tbl>
    <w:p w14:paraId="461E7193" w14:textId="3FCEFFF7" w:rsidR="00162229" w:rsidRPr="00AD01C5" w:rsidRDefault="00162229" w:rsidP="00162229">
      <w:pPr>
        <w:spacing w:after="200" w:line="240" w:lineRule="auto"/>
        <w:jc w:val="center"/>
        <w:rPr>
          <w:rFonts w:ascii="Calibri" w:eastAsia="Calibri" w:hAnsi="Calibri" w:cs="Arial"/>
          <w:i/>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44</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Scenario 1</w:t>
      </w:r>
    </w:p>
    <w:p w14:paraId="18F7F6C9" w14:textId="77777777" w:rsidR="00162229" w:rsidRPr="00AD01C5" w:rsidRDefault="00162229" w:rsidP="00162229">
      <w:pPr>
        <w:spacing w:before="120" w:after="0" w:line="240" w:lineRule="auto"/>
        <w:rPr>
          <w:rFonts w:ascii="Calibri" w:eastAsia="Calibri" w:hAnsi="Calibri" w:cs="Arial"/>
        </w:rPr>
      </w:pPr>
      <w:bookmarkStart w:id="370" w:name="_Hlk205104497"/>
      <w:r w:rsidRPr="00AD01C5">
        <w:rPr>
          <w:rFonts w:ascii="Calibri" w:eastAsia="Calibri" w:hAnsi="Calibri" w:cs="Arial"/>
        </w:rPr>
        <w:lastRenderedPageBreak/>
        <w:t>L’obiettivo della fase 2 dell’asse</w:t>
      </w:r>
      <w:bookmarkEnd w:id="370"/>
      <w:r w:rsidRPr="00AD01C5">
        <w:rPr>
          <w:rFonts w:ascii="Calibri" w:eastAsia="Calibri" w:hAnsi="Calibri" w:cs="Arial"/>
        </w:rPr>
        <w:t>gnazione è di individuare uno scenario finale che preveda l’attribuzione delle linee univocamente ad un unico deposito, procedendo per gradi è stato sviluppato uno scenario 2.1 in cui è stato eliminato un ulteriore deposito che ha prodotto un incremento modesto di veicoli e chilometri a vuoto. Questo scenario vede l’assegnazione di quasi tutte le linee ad un solo deposito, tranne 12 linee che risultano ancora suddivise tre due differenti depositi.</w:t>
      </w:r>
    </w:p>
    <w:p w14:paraId="7BC34373" w14:textId="77777777" w:rsidR="00162229" w:rsidRPr="00AD01C5" w:rsidRDefault="00162229" w:rsidP="00162229">
      <w:pPr>
        <w:spacing w:before="120" w:after="0" w:line="240" w:lineRule="auto"/>
        <w:rPr>
          <w:rFonts w:ascii="Calibri" w:eastAsia="Calibri" w:hAnsi="Calibri" w:cs="Arial"/>
        </w:rPr>
      </w:pPr>
    </w:p>
    <w:tbl>
      <w:tblPr>
        <w:tblW w:w="8640" w:type="dxa"/>
        <w:jc w:val="center"/>
        <w:tblCellMar>
          <w:left w:w="70" w:type="dxa"/>
          <w:right w:w="70" w:type="dxa"/>
        </w:tblCellMar>
        <w:tblLook w:val="04A0" w:firstRow="1" w:lastRow="0" w:firstColumn="1" w:lastColumn="0" w:noHBand="0" w:noVBand="1"/>
      </w:tblPr>
      <w:tblGrid>
        <w:gridCol w:w="1360"/>
        <w:gridCol w:w="2260"/>
        <w:gridCol w:w="1420"/>
        <w:gridCol w:w="1260"/>
        <w:gridCol w:w="1300"/>
        <w:gridCol w:w="1040"/>
      </w:tblGrid>
      <w:tr w:rsidR="00162229" w:rsidRPr="00AD01C5" w14:paraId="3894EB2B" w14:textId="77777777" w:rsidTr="002A21C0">
        <w:trPr>
          <w:trHeight w:val="600"/>
          <w:jc w:val="center"/>
        </w:trPr>
        <w:tc>
          <w:tcPr>
            <w:tcW w:w="1360"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0CFF8918"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Codice Deposito</w:t>
            </w:r>
          </w:p>
        </w:tc>
        <w:tc>
          <w:tcPr>
            <w:tcW w:w="2260" w:type="dxa"/>
            <w:tcBorders>
              <w:top w:val="single" w:sz="4" w:space="0" w:color="auto"/>
              <w:left w:val="nil"/>
              <w:bottom w:val="single" w:sz="4" w:space="0" w:color="auto"/>
              <w:right w:val="single" w:sz="4" w:space="0" w:color="auto"/>
            </w:tcBorders>
            <w:shd w:val="clear" w:color="000000" w:fill="8DB15F"/>
            <w:vAlign w:val="center"/>
            <w:hideMark/>
          </w:tcPr>
          <w:p w14:paraId="423B0A0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Localizzazione</w:t>
            </w:r>
          </w:p>
        </w:tc>
        <w:tc>
          <w:tcPr>
            <w:tcW w:w="1420" w:type="dxa"/>
            <w:tcBorders>
              <w:top w:val="single" w:sz="4" w:space="0" w:color="auto"/>
              <w:left w:val="nil"/>
              <w:bottom w:val="single" w:sz="4" w:space="0" w:color="auto"/>
              <w:right w:val="single" w:sz="4" w:space="0" w:color="auto"/>
            </w:tcBorders>
            <w:shd w:val="clear" w:color="000000" w:fill="8DB15F"/>
            <w:vAlign w:val="center"/>
            <w:hideMark/>
          </w:tcPr>
          <w:p w14:paraId="6DFB894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Di Veicoli</w:t>
            </w:r>
          </w:p>
        </w:tc>
        <w:tc>
          <w:tcPr>
            <w:tcW w:w="1260" w:type="dxa"/>
            <w:tcBorders>
              <w:top w:val="single" w:sz="4" w:space="0" w:color="auto"/>
              <w:left w:val="nil"/>
              <w:bottom w:val="single" w:sz="4" w:space="0" w:color="auto"/>
              <w:right w:val="single" w:sz="4" w:space="0" w:color="auto"/>
            </w:tcBorders>
            <w:shd w:val="clear" w:color="000000" w:fill="8DB15F"/>
            <w:vAlign w:val="center"/>
            <w:hideMark/>
          </w:tcPr>
          <w:p w14:paraId="65CD41A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Servizio</w:t>
            </w:r>
          </w:p>
        </w:tc>
        <w:tc>
          <w:tcPr>
            <w:tcW w:w="1300" w:type="dxa"/>
            <w:tcBorders>
              <w:top w:val="single" w:sz="4" w:space="0" w:color="auto"/>
              <w:left w:val="nil"/>
              <w:bottom w:val="single" w:sz="4" w:space="0" w:color="auto"/>
              <w:right w:val="single" w:sz="4" w:space="0" w:color="auto"/>
            </w:tcBorders>
            <w:shd w:val="clear" w:color="000000" w:fill="8DB15F"/>
            <w:vAlign w:val="center"/>
            <w:hideMark/>
          </w:tcPr>
          <w:p w14:paraId="0E5B8E3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Vuoto</w:t>
            </w:r>
          </w:p>
        </w:tc>
        <w:tc>
          <w:tcPr>
            <w:tcW w:w="1040" w:type="dxa"/>
            <w:tcBorders>
              <w:top w:val="single" w:sz="4" w:space="0" w:color="auto"/>
              <w:left w:val="nil"/>
              <w:bottom w:val="single" w:sz="4" w:space="0" w:color="auto"/>
              <w:right w:val="single" w:sz="4" w:space="0" w:color="auto"/>
            </w:tcBorders>
            <w:shd w:val="clear" w:color="000000" w:fill="8DB15F"/>
            <w:vAlign w:val="center"/>
            <w:hideMark/>
          </w:tcPr>
          <w:p w14:paraId="696A92F7"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Eff. Deposito</w:t>
            </w:r>
          </w:p>
        </w:tc>
      </w:tr>
      <w:tr w:rsidR="00162229" w:rsidRPr="00AD01C5" w14:paraId="2F8DA6B1"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440E9781"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SE_001</w:t>
            </w:r>
          </w:p>
        </w:tc>
        <w:tc>
          <w:tcPr>
            <w:tcW w:w="2260" w:type="dxa"/>
            <w:tcBorders>
              <w:top w:val="nil"/>
              <w:left w:val="nil"/>
              <w:bottom w:val="single" w:sz="4" w:space="0" w:color="auto"/>
              <w:right w:val="single" w:sz="4" w:space="0" w:color="auto"/>
            </w:tcBorders>
            <w:shd w:val="clear" w:color="000000" w:fill="FFFFFF"/>
            <w:noWrap/>
            <w:vAlign w:val="bottom"/>
            <w:hideMark/>
          </w:tcPr>
          <w:p w14:paraId="7ED7034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Alessandria (AL)</w:t>
            </w:r>
          </w:p>
        </w:tc>
        <w:tc>
          <w:tcPr>
            <w:tcW w:w="1420" w:type="dxa"/>
            <w:tcBorders>
              <w:top w:val="nil"/>
              <w:left w:val="nil"/>
              <w:bottom w:val="single" w:sz="4" w:space="0" w:color="auto"/>
              <w:right w:val="single" w:sz="4" w:space="0" w:color="auto"/>
            </w:tcBorders>
            <w:noWrap/>
            <w:vAlign w:val="center"/>
            <w:hideMark/>
          </w:tcPr>
          <w:p w14:paraId="19A4DB3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w:t>
            </w:r>
          </w:p>
        </w:tc>
        <w:tc>
          <w:tcPr>
            <w:tcW w:w="1260" w:type="dxa"/>
            <w:tcBorders>
              <w:top w:val="nil"/>
              <w:left w:val="nil"/>
              <w:bottom w:val="single" w:sz="4" w:space="0" w:color="auto"/>
              <w:right w:val="single" w:sz="4" w:space="0" w:color="auto"/>
            </w:tcBorders>
            <w:noWrap/>
            <w:vAlign w:val="center"/>
            <w:hideMark/>
          </w:tcPr>
          <w:p w14:paraId="64797C9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11134</w:t>
            </w:r>
          </w:p>
        </w:tc>
        <w:tc>
          <w:tcPr>
            <w:tcW w:w="1300" w:type="dxa"/>
            <w:tcBorders>
              <w:top w:val="nil"/>
              <w:left w:val="nil"/>
              <w:bottom w:val="single" w:sz="4" w:space="0" w:color="auto"/>
              <w:right w:val="single" w:sz="4" w:space="0" w:color="auto"/>
            </w:tcBorders>
            <w:noWrap/>
            <w:vAlign w:val="center"/>
            <w:hideMark/>
          </w:tcPr>
          <w:p w14:paraId="23AE1AA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995</w:t>
            </w:r>
          </w:p>
        </w:tc>
        <w:tc>
          <w:tcPr>
            <w:tcW w:w="1040" w:type="dxa"/>
            <w:tcBorders>
              <w:top w:val="nil"/>
              <w:left w:val="nil"/>
              <w:bottom w:val="single" w:sz="4" w:space="0" w:color="auto"/>
              <w:right w:val="single" w:sz="4" w:space="0" w:color="auto"/>
            </w:tcBorders>
            <w:noWrap/>
            <w:vAlign w:val="center"/>
            <w:hideMark/>
          </w:tcPr>
          <w:p w14:paraId="69424CE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37AF4887"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6840AD8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SE_002</w:t>
            </w:r>
          </w:p>
        </w:tc>
        <w:tc>
          <w:tcPr>
            <w:tcW w:w="2260" w:type="dxa"/>
            <w:tcBorders>
              <w:top w:val="nil"/>
              <w:left w:val="nil"/>
              <w:bottom w:val="single" w:sz="4" w:space="0" w:color="auto"/>
              <w:right w:val="single" w:sz="4" w:space="0" w:color="auto"/>
            </w:tcBorders>
            <w:shd w:val="clear" w:color="000000" w:fill="FFFFFF"/>
            <w:noWrap/>
            <w:vAlign w:val="bottom"/>
            <w:hideMark/>
          </w:tcPr>
          <w:p w14:paraId="144E6D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Casale Monferrato (AL)</w:t>
            </w:r>
          </w:p>
        </w:tc>
        <w:tc>
          <w:tcPr>
            <w:tcW w:w="1420" w:type="dxa"/>
            <w:tcBorders>
              <w:top w:val="nil"/>
              <w:left w:val="nil"/>
              <w:bottom w:val="single" w:sz="4" w:space="0" w:color="auto"/>
              <w:right w:val="single" w:sz="4" w:space="0" w:color="auto"/>
            </w:tcBorders>
            <w:noWrap/>
            <w:vAlign w:val="center"/>
            <w:hideMark/>
          </w:tcPr>
          <w:p w14:paraId="1FD68C0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29</w:t>
            </w:r>
          </w:p>
        </w:tc>
        <w:tc>
          <w:tcPr>
            <w:tcW w:w="1260" w:type="dxa"/>
            <w:tcBorders>
              <w:top w:val="nil"/>
              <w:left w:val="nil"/>
              <w:bottom w:val="single" w:sz="4" w:space="0" w:color="auto"/>
              <w:right w:val="single" w:sz="4" w:space="0" w:color="auto"/>
            </w:tcBorders>
            <w:noWrap/>
            <w:vAlign w:val="center"/>
            <w:hideMark/>
          </w:tcPr>
          <w:p w14:paraId="04C640A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5526</w:t>
            </w:r>
          </w:p>
        </w:tc>
        <w:tc>
          <w:tcPr>
            <w:tcW w:w="1300" w:type="dxa"/>
            <w:tcBorders>
              <w:top w:val="nil"/>
              <w:left w:val="nil"/>
              <w:bottom w:val="single" w:sz="4" w:space="0" w:color="auto"/>
              <w:right w:val="single" w:sz="4" w:space="0" w:color="auto"/>
            </w:tcBorders>
            <w:noWrap/>
            <w:vAlign w:val="center"/>
            <w:hideMark/>
          </w:tcPr>
          <w:p w14:paraId="44AC3B2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1116</w:t>
            </w:r>
          </w:p>
        </w:tc>
        <w:tc>
          <w:tcPr>
            <w:tcW w:w="1040" w:type="dxa"/>
            <w:tcBorders>
              <w:top w:val="nil"/>
              <w:left w:val="nil"/>
              <w:bottom w:val="single" w:sz="4" w:space="0" w:color="auto"/>
              <w:right w:val="single" w:sz="4" w:space="0" w:color="auto"/>
            </w:tcBorders>
            <w:noWrap/>
            <w:vAlign w:val="center"/>
            <w:hideMark/>
          </w:tcPr>
          <w:p w14:paraId="1E65851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83%</w:t>
            </w:r>
          </w:p>
        </w:tc>
      </w:tr>
      <w:tr w:rsidR="00162229" w:rsidRPr="00AD01C5" w14:paraId="52F27F29"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5A7E2AF9"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SE_003</w:t>
            </w:r>
          </w:p>
        </w:tc>
        <w:tc>
          <w:tcPr>
            <w:tcW w:w="2260" w:type="dxa"/>
            <w:tcBorders>
              <w:top w:val="nil"/>
              <w:left w:val="nil"/>
              <w:bottom w:val="single" w:sz="4" w:space="0" w:color="auto"/>
              <w:right w:val="single" w:sz="4" w:space="0" w:color="auto"/>
            </w:tcBorders>
            <w:shd w:val="clear" w:color="000000" w:fill="FFFFFF"/>
            <w:noWrap/>
            <w:vAlign w:val="bottom"/>
            <w:hideMark/>
          </w:tcPr>
          <w:p w14:paraId="35437AA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Asti (AT)</w:t>
            </w:r>
          </w:p>
        </w:tc>
        <w:tc>
          <w:tcPr>
            <w:tcW w:w="1420" w:type="dxa"/>
            <w:tcBorders>
              <w:top w:val="nil"/>
              <w:left w:val="nil"/>
              <w:bottom w:val="single" w:sz="4" w:space="0" w:color="auto"/>
              <w:right w:val="single" w:sz="4" w:space="0" w:color="auto"/>
            </w:tcBorders>
            <w:noWrap/>
            <w:vAlign w:val="center"/>
            <w:hideMark/>
          </w:tcPr>
          <w:p w14:paraId="78C658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w:t>
            </w:r>
          </w:p>
        </w:tc>
        <w:tc>
          <w:tcPr>
            <w:tcW w:w="1260" w:type="dxa"/>
            <w:tcBorders>
              <w:top w:val="nil"/>
              <w:left w:val="nil"/>
              <w:bottom w:val="single" w:sz="4" w:space="0" w:color="auto"/>
              <w:right w:val="single" w:sz="4" w:space="0" w:color="auto"/>
            </w:tcBorders>
            <w:noWrap/>
            <w:vAlign w:val="center"/>
            <w:hideMark/>
          </w:tcPr>
          <w:p w14:paraId="6C3C1B8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7753</w:t>
            </w:r>
          </w:p>
        </w:tc>
        <w:tc>
          <w:tcPr>
            <w:tcW w:w="1300" w:type="dxa"/>
            <w:tcBorders>
              <w:top w:val="nil"/>
              <w:left w:val="nil"/>
              <w:bottom w:val="single" w:sz="4" w:space="0" w:color="auto"/>
              <w:right w:val="single" w:sz="4" w:space="0" w:color="auto"/>
            </w:tcBorders>
            <w:noWrap/>
            <w:vAlign w:val="center"/>
            <w:hideMark/>
          </w:tcPr>
          <w:p w14:paraId="58F9E01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1393</w:t>
            </w:r>
          </w:p>
        </w:tc>
        <w:tc>
          <w:tcPr>
            <w:tcW w:w="1040" w:type="dxa"/>
            <w:tcBorders>
              <w:top w:val="nil"/>
              <w:left w:val="nil"/>
              <w:bottom w:val="single" w:sz="4" w:space="0" w:color="auto"/>
              <w:right w:val="single" w:sz="4" w:space="0" w:color="auto"/>
            </w:tcBorders>
            <w:noWrap/>
            <w:vAlign w:val="center"/>
            <w:hideMark/>
          </w:tcPr>
          <w:p w14:paraId="0516B38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85%</w:t>
            </w:r>
          </w:p>
        </w:tc>
      </w:tr>
      <w:tr w:rsidR="00162229" w:rsidRPr="00AD01C5" w14:paraId="01893810"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3C05336B"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SE_004</w:t>
            </w:r>
          </w:p>
        </w:tc>
        <w:tc>
          <w:tcPr>
            <w:tcW w:w="2260" w:type="dxa"/>
            <w:tcBorders>
              <w:top w:val="nil"/>
              <w:left w:val="nil"/>
              <w:bottom w:val="single" w:sz="4" w:space="0" w:color="auto"/>
              <w:right w:val="single" w:sz="4" w:space="0" w:color="auto"/>
            </w:tcBorders>
            <w:shd w:val="clear" w:color="000000" w:fill="FFFFFF"/>
            <w:noWrap/>
            <w:vAlign w:val="bottom"/>
            <w:hideMark/>
          </w:tcPr>
          <w:p w14:paraId="2E925C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Altavilla (AL)</w:t>
            </w:r>
          </w:p>
        </w:tc>
        <w:tc>
          <w:tcPr>
            <w:tcW w:w="1420" w:type="dxa"/>
            <w:tcBorders>
              <w:top w:val="nil"/>
              <w:left w:val="nil"/>
              <w:bottom w:val="single" w:sz="4" w:space="0" w:color="auto"/>
              <w:right w:val="single" w:sz="4" w:space="0" w:color="auto"/>
            </w:tcBorders>
            <w:noWrap/>
            <w:vAlign w:val="center"/>
            <w:hideMark/>
          </w:tcPr>
          <w:p w14:paraId="3FF173A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17</w:t>
            </w:r>
          </w:p>
        </w:tc>
        <w:tc>
          <w:tcPr>
            <w:tcW w:w="1260" w:type="dxa"/>
            <w:tcBorders>
              <w:top w:val="nil"/>
              <w:left w:val="nil"/>
              <w:bottom w:val="single" w:sz="4" w:space="0" w:color="auto"/>
              <w:right w:val="single" w:sz="4" w:space="0" w:color="auto"/>
            </w:tcBorders>
            <w:noWrap/>
            <w:vAlign w:val="center"/>
            <w:hideMark/>
          </w:tcPr>
          <w:p w14:paraId="2CEFB42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3051</w:t>
            </w:r>
          </w:p>
        </w:tc>
        <w:tc>
          <w:tcPr>
            <w:tcW w:w="1300" w:type="dxa"/>
            <w:tcBorders>
              <w:top w:val="nil"/>
              <w:left w:val="nil"/>
              <w:bottom w:val="single" w:sz="4" w:space="0" w:color="auto"/>
              <w:right w:val="single" w:sz="4" w:space="0" w:color="auto"/>
            </w:tcBorders>
            <w:noWrap/>
            <w:vAlign w:val="center"/>
            <w:hideMark/>
          </w:tcPr>
          <w:p w14:paraId="02DE084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365</w:t>
            </w:r>
          </w:p>
        </w:tc>
        <w:tc>
          <w:tcPr>
            <w:tcW w:w="1040" w:type="dxa"/>
            <w:tcBorders>
              <w:top w:val="nil"/>
              <w:left w:val="nil"/>
              <w:bottom w:val="single" w:sz="4" w:space="0" w:color="auto"/>
              <w:right w:val="single" w:sz="4" w:space="0" w:color="auto"/>
            </w:tcBorders>
            <w:noWrap/>
            <w:vAlign w:val="center"/>
            <w:hideMark/>
          </w:tcPr>
          <w:p w14:paraId="1AEFEDF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89%</w:t>
            </w:r>
          </w:p>
        </w:tc>
      </w:tr>
      <w:tr w:rsidR="00162229" w:rsidRPr="00AD01C5" w14:paraId="735448ED"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083876B0"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SE_007</w:t>
            </w:r>
          </w:p>
        </w:tc>
        <w:tc>
          <w:tcPr>
            <w:tcW w:w="2260" w:type="dxa"/>
            <w:tcBorders>
              <w:top w:val="nil"/>
              <w:left w:val="nil"/>
              <w:bottom w:val="single" w:sz="4" w:space="0" w:color="auto"/>
              <w:right w:val="single" w:sz="4" w:space="0" w:color="auto"/>
            </w:tcBorders>
            <w:shd w:val="clear" w:color="000000" w:fill="FFFFFF"/>
            <w:noWrap/>
            <w:vAlign w:val="bottom"/>
            <w:hideMark/>
          </w:tcPr>
          <w:p w14:paraId="792DEC3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Villanova D'Asti (AT)</w:t>
            </w:r>
          </w:p>
        </w:tc>
        <w:tc>
          <w:tcPr>
            <w:tcW w:w="1420" w:type="dxa"/>
            <w:tcBorders>
              <w:top w:val="nil"/>
              <w:left w:val="nil"/>
              <w:bottom w:val="single" w:sz="4" w:space="0" w:color="auto"/>
              <w:right w:val="single" w:sz="4" w:space="0" w:color="auto"/>
            </w:tcBorders>
            <w:noWrap/>
            <w:vAlign w:val="center"/>
            <w:hideMark/>
          </w:tcPr>
          <w:p w14:paraId="71CCF59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22</w:t>
            </w:r>
          </w:p>
        </w:tc>
        <w:tc>
          <w:tcPr>
            <w:tcW w:w="1260" w:type="dxa"/>
            <w:tcBorders>
              <w:top w:val="nil"/>
              <w:left w:val="nil"/>
              <w:bottom w:val="single" w:sz="4" w:space="0" w:color="auto"/>
              <w:right w:val="single" w:sz="4" w:space="0" w:color="auto"/>
            </w:tcBorders>
            <w:noWrap/>
            <w:vAlign w:val="center"/>
            <w:hideMark/>
          </w:tcPr>
          <w:p w14:paraId="5EF70CE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4330</w:t>
            </w:r>
          </w:p>
        </w:tc>
        <w:tc>
          <w:tcPr>
            <w:tcW w:w="1300" w:type="dxa"/>
            <w:tcBorders>
              <w:top w:val="nil"/>
              <w:left w:val="nil"/>
              <w:bottom w:val="single" w:sz="4" w:space="0" w:color="auto"/>
              <w:right w:val="single" w:sz="4" w:space="0" w:color="auto"/>
            </w:tcBorders>
            <w:noWrap/>
            <w:vAlign w:val="center"/>
            <w:hideMark/>
          </w:tcPr>
          <w:p w14:paraId="46B6F2C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517</w:t>
            </w:r>
          </w:p>
        </w:tc>
        <w:tc>
          <w:tcPr>
            <w:tcW w:w="1040" w:type="dxa"/>
            <w:tcBorders>
              <w:top w:val="nil"/>
              <w:left w:val="nil"/>
              <w:bottom w:val="single" w:sz="4" w:space="0" w:color="auto"/>
              <w:right w:val="single" w:sz="4" w:space="0" w:color="auto"/>
            </w:tcBorders>
            <w:noWrap/>
            <w:vAlign w:val="center"/>
            <w:hideMark/>
          </w:tcPr>
          <w:p w14:paraId="738C959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89%</w:t>
            </w:r>
          </w:p>
        </w:tc>
      </w:tr>
      <w:tr w:rsidR="00162229" w:rsidRPr="00AD01C5" w14:paraId="20E49A5C"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037EA26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SE_008</w:t>
            </w:r>
          </w:p>
        </w:tc>
        <w:tc>
          <w:tcPr>
            <w:tcW w:w="2260" w:type="dxa"/>
            <w:tcBorders>
              <w:top w:val="nil"/>
              <w:left w:val="nil"/>
              <w:bottom w:val="single" w:sz="4" w:space="0" w:color="auto"/>
              <w:right w:val="single" w:sz="4" w:space="0" w:color="auto"/>
            </w:tcBorders>
            <w:shd w:val="clear" w:color="000000" w:fill="FFFFFF"/>
            <w:noWrap/>
            <w:vAlign w:val="bottom"/>
            <w:hideMark/>
          </w:tcPr>
          <w:p w14:paraId="2C2968C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Canelli (AT)</w:t>
            </w:r>
          </w:p>
        </w:tc>
        <w:tc>
          <w:tcPr>
            <w:tcW w:w="1420" w:type="dxa"/>
            <w:tcBorders>
              <w:top w:val="nil"/>
              <w:left w:val="nil"/>
              <w:bottom w:val="single" w:sz="4" w:space="0" w:color="auto"/>
              <w:right w:val="single" w:sz="4" w:space="0" w:color="auto"/>
            </w:tcBorders>
            <w:noWrap/>
            <w:vAlign w:val="center"/>
            <w:hideMark/>
          </w:tcPr>
          <w:p w14:paraId="4BA5F4A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30</w:t>
            </w:r>
          </w:p>
        </w:tc>
        <w:tc>
          <w:tcPr>
            <w:tcW w:w="1260" w:type="dxa"/>
            <w:tcBorders>
              <w:top w:val="nil"/>
              <w:left w:val="nil"/>
              <w:bottom w:val="single" w:sz="4" w:space="0" w:color="auto"/>
              <w:right w:val="single" w:sz="4" w:space="0" w:color="auto"/>
            </w:tcBorders>
            <w:noWrap/>
            <w:vAlign w:val="center"/>
            <w:hideMark/>
          </w:tcPr>
          <w:p w14:paraId="38A6D03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5292</w:t>
            </w:r>
          </w:p>
        </w:tc>
        <w:tc>
          <w:tcPr>
            <w:tcW w:w="1300" w:type="dxa"/>
            <w:tcBorders>
              <w:top w:val="nil"/>
              <w:left w:val="nil"/>
              <w:bottom w:val="single" w:sz="4" w:space="0" w:color="auto"/>
              <w:right w:val="single" w:sz="4" w:space="0" w:color="auto"/>
            </w:tcBorders>
            <w:noWrap/>
            <w:vAlign w:val="center"/>
            <w:hideMark/>
          </w:tcPr>
          <w:p w14:paraId="728F380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983</w:t>
            </w:r>
          </w:p>
        </w:tc>
        <w:tc>
          <w:tcPr>
            <w:tcW w:w="1040" w:type="dxa"/>
            <w:tcBorders>
              <w:top w:val="nil"/>
              <w:left w:val="nil"/>
              <w:bottom w:val="single" w:sz="4" w:space="0" w:color="auto"/>
              <w:right w:val="single" w:sz="4" w:space="0" w:color="auto"/>
            </w:tcBorders>
            <w:noWrap/>
            <w:vAlign w:val="center"/>
            <w:hideMark/>
          </w:tcPr>
          <w:p w14:paraId="7B665C0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7AAC74F9" w14:textId="77777777" w:rsidTr="002A21C0">
        <w:trPr>
          <w:trHeight w:val="315"/>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7D0288F8"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SE_016</w:t>
            </w:r>
          </w:p>
        </w:tc>
        <w:tc>
          <w:tcPr>
            <w:tcW w:w="2260" w:type="dxa"/>
            <w:tcBorders>
              <w:top w:val="nil"/>
              <w:left w:val="nil"/>
              <w:bottom w:val="single" w:sz="4" w:space="0" w:color="auto"/>
              <w:right w:val="single" w:sz="4" w:space="0" w:color="auto"/>
            </w:tcBorders>
            <w:shd w:val="clear" w:color="000000" w:fill="FFFFFF"/>
            <w:noWrap/>
            <w:vAlign w:val="bottom"/>
            <w:hideMark/>
          </w:tcPr>
          <w:p w14:paraId="654D923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Ovada (AL)</w:t>
            </w:r>
          </w:p>
        </w:tc>
        <w:tc>
          <w:tcPr>
            <w:tcW w:w="1420" w:type="dxa"/>
            <w:tcBorders>
              <w:top w:val="nil"/>
              <w:left w:val="nil"/>
              <w:bottom w:val="single" w:sz="4" w:space="0" w:color="auto"/>
              <w:right w:val="single" w:sz="4" w:space="0" w:color="auto"/>
            </w:tcBorders>
            <w:noWrap/>
            <w:vAlign w:val="center"/>
            <w:hideMark/>
          </w:tcPr>
          <w:p w14:paraId="6BEF5F8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29</w:t>
            </w:r>
          </w:p>
        </w:tc>
        <w:tc>
          <w:tcPr>
            <w:tcW w:w="1260" w:type="dxa"/>
            <w:tcBorders>
              <w:top w:val="nil"/>
              <w:left w:val="nil"/>
              <w:bottom w:val="single" w:sz="4" w:space="0" w:color="auto"/>
              <w:right w:val="single" w:sz="4" w:space="0" w:color="auto"/>
            </w:tcBorders>
            <w:noWrap/>
            <w:vAlign w:val="center"/>
            <w:hideMark/>
          </w:tcPr>
          <w:p w14:paraId="5931DC6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5078</w:t>
            </w:r>
          </w:p>
        </w:tc>
        <w:tc>
          <w:tcPr>
            <w:tcW w:w="1300" w:type="dxa"/>
            <w:tcBorders>
              <w:top w:val="nil"/>
              <w:left w:val="nil"/>
              <w:bottom w:val="single" w:sz="4" w:space="0" w:color="auto"/>
              <w:right w:val="single" w:sz="4" w:space="0" w:color="auto"/>
            </w:tcBorders>
            <w:noWrap/>
            <w:vAlign w:val="center"/>
            <w:hideMark/>
          </w:tcPr>
          <w:p w14:paraId="68E0FAD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938</w:t>
            </w:r>
          </w:p>
        </w:tc>
        <w:tc>
          <w:tcPr>
            <w:tcW w:w="1040" w:type="dxa"/>
            <w:tcBorders>
              <w:top w:val="nil"/>
              <w:left w:val="nil"/>
              <w:bottom w:val="single" w:sz="4" w:space="0" w:color="auto"/>
              <w:right w:val="single" w:sz="4" w:space="0" w:color="auto"/>
            </w:tcBorders>
            <w:noWrap/>
            <w:vAlign w:val="center"/>
            <w:hideMark/>
          </w:tcPr>
          <w:p w14:paraId="1A02DB8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47578328" w14:textId="77777777" w:rsidTr="002A21C0">
        <w:trPr>
          <w:trHeight w:val="330"/>
          <w:jc w:val="center"/>
        </w:trPr>
        <w:tc>
          <w:tcPr>
            <w:tcW w:w="1360" w:type="dxa"/>
            <w:tcBorders>
              <w:top w:val="nil"/>
              <w:left w:val="single" w:sz="4" w:space="0" w:color="auto"/>
              <w:bottom w:val="single" w:sz="4" w:space="0" w:color="auto"/>
              <w:right w:val="single" w:sz="4" w:space="0" w:color="auto"/>
            </w:tcBorders>
            <w:shd w:val="clear" w:color="000000" w:fill="CFE4AF"/>
            <w:vAlign w:val="center"/>
            <w:hideMark/>
          </w:tcPr>
          <w:p w14:paraId="451077BB"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SE_019</w:t>
            </w:r>
          </w:p>
        </w:tc>
        <w:tc>
          <w:tcPr>
            <w:tcW w:w="2260" w:type="dxa"/>
            <w:tcBorders>
              <w:top w:val="nil"/>
              <w:left w:val="nil"/>
              <w:bottom w:val="single" w:sz="4" w:space="0" w:color="auto"/>
              <w:right w:val="single" w:sz="4" w:space="0" w:color="auto"/>
            </w:tcBorders>
            <w:shd w:val="clear" w:color="000000" w:fill="FFFFFF"/>
            <w:noWrap/>
            <w:vAlign w:val="bottom"/>
            <w:hideMark/>
          </w:tcPr>
          <w:p w14:paraId="23CE23C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Novi Ligure (AL)</w:t>
            </w:r>
          </w:p>
        </w:tc>
        <w:tc>
          <w:tcPr>
            <w:tcW w:w="1420" w:type="dxa"/>
            <w:tcBorders>
              <w:top w:val="nil"/>
              <w:left w:val="nil"/>
              <w:bottom w:val="single" w:sz="4" w:space="0" w:color="auto"/>
              <w:right w:val="single" w:sz="4" w:space="0" w:color="auto"/>
            </w:tcBorders>
            <w:noWrap/>
            <w:vAlign w:val="center"/>
            <w:hideMark/>
          </w:tcPr>
          <w:p w14:paraId="363EE01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32</w:t>
            </w:r>
          </w:p>
        </w:tc>
        <w:tc>
          <w:tcPr>
            <w:tcW w:w="1260" w:type="dxa"/>
            <w:tcBorders>
              <w:top w:val="nil"/>
              <w:left w:val="nil"/>
              <w:bottom w:val="single" w:sz="4" w:space="0" w:color="auto"/>
              <w:right w:val="single" w:sz="4" w:space="0" w:color="auto"/>
            </w:tcBorders>
            <w:noWrap/>
            <w:vAlign w:val="center"/>
            <w:hideMark/>
          </w:tcPr>
          <w:p w14:paraId="2527633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5993</w:t>
            </w:r>
          </w:p>
        </w:tc>
        <w:tc>
          <w:tcPr>
            <w:tcW w:w="1300" w:type="dxa"/>
            <w:tcBorders>
              <w:top w:val="nil"/>
              <w:left w:val="nil"/>
              <w:bottom w:val="single" w:sz="4" w:space="0" w:color="auto"/>
              <w:right w:val="single" w:sz="4" w:space="0" w:color="auto"/>
            </w:tcBorders>
            <w:noWrap/>
            <w:vAlign w:val="center"/>
            <w:hideMark/>
          </w:tcPr>
          <w:p w14:paraId="731609C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1573</w:t>
            </w:r>
          </w:p>
        </w:tc>
        <w:tc>
          <w:tcPr>
            <w:tcW w:w="1040" w:type="dxa"/>
            <w:tcBorders>
              <w:top w:val="nil"/>
              <w:left w:val="nil"/>
              <w:bottom w:val="single" w:sz="4" w:space="0" w:color="auto"/>
              <w:right w:val="single" w:sz="4" w:space="0" w:color="auto"/>
            </w:tcBorders>
            <w:noWrap/>
            <w:vAlign w:val="center"/>
            <w:hideMark/>
          </w:tcPr>
          <w:p w14:paraId="2F82C8A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79%</w:t>
            </w:r>
          </w:p>
        </w:tc>
      </w:tr>
      <w:tr w:rsidR="00162229" w:rsidRPr="00AD01C5" w14:paraId="58439889" w14:textId="77777777" w:rsidTr="002A21C0">
        <w:trPr>
          <w:trHeight w:val="300"/>
          <w:jc w:val="center"/>
        </w:trPr>
        <w:tc>
          <w:tcPr>
            <w:tcW w:w="1360" w:type="dxa"/>
            <w:tcBorders>
              <w:top w:val="double" w:sz="6" w:space="0" w:color="auto"/>
              <w:left w:val="single" w:sz="4" w:space="0" w:color="auto"/>
              <w:bottom w:val="single" w:sz="4" w:space="0" w:color="auto"/>
              <w:right w:val="single" w:sz="4" w:space="0" w:color="auto"/>
            </w:tcBorders>
            <w:shd w:val="clear" w:color="000000" w:fill="CFE4AF"/>
            <w:vAlign w:val="center"/>
            <w:hideMark/>
          </w:tcPr>
          <w:p w14:paraId="034F77FE"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Totale</w:t>
            </w:r>
          </w:p>
        </w:tc>
        <w:tc>
          <w:tcPr>
            <w:tcW w:w="2260" w:type="dxa"/>
            <w:tcBorders>
              <w:top w:val="double" w:sz="6" w:space="0" w:color="auto"/>
              <w:left w:val="nil"/>
              <w:bottom w:val="single" w:sz="4" w:space="0" w:color="auto"/>
              <w:right w:val="single" w:sz="4" w:space="0" w:color="auto"/>
            </w:tcBorders>
            <w:noWrap/>
            <w:vAlign w:val="bottom"/>
            <w:hideMark/>
          </w:tcPr>
          <w:p w14:paraId="1ABAF250"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420" w:type="dxa"/>
            <w:tcBorders>
              <w:top w:val="double" w:sz="6" w:space="0" w:color="auto"/>
              <w:left w:val="nil"/>
              <w:bottom w:val="single" w:sz="4" w:space="0" w:color="auto"/>
              <w:right w:val="single" w:sz="4" w:space="0" w:color="auto"/>
            </w:tcBorders>
            <w:noWrap/>
            <w:vAlign w:val="bottom"/>
            <w:hideMark/>
          </w:tcPr>
          <w:p w14:paraId="10EEB2E5"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259</w:t>
            </w:r>
          </w:p>
        </w:tc>
        <w:tc>
          <w:tcPr>
            <w:tcW w:w="1260" w:type="dxa"/>
            <w:tcBorders>
              <w:top w:val="double" w:sz="6" w:space="0" w:color="auto"/>
              <w:left w:val="nil"/>
              <w:bottom w:val="single" w:sz="4" w:space="0" w:color="auto"/>
              <w:right w:val="single" w:sz="4" w:space="0" w:color="auto"/>
            </w:tcBorders>
            <w:noWrap/>
            <w:vAlign w:val="bottom"/>
            <w:hideMark/>
          </w:tcPr>
          <w:p w14:paraId="3051BEC7"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48.156</w:t>
            </w:r>
          </w:p>
        </w:tc>
        <w:tc>
          <w:tcPr>
            <w:tcW w:w="1300" w:type="dxa"/>
            <w:tcBorders>
              <w:top w:val="double" w:sz="6" w:space="0" w:color="auto"/>
              <w:left w:val="nil"/>
              <w:bottom w:val="single" w:sz="4" w:space="0" w:color="auto"/>
              <w:right w:val="single" w:sz="4" w:space="0" w:color="auto"/>
            </w:tcBorders>
            <w:noWrap/>
            <w:vAlign w:val="bottom"/>
            <w:hideMark/>
          </w:tcPr>
          <w:p w14:paraId="4B10ABFD"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7.880</w:t>
            </w:r>
          </w:p>
        </w:tc>
        <w:tc>
          <w:tcPr>
            <w:tcW w:w="1040" w:type="dxa"/>
            <w:tcBorders>
              <w:top w:val="double" w:sz="6" w:space="0" w:color="auto"/>
              <w:left w:val="nil"/>
              <w:bottom w:val="single" w:sz="4" w:space="0" w:color="auto"/>
              <w:right w:val="single" w:sz="4" w:space="0" w:color="auto"/>
            </w:tcBorders>
            <w:noWrap/>
            <w:vAlign w:val="bottom"/>
            <w:hideMark/>
          </w:tcPr>
          <w:p w14:paraId="59A2DEA0"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r>
    </w:tbl>
    <w:p w14:paraId="343F95A3" w14:textId="5112E6FB" w:rsidR="00162229" w:rsidRPr="00AD01C5" w:rsidRDefault="00162229" w:rsidP="00162229">
      <w:pPr>
        <w:spacing w:after="200" w:line="240" w:lineRule="auto"/>
        <w:jc w:val="center"/>
        <w:rPr>
          <w:rFonts w:ascii="Calibri" w:eastAsia="Calibri" w:hAnsi="Calibri" w:cs="Arial"/>
          <w:iCs/>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45</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Scenario 2.1</w:t>
      </w:r>
    </w:p>
    <w:p w14:paraId="065C6E3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Nello scenario 2.2 il servizio è stato riorganizzato in modo da eliminare un ulteriore deposito, senza variare il numero di veicoli e con un incremento minimo dei chilometri a vuoto. Questo scenario vede però l’assegnazione di quasi tutte le linee ad un solo deposito, tranne 14 linee che risultano ancora suddivise tre due differenti depositi.</w:t>
      </w:r>
    </w:p>
    <w:p w14:paraId="22FC6828" w14:textId="77777777" w:rsidR="00162229" w:rsidRPr="00AD01C5" w:rsidRDefault="00162229" w:rsidP="00162229">
      <w:pPr>
        <w:spacing w:before="120" w:after="0" w:line="240" w:lineRule="auto"/>
        <w:rPr>
          <w:rFonts w:ascii="Calibri" w:eastAsia="Calibri" w:hAnsi="Calibri" w:cs="Arial"/>
        </w:rPr>
      </w:pPr>
    </w:p>
    <w:tbl>
      <w:tblPr>
        <w:tblW w:w="8340" w:type="dxa"/>
        <w:jc w:val="center"/>
        <w:tblCellMar>
          <w:left w:w="70" w:type="dxa"/>
          <w:right w:w="70" w:type="dxa"/>
        </w:tblCellMar>
        <w:tblLook w:val="04A0" w:firstRow="1" w:lastRow="0" w:firstColumn="1" w:lastColumn="0" w:noHBand="0" w:noVBand="1"/>
      </w:tblPr>
      <w:tblGrid>
        <w:gridCol w:w="1420"/>
        <w:gridCol w:w="2260"/>
        <w:gridCol w:w="1240"/>
        <w:gridCol w:w="1220"/>
        <w:gridCol w:w="1180"/>
        <w:gridCol w:w="1020"/>
      </w:tblGrid>
      <w:tr w:rsidR="00162229" w:rsidRPr="00AD01C5" w14:paraId="1293A0A8" w14:textId="77777777" w:rsidTr="002A21C0">
        <w:trPr>
          <w:trHeight w:val="630"/>
          <w:jc w:val="center"/>
        </w:trPr>
        <w:tc>
          <w:tcPr>
            <w:tcW w:w="1420"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483480E6"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Codice Deposito</w:t>
            </w:r>
          </w:p>
        </w:tc>
        <w:tc>
          <w:tcPr>
            <w:tcW w:w="2260" w:type="dxa"/>
            <w:tcBorders>
              <w:top w:val="single" w:sz="4" w:space="0" w:color="auto"/>
              <w:left w:val="nil"/>
              <w:bottom w:val="single" w:sz="4" w:space="0" w:color="auto"/>
              <w:right w:val="single" w:sz="4" w:space="0" w:color="auto"/>
            </w:tcBorders>
            <w:shd w:val="clear" w:color="000000" w:fill="8DB15F"/>
            <w:vAlign w:val="center"/>
            <w:hideMark/>
          </w:tcPr>
          <w:p w14:paraId="2141E481"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Localizzazione</w:t>
            </w:r>
          </w:p>
        </w:tc>
        <w:tc>
          <w:tcPr>
            <w:tcW w:w="1240" w:type="dxa"/>
            <w:tcBorders>
              <w:top w:val="single" w:sz="4" w:space="0" w:color="auto"/>
              <w:left w:val="nil"/>
              <w:bottom w:val="single" w:sz="4" w:space="0" w:color="auto"/>
              <w:right w:val="single" w:sz="4" w:space="0" w:color="auto"/>
            </w:tcBorders>
            <w:shd w:val="clear" w:color="000000" w:fill="8DB15F"/>
            <w:vAlign w:val="center"/>
            <w:hideMark/>
          </w:tcPr>
          <w:p w14:paraId="77E7E062"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Di Veicoli</w:t>
            </w:r>
          </w:p>
        </w:tc>
        <w:tc>
          <w:tcPr>
            <w:tcW w:w="1220" w:type="dxa"/>
            <w:tcBorders>
              <w:top w:val="single" w:sz="4" w:space="0" w:color="auto"/>
              <w:left w:val="nil"/>
              <w:bottom w:val="single" w:sz="4" w:space="0" w:color="auto"/>
              <w:right w:val="single" w:sz="4" w:space="0" w:color="auto"/>
            </w:tcBorders>
            <w:shd w:val="clear" w:color="000000" w:fill="8DB15F"/>
            <w:vAlign w:val="center"/>
            <w:hideMark/>
          </w:tcPr>
          <w:p w14:paraId="1598004C"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Servizio</w:t>
            </w:r>
          </w:p>
        </w:tc>
        <w:tc>
          <w:tcPr>
            <w:tcW w:w="1180" w:type="dxa"/>
            <w:tcBorders>
              <w:top w:val="single" w:sz="4" w:space="0" w:color="auto"/>
              <w:left w:val="nil"/>
              <w:bottom w:val="single" w:sz="4" w:space="0" w:color="auto"/>
              <w:right w:val="single" w:sz="4" w:space="0" w:color="auto"/>
            </w:tcBorders>
            <w:shd w:val="clear" w:color="000000" w:fill="8DB15F"/>
            <w:vAlign w:val="center"/>
            <w:hideMark/>
          </w:tcPr>
          <w:p w14:paraId="03501E48"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Vuoto</w:t>
            </w:r>
          </w:p>
        </w:tc>
        <w:tc>
          <w:tcPr>
            <w:tcW w:w="1020" w:type="dxa"/>
            <w:tcBorders>
              <w:top w:val="single" w:sz="4" w:space="0" w:color="auto"/>
              <w:left w:val="nil"/>
              <w:bottom w:val="single" w:sz="4" w:space="0" w:color="auto"/>
              <w:right w:val="single" w:sz="4" w:space="0" w:color="auto"/>
            </w:tcBorders>
            <w:shd w:val="clear" w:color="000000" w:fill="8DB15F"/>
            <w:vAlign w:val="center"/>
            <w:hideMark/>
          </w:tcPr>
          <w:p w14:paraId="33A66C4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Eff. Deposito</w:t>
            </w:r>
          </w:p>
        </w:tc>
      </w:tr>
      <w:tr w:rsidR="00162229" w:rsidRPr="00AD01C5" w14:paraId="1AAFC77B"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44870980"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SE_001</w:t>
            </w:r>
          </w:p>
        </w:tc>
        <w:tc>
          <w:tcPr>
            <w:tcW w:w="2260" w:type="dxa"/>
            <w:tcBorders>
              <w:top w:val="nil"/>
              <w:left w:val="nil"/>
              <w:bottom w:val="single" w:sz="4" w:space="0" w:color="auto"/>
              <w:right w:val="single" w:sz="4" w:space="0" w:color="auto"/>
            </w:tcBorders>
            <w:shd w:val="clear" w:color="000000" w:fill="FFFFFF"/>
            <w:noWrap/>
            <w:vAlign w:val="bottom"/>
            <w:hideMark/>
          </w:tcPr>
          <w:p w14:paraId="0B843D6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Alessandria (AL)</w:t>
            </w:r>
          </w:p>
        </w:tc>
        <w:tc>
          <w:tcPr>
            <w:tcW w:w="1240" w:type="dxa"/>
            <w:tcBorders>
              <w:top w:val="nil"/>
              <w:left w:val="nil"/>
              <w:bottom w:val="single" w:sz="4" w:space="0" w:color="auto"/>
              <w:right w:val="single" w:sz="4" w:space="0" w:color="auto"/>
            </w:tcBorders>
            <w:noWrap/>
            <w:vAlign w:val="center"/>
            <w:hideMark/>
          </w:tcPr>
          <w:p w14:paraId="6B338FD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52</w:t>
            </w:r>
          </w:p>
        </w:tc>
        <w:tc>
          <w:tcPr>
            <w:tcW w:w="1220" w:type="dxa"/>
            <w:tcBorders>
              <w:top w:val="nil"/>
              <w:left w:val="nil"/>
              <w:bottom w:val="single" w:sz="4" w:space="0" w:color="auto"/>
              <w:right w:val="single" w:sz="4" w:space="0" w:color="auto"/>
            </w:tcBorders>
            <w:noWrap/>
            <w:vAlign w:val="center"/>
            <w:hideMark/>
          </w:tcPr>
          <w:p w14:paraId="3421667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11528</w:t>
            </w:r>
          </w:p>
        </w:tc>
        <w:tc>
          <w:tcPr>
            <w:tcW w:w="1180" w:type="dxa"/>
            <w:tcBorders>
              <w:top w:val="nil"/>
              <w:left w:val="nil"/>
              <w:bottom w:val="single" w:sz="4" w:space="0" w:color="auto"/>
              <w:right w:val="single" w:sz="4" w:space="0" w:color="auto"/>
            </w:tcBorders>
            <w:noWrap/>
            <w:vAlign w:val="center"/>
            <w:hideMark/>
          </w:tcPr>
          <w:p w14:paraId="0064FB1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1078</w:t>
            </w:r>
          </w:p>
        </w:tc>
        <w:tc>
          <w:tcPr>
            <w:tcW w:w="1020" w:type="dxa"/>
            <w:tcBorders>
              <w:top w:val="nil"/>
              <w:left w:val="nil"/>
              <w:bottom w:val="single" w:sz="4" w:space="0" w:color="auto"/>
              <w:right w:val="single" w:sz="4" w:space="0" w:color="auto"/>
            </w:tcBorders>
            <w:noWrap/>
            <w:vAlign w:val="center"/>
            <w:hideMark/>
          </w:tcPr>
          <w:p w14:paraId="3D02422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91%</w:t>
            </w:r>
          </w:p>
        </w:tc>
      </w:tr>
      <w:tr w:rsidR="00162229" w:rsidRPr="00AD01C5" w14:paraId="6950CDC2"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6484733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SE_002</w:t>
            </w:r>
          </w:p>
        </w:tc>
        <w:tc>
          <w:tcPr>
            <w:tcW w:w="2260" w:type="dxa"/>
            <w:tcBorders>
              <w:top w:val="nil"/>
              <w:left w:val="nil"/>
              <w:bottom w:val="single" w:sz="4" w:space="0" w:color="auto"/>
              <w:right w:val="single" w:sz="4" w:space="0" w:color="auto"/>
            </w:tcBorders>
            <w:shd w:val="clear" w:color="000000" w:fill="FFFFFF"/>
            <w:noWrap/>
            <w:vAlign w:val="bottom"/>
            <w:hideMark/>
          </w:tcPr>
          <w:p w14:paraId="4845651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Casale Monferrato (AL)</w:t>
            </w:r>
          </w:p>
        </w:tc>
        <w:tc>
          <w:tcPr>
            <w:tcW w:w="1240" w:type="dxa"/>
            <w:tcBorders>
              <w:top w:val="nil"/>
              <w:left w:val="nil"/>
              <w:bottom w:val="single" w:sz="4" w:space="0" w:color="auto"/>
              <w:right w:val="single" w:sz="4" w:space="0" w:color="auto"/>
            </w:tcBorders>
            <w:noWrap/>
            <w:vAlign w:val="center"/>
            <w:hideMark/>
          </w:tcPr>
          <w:p w14:paraId="2944083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40</w:t>
            </w:r>
          </w:p>
        </w:tc>
        <w:tc>
          <w:tcPr>
            <w:tcW w:w="1220" w:type="dxa"/>
            <w:tcBorders>
              <w:top w:val="nil"/>
              <w:left w:val="nil"/>
              <w:bottom w:val="single" w:sz="4" w:space="0" w:color="auto"/>
              <w:right w:val="single" w:sz="4" w:space="0" w:color="auto"/>
            </w:tcBorders>
            <w:noWrap/>
            <w:vAlign w:val="center"/>
            <w:hideMark/>
          </w:tcPr>
          <w:p w14:paraId="31FBC5D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7809</w:t>
            </w:r>
          </w:p>
        </w:tc>
        <w:tc>
          <w:tcPr>
            <w:tcW w:w="1180" w:type="dxa"/>
            <w:tcBorders>
              <w:top w:val="nil"/>
              <w:left w:val="nil"/>
              <w:bottom w:val="single" w:sz="4" w:space="0" w:color="auto"/>
              <w:right w:val="single" w:sz="4" w:space="0" w:color="auto"/>
            </w:tcBorders>
            <w:noWrap/>
            <w:vAlign w:val="center"/>
            <w:hideMark/>
          </w:tcPr>
          <w:p w14:paraId="22E1111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1599</w:t>
            </w:r>
          </w:p>
        </w:tc>
        <w:tc>
          <w:tcPr>
            <w:tcW w:w="1020" w:type="dxa"/>
            <w:tcBorders>
              <w:top w:val="nil"/>
              <w:left w:val="nil"/>
              <w:bottom w:val="single" w:sz="4" w:space="0" w:color="auto"/>
              <w:right w:val="single" w:sz="4" w:space="0" w:color="auto"/>
            </w:tcBorders>
            <w:noWrap/>
            <w:vAlign w:val="center"/>
            <w:hideMark/>
          </w:tcPr>
          <w:p w14:paraId="2F584B6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83%</w:t>
            </w:r>
          </w:p>
        </w:tc>
      </w:tr>
      <w:tr w:rsidR="00162229" w:rsidRPr="00AD01C5" w14:paraId="64A02660"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5BF27F8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SE_003</w:t>
            </w:r>
          </w:p>
        </w:tc>
        <w:tc>
          <w:tcPr>
            <w:tcW w:w="2260" w:type="dxa"/>
            <w:tcBorders>
              <w:top w:val="nil"/>
              <w:left w:val="nil"/>
              <w:bottom w:val="single" w:sz="4" w:space="0" w:color="auto"/>
              <w:right w:val="single" w:sz="4" w:space="0" w:color="auto"/>
            </w:tcBorders>
            <w:shd w:val="clear" w:color="000000" w:fill="FFFFFF"/>
            <w:noWrap/>
            <w:vAlign w:val="bottom"/>
            <w:hideMark/>
          </w:tcPr>
          <w:p w14:paraId="0113B8D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Asti (AT)</w:t>
            </w:r>
          </w:p>
        </w:tc>
        <w:tc>
          <w:tcPr>
            <w:tcW w:w="1240" w:type="dxa"/>
            <w:tcBorders>
              <w:top w:val="nil"/>
              <w:left w:val="nil"/>
              <w:bottom w:val="single" w:sz="4" w:space="0" w:color="auto"/>
              <w:right w:val="single" w:sz="4" w:space="0" w:color="auto"/>
            </w:tcBorders>
            <w:noWrap/>
            <w:vAlign w:val="center"/>
            <w:hideMark/>
          </w:tcPr>
          <w:p w14:paraId="6CA6AC3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53</w:t>
            </w:r>
          </w:p>
        </w:tc>
        <w:tc>
          <w:tcPr>
            <w:tcW w:w="1220" w:type="dxa"/>
            <w:tcBorders>
              <w:top w:val="nil"/>
              <w:left w:val="nil"/>
              <w:bottom w:val="single" w:sz="4" w:space="0" w:color="auto"/>
              <w:right w:val="single" w:sz="4" w:space="0" w:color="auto"/>
            </w:tcBorders>
            <w:noWrap/>
            <w:vAlign w:val="center"/>
            <w:hideMark/>
          </w:tcPr>
          <w:p w14:paraId="5129252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8052</w:t>
            </w:r>
          </w:p>
        </w:tc>
        <w:tc>
          <w:tcPr>
            <w:tcW w:w="1180" w:type="dxa"/>
            <w:tcBorders>
              <w:top w:val="nil"/>
              <w:left w:val="nil"/>
              <w:bottom w:val="single" w:sz="4" w:space="0" w:color="auto"/>
              <w:right w:val="single" w:sz="4" w:space="0" w:color="auto"/>
            </w:tcBorders>
            <w:noWrap/>
            <w:vAlign w:val="center"/>
            <w:hideMark/>
          </w:tcPr>
          <w:p w14:paraId="32831B8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1528</w:t>
            </w:r>
          </w:p>
        </w:tc>
        <w:tc>
          <w:tcPr>
            <w:tcW w:w="1020" w:type="dxa"/>
            <w:tcBorders>
              <w:top w:val="nil"/>
              <w:left w:val="nil"/>
              <w:bottom w:val="single" w:sz="4" w:space="0" w:color="auto"/>
              <w:right w:val="single" w:sz="4" w:space="0" w:color="auto"/>
            </w:tcBorders>
            <w:noWrap/>
            <w:vAlign w:val="center"/>
            <w:hideMark/>
          </w:tcPr>
          <w:p w14:paraId="6AC3625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4AD76843"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6EED265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SE_004</w:t>
            </w:r>
          </w:p>
        </w:tc>
        <w:tc>
          <w:tcPr>
            <w:tcW w:w="2260" w:type="dxa"/>
            <w:tcBorders>
              <w:top w:val="nil"/>
              <w:left w:val="nil"/>
              <w:bottom w:val="single" w:sz="4" w:space="0" w:color="auto"/>
              <w:right w:val="single" w:sz="4" w:space="0" w:color="auto"/>
            </w:tcBorders>
            <w:shd w:val="clear" w:color="000000" w:fill="FFFFFF"/>
            <w:noWrap/>
            <w:vAlign w:val="bottom"/>
            <w:hideMark/>
          </w:tcPr>
          <w:p w14:paraId="1AE5906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Altavilla (AL)</w:t>
            </w:r>
          </w:p>
        </w:tc>
        <w:tc>
          <w:tcPr>
            <w:tcW w:w="1240" w:type="dxa"/>
            <w:tcBorders>
              <w:top w:val="nil"/>
              <w:left w:val="nil"/>
              <w:bottom w:val="single" w:sz="4" w:space="0" w:color="auto"/>
              <w:right w:val="single" w:sz="4" w:space="0" w:color="auto"/>
            </w:tcBorders>
            <w:noWrap/>
            <w:vAlign w:val="center"/>
            <w:hideMark/>
          </w:tcPr>
          <w:p w14:paraId="73E2B34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22</w:t>
            </w:r>
          </w:p>
        </w:tc>
        <w:tc>
          <w:tcPr>
            <w:tcW w:w="1220" w:type="dxa"/>
            <w:tcBorders>
              <w:top w:val="nil"/>
              <w:left w:val="nil"/>
              <w:bottom w:val="single" w:sz="4" w:space="0" w:color="auto"/>
              <w:right w:val="single" w:sz="4" w:space="0" w:color="auto"/>
            </w:tcBorders>
            <w:noWrap/>
            <w:vAlign w:val="center"/>
            <w:hideMark/>
          </w:tcPr>
          <w:p w14:paraId="5B04E3D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4324</w:t>
            </w:r>
          </w:p>
        </w:tc>
        <w:tc>
          <w:tcPr>
            <w:tcW w:w="1180" w:type="dxa"/>
            <w:tcBorders>
              <w:top w:val="nil"/>
              <w:left w:val="nil"/>
              <w:bottom w:val="single" w:sz="4" w:space="0" w:color="auto"/>
              <w:right w:val="single" w:sz="4" w:space="0" w:color="auto"/>
            </w:tcBorders>
            <w:noWrap/>
            <w:vAlign w:val="center"/>
            <w:hideMark/>
          </w:tcPr>
          <w:p w14:paraId="65A6884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517</w:t>
            </w:r>
          </w:p>
        </w:tc>
        <w:tc>
          <w:tcPr>
            <w:tcW w:w="1020" w:type="dxa"/>
            <w:tcBorders>
              <w:top w:val="nil"/>
              <w:left w:val="nil"/>
              <w:bottom w:val="single" w:sz="4" w:space="0" w:color="auto"/>
              <w:right w:val="single" w:sz="4" w:space="0" w:color="auto"/>
            </w:tcBorders>
            <w:noWrap/>
            <w:vAlign w:val="center"/>
            <w:hideMark/>
          </w:tcPr>
          <w:p w14:paraId="40C7C4D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89%</w:t>
            </w:r>
          </w:p>
        </w:tc>
      </w:tr>
      <w:tr w:rsidR="00162229" w:rsidRPr="00AD01C5" w14:paraId="7139F709"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44C7AB5B"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SE_008</w:t>
            </w:r>
          </w:p>
        </w:tc>
        <w:tc>
          <w:tcPr>
            <w:tcW w:w="2260" w:type="dxa"/>
            <w:tcBorders>
              <w:top w:val="nil"/>
              <w:left w:val="nil"/>
              <w:bottom w:val="single" w:sz="4" w:space="0" w:color="auto"/>
              <w:right w:val="single" w:sz="4" w:space="0" w:color="auto"/>
            </w:tcBorders>
            <w:shd w:val="clear" w:color="000000" w:fill="FFFFFF"/>
            <w:noWrap/>
            <w:vAlign w:val="bottom"/>
            <w:hideMark/>
          </w:tcPr>
          <w:p w14:paraId="3B0593C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Canelli (AT)</w:t>
            </w:r>
          </w:p>
        </w:tc>
        <w:tc>
          <w:tcPr>
            <w:tcW w:w="1240" w:type="dxa"/>
            <w:tcBorders>
              <w:top w:val="nil"/>
              <w:left w:val="nil"/>
              <w:bottom w:val="single" w:sz="4" w:space="0" w:color="auto"/>
              <w:right w:val="single" w:sz="4" w:space="0" w:color="auto"/>
            </w:tcBorders>
            <w:noWrap/>
            <w:vAlign w:val="center"/>
            <w:hideMark/>
          </w:tcPr>
          <w:p w14:paraId="6004263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31</w:t>
            </w:r>
          </w:p>
        </w:tc>
        <w:tc>
          <w:tcPr>
            <w:tcW w:w="1220" w:type="dxa"/>
            <w:tcBorders>
              <w:top w:val="nil"/>
              <w:left w:val="nil"/>
              <w:bottom w:val="single" w:sz="4" w:space="0" w:color="auto"/>
              <w:right w:val="single" w:sz="4" w:space="0" w:color="auto"/>
            </w:tcBorders>
            <w:noWrap/>
            <w:vAlign w:val="center"/>
            <w:hideMark/>
          </w:tcPr>
          <w:p w14:paraId="1A3A164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5392</w:t>
            </w:r>
          </w:p>
        </w:tc>
        <w:tc>
          <w:tcPr>
            <w:tcW w:w="1180" w:type="dxa"/>
            <w:tcBorders>
              <w:top w:val="nil"/>
              <w:left w:val="nil"/>
              <w:bottom w:val="single" w:sz="4" w:space="0" w:color="auto"/>
              <w:right w:val="single" w:sz="4" w:space="0" w:color="auto"/>
            </w:tcBorders>
            <w:noWrap/>
            <w:vAlign w:val="center"/>
            <w:hideMark/>
          </w:tcPr>
          <w:p w14:paraId="4175213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1056</w:t>
            </w:r>
          </w:p>
        </w:tc>
        <w:tc>
          <w:tcPr>
            <w:tcW w:w="1020" w:type="dxa"/>
            <w:tcBorders>
              <w:top w:val="nil"/>
              <w:left w:val="nil"/>
              <w:bottom w:val="single" w:sz="4" w:space="0" w:color="auto"/>
              <w:right w:val="single" w:sz="4" w:space="0" w:color="auto"/>
            </w:tcBorders>
            <w:noWrap/>
            <w:vAlign w:val="center"/>
            <w:hideMark/>
          </w:tcPr>
          <w:p w14:paraId="4587439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3874D39B"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57C71106"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SE_016</w:t>
            </w:r>
          </w:p>
        </w:tc>
        <w:tc>
          <w:tcPr>
            <w:tcW w:w="2260" w:type="dxa"/>
            <w:tcBorders>
              <w:top w:val="nil"/>
              <w:left w:val="nil"/>
              <w:bottom w:val="single" w:sz="4" w:space="0" w:color="auto"/>
              <w:right w:val="single" w:sz="4" w:space="0" w:color="auto"/>
            </w:tcBorders>
            <w:shd w:val="clear" w:color="000000" w:fill="FFFFFF"/>
            <w:noWrap/>
            <w:vAlign w:val="bottom"/>
            <w:hideMark/>
          </w:tcPr>
          <w:p w14:paraId="0AE4FDA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Ovada (AL)</w:t>
            </w:r>
          </w:p>
        </w:tc>
        <w:tc>
          <w:tcPr>
            <w:tcW w:w="1240" w:type="dxa"/>
            <w:tcBorders>
              <w:top w:val="nil"/>
              <w:left w:val="nil"/>
              <w:bottom w:val="single" w:sz="4" w:space="0" w:color="auto"/>
              <w:right w:val="single" w:sz="4" w:space="0" w:color="auto"/>
            </w:tcBorders>
            <w:noWrap/>
            <w:vAlign w:val="center"/>
            <w:hideMark/>
          </w:tcPr>
          <w:p w14:paraId="0DE3CDC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29</w:t>
            </w:r>
          </w:p>
        </w:tc>
        <w:tc>
          <w:tcPr>
            <w:tcW w:w="1220" w:type="dxa"/>
            <w:tcBorders>
              <w:top w:val="nil"/>
              <w:left w:val="nil"/>
              <w:bottom w:val="single" w:sz="4" w:space="0" w:color="auto"/>
              <w:right w:val="single" w:sz="4" w:space="0" w:color="auto"/>
            </w:tcBorders>
            <w:noWrap/>
            <w:vAlign w:val="center"/>
            <w:hideMark/>
          </w:tcPr>
          <w:p w14:paraId="775A2A8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5078</w:t>
            </w:r>
          </w:p>
        </w:tc>
        <w:tc>
          <w:tcPr>
            <w:tcW w:w="1180" w:type="dxa"/>
            <w:tcBorders>
              <w:top w:val="nil"/>
              <w:left w:val="nil"/>
              <w:bottom w:val="single" w:sz="4" w:space="0" w:color="auto"/>
              <w:right w:val="single" w:sz="4" w:space="0" w:color="auto"/>
            </w:tcBorders>
            <w:noWrap/>
            <w:vAlign w:val="center"/>
            <w:hideMark/>
          </w:tcPr>
          <w:p w14:paraId="591E51B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938</w:t>
            </w:r>
          </w:p>
        </w:tc>
        <w:tc>
          <w:tcPr>
            <w:tcW w:w="1020" w:type="dxa"/>
            <w:tcBorders>
              <w:top w:val="nil"/>
              <w:left w:val="nil"/>
              <w:bottom w:val="single" w:sz="4" w:space="0" w:color="auto"/>
              <w:right w:val="single" w:sz="4" w:space="0" w:color="auto"/>
            </w:tcBorders>
            <w:noWrap/>
            <w:vAlign w:val="center"/>
            <w:hideMark/>
          </w:tcPr>
          <w:p w14:paraId="7B3196D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532EA2A6" w14:textId="77777777" w:rsidTr="002A21C0">
        <w:trPr>
          <w:trHeight w:val="300"/>
          <w:jc w:val="center"/>
        </w:trPr>
        <w:tc>
          <w:tcPr>
            <w:tcW w:w="1420" w:type="dxa"/>
            <w:tcBorders>
              <w:top w:val="nil"/>
              <w:left w:val="single" w:sz="4" w:space="0" w:color="auto"/>
              <w:bottom w:val="single" w:sz="4" w:space="0" w:color="auto"/>
              <w:right w:val="single" w:sz="4" w:space="0" w:color="auto"/>
            </w:tcBorders>
            <w:shd w:val="clear" w:color="000000" w:fill="CFE4AF"/>
            <w:vAlign w:val="center"/>
            <w:hideMark/>
          </w:tcPr>
          <w:p w14:paraId="74E6B3F4"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SE_019</w:t>
            </w:r>
          </w:p>
        </w:tc>
        <w:tc>
          <w:tcPr>
            <w:tcW w:w="2260" w:type="dxa"/>
            <w:tcBorders>
              <w:top w:val="nil"/>
              <w:left w:val="nil"/>
              <w:bottom w:val="single" w:sz="4" w:space="0" w:color="auto"/>
              <w:right w:val="single" w:sz="4" w:space="0" w:color="auto"/>
            </w:tcBorders>
            <w:shd w:val="clear" w:color="000000" w:fill="FFFFFF"/>
            <w:noWrap/>
            <w:vAlign w:val="bottom"/>
            <w:hideMark/>
          </w:tcPr>
          <w:p w14:paraId="51927EE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Novi Ligure (AL)</w:t>
            </w:r>
          </w:p>
        </w:tc>
        <w:tc>
          <w:tcPr>
            <w:tcW w:w="1240" w:type="dxa"/>
            <w:tcBorders>
              <w:top w:val="nil"/>
              <w:left w:val="nil"/>
              <w:bottom w:val="single" w:sz="4" w:space="0" w:color="auto"/>
              <w:right w:val="single" w:sz="4" w:space="0" w:color="auto"/>
            </w:tcBorders>
            <w:noWrap/>
            <w:vAlign w:val="center"/>
            <w:hideMark/>
          </w:tcPr>
          <w:p w14:paraId="7C1AD65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32</w:t>
            </w:r>
          </w:p>
        </w:tc>
        <w:tc>
          <w:tcPr>
            <w:tcW w:w="1220" w:type="dxa"/>
            <w:tcBorders>
              <w:top w:val="nil"/>
              <w:left w:val="nil"/>
              <w:bottom w:val="single" w:sz="4" w:space="0" w:color="auto"/>
              <w:right w:val="single" w:sz="4" w:space="0" w:color="auto"/>
            </w:tcBorders>
            <w:noWrap/>
            <w:vAlign w:val="center"/>
            <w:hideMark/>
          </w:tcPr>
          <w:p w14:paraId="2C9E3F9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5974</w:t>
            </w:r>
          </w:p>
        </w:tc>
        <w:tc>
          <w:tcPr>
            <w:tcW w:w="1180" w:type="dxa"/>
            <w:tcBorders>
              <w:top w:val="nil"/>
              <w:left w:val="nil"/>
              <w:bottom w:val="single" w:sz="4" w:space="0" w:color="auto"/>
              <w:right w:val="single" w:sz="4" w:space="0" w:color="auto"/>
            </w:tcBorders>
            <w:noWrap/>
            <w:vAlign w:val="center"/>
            <w:hideMark/>
          </w:tcPr>
          <w:p w14:paraId="4DFB733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1573</w:t>
            </w:r>
          </w:p>
        </w:tc>
        <w:tc>
          <w:tcPr>
            <w:tcW w:w="1020" w:type="dxa"/>
            <w:tcBorders>
              <w:top w:val="nil"/>
              <w:left w:val="nil"/>
              <w:bottom w:val="single" w:sz="4" w:space="0" w:color="auto"/>
              <w:right w:val="single" w:sz="4" w:space="0" w:color="auto"/>
            </w:tcBorders>
            <w:noWrap/>
            <w:vAlign w:val="center"/>
            <w:hideMark/>
          </w:tcPr>
          <w:p w14:paraId="42806850"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79%</w:t>
            </w:r>
          </w:p>
        </w:tc>
      </w:tr>
      <w:tr w:rsidR="00162229" w:rsidRPr="00AD01C5" w14:paraId="2B5C4583" w14:textId="77777777" w:rsidTr="002A21C0">
        <w:trPr>
          <w:trHeight w:val="300"/>
          <w:jc w:val="center"/>
        </w:trPr>
        <w:tc>
          <w:tcPr>
            <w:tcW w:w="1420" w:type="dxa"/>
            <w:tcBorders>
              <w:top w:val="double" w:sz="6" w:space="0" w:color="auto"/>
              <w:left w:val="single" w:sz="4" w:space="0" w:color="auto"/>
              <w:bottom w:val="single" w:sz="4" w:space="0" w:color="auto"/>
              <w:right w:val="single" w:sz="4" w:space="0" w:color="auto"/>
            </w:tcBorders>
            <w:shd w:val="clear" w:color="000000" w:fill="CFE4AF"/>
            <w:vAlign w:val="center"/>
            <w:hideMark/>
          </w:tcPr>
          <w:p w14:paraId="3F228F20"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Totale</w:t>
            </w:r>
          </w:p>
        </w:tc>
        <w:tc>
          <w:tcPr>
            <w:tcW w:w="2260" w:type="dxa"/>
            <w:tcBorders>
              <w:top w:val="double" w:sz="6" w:space="0" w:color="auto"/>
              <w:left w:val="nil"/>
              <w:bottom w:val="single" w:sz="4" w:space="0" w:color="auto"/>
              <w:right w:val="single" w:sz="4" w:space="0" w:color="auto"/>
            </w:tcBorders>
            <w:noWrap/>
            <w:vAlign w:val="bottom"/>
            <w:hideMark/>
          </w:tcPr>
          <w:p w14:paraId="2BD989C8"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240" w:type="dxa"/>
            <w:tcBorders>
              <w:top w:val="double" w:sz="6" w:space="0" w:color="auto"/>
              <w:left w:val="nil"/>
              <w:bottom w:val="single" w:sz="4" w:space="0" w:color="auto"/>
              <w:right w:val="single" w:sz="4" w:space="0" w:color="auto"/>
            </w:tcBorders>
            <w:noWrap/>
            <w:vAlign w:val="bottom"/>
            <w:hideMark/>
          </w:tcPr>
          <w:p w14:paraId="53877840"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259</w:t>
            </w:r>
          </w:p>
        </w:tc>
        <w:tc>
          <w:tcPr>
            <w:tcW w:w="1220" w:type="dxa"/>
            <w:tcBorders>
              <w:top w:val="double" w:sz="6" w:space="0" w:color="auto"/>
              <w:left w:val="nil"/>
              <w:bottom w:val="single" w:sz="4" w:space="0" w:color="auto"/>
              <w:right w:val="single" w:sz="4" w:space="0" w:color="auto"/>
            </w:tcBorders>
            <w:noWrap/>
            <w:vAlign w:val="bottom"/>
            <w:hideMark/>
          </w:tcPr>
          <w:p w14:paraId="0F1D0ABE"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48.156</w:t>
            </w:r>
          </w:p>
        </w:tc>
        <w:tc>
          <w:tcPr>
            <w:tcW w:w="1180" w:type="dxa"/>
            <w:tcBorders>
              <w:top w:val="double" w:sz="6" w:space="0" w:color="auto"/>
              <w:left w:val="nil"/>
              <w:bottom w:val="single" w:sz="4" w:space="0" w:color="auto"/>
              <w:right w:val="single" w:sz="4" w:space="0" w:color="auto"/>
            </w:tcBorders>
            <w:noWrap/>
            <w:vAlign w:val="bottom"/>
            <w:hideMark/>
          </w:tcPr>
          <w:p w14:paraId="6831C62E"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8.289</w:t>
            </w:r>
          </w:p>
        </w:tc>
        <w:tc>
          <w:tcPr>
            <w:tcW w:w="1020" w:type="dxa"/>
            <w:tcBorders>
              <w:top w:val="double" w:sz="6" w:space="0" w:color="auto"/>
              <w:left w:val="nil"/>
              <w:bottom w:val="single" w:sz="4" w:space="0" w:color="auto"/>
              <w:right w:val="single" w:sz="4" w:space="0" w:color="auto"/>
            </w:tcBorders>
            <w:noWrap/>
            <w:vAlign w:val="bottom"/>
            <w:hideMark/>
          </w:tcPr>
          <w:p w14:paraId="588CC487"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r>
    </w:tbl>
    <w:p w14:paraId="0DE37D99" w14:textId="45E17D70" w:rsidR="00162229" w:rsidRPr="00AD01C5" w:rsidRDefault="00162229" w:rsidP="00162229">
      <w:pPr>
        <w:spacing w:after="200" w:line="240" w:lineRule="auto"/>
        <w:jc w:val="center"/>
        <w:rPr>
          <w:rFonts w:ascii="Calibri" w:eastAsia="Calibri" w:hAnsi="Calibri" w:cs="Arial"/>
          <w:iCs/>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46</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Scenario 2.2</w:t>
      </w:r>
    </w:p>
    <w:p w14:paraId="6B56033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Procedendo nell’analisi si è optato quindi per reintrodurre un deposito nello scenario 3, precedentemente eliminato nello scenario 2.2, mantenendo comunque invariato il numero di autobus e incrementando in modo minimo il numero dei chilometri a vuoto. </w:t>
      </w:r>
    </w:p>
    <w:p w14:paraId="5DC71EE3"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 complesso lo scenario così definito garantisce l’indipendenza di ciascun deposito rispetto al servizio erogato, mantenendo un buon livello di efficienza degli stessi e ottimizzando i fattori della produzione. L’efficienza media dei depositi è pari all’ 84%, ridotta di 6 punti percentuale rispetto allo scenario base. </w:t>
      </w:r>
    </w:p>
    <w:p w14:paraId="3AF8E1AD" w14:textId="77777777" w:rsidR="00162229" w:rsidRPr="00AD01C5" w:rsidRDefault="00162229" w:rsidP="00162229">
      <w:pPr>
        <w:spacing w:before="120" w:after="0" w:line="240" w:lineRule="auto"/>
        <w:rPr>
          <w:rFonts w:ascii="Calibri" w:eastAsia="Calibri" w:hAnsi="Calibri" w:cs="Arial"/>
        </w:rPr>
      </w:pPr>
    </w:p>
    <w:tbl>
      <w:tblPr>
        <w:tblW w:w="7940" w:type="dxa"/>
        <w:jc w:val="center"/>
        <w:tblCellMar>
          <w:left w:w="70" w:type="dxa"/>
          <w:right w:w="70" w:type="dxa"/>
        </w:tblCellMar>
        <w:tblLook w:val="04A0" w:firstRow="1" w:lastRow="0" w:firstColumn="1" w:lastColumn="0" w:noHBand="0" w:noVBand="1"/>
      </w:tblPr>
      <w:tblGrid>
        <w:gridCol w:w="1277"/>
        <w:gridCol w:w="2260"/>
        <w:gridCol w:w="1300"/>
        <w:gridCol w:w="1140"/>
        <w:gridCol w:w="1000"/>
        <w:gridCol w:w="963"/>
      </w:tblGrid>
      <w:tr w:rsidR="00162229" w:rsidRPr="00AD01C5" w14:paraId="108DFB08" w14:textId="77777777" w:rsidTr="002A21C0">
        <w:trPr>
          <w:trHeight w:val="750"/>
          <w:jc w:val="center"/>
        </w:trPr>
        <w:tc>
          <w:tcPr>
            <w:tcW w:w="1300"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78F6834F" w14:textId="77777777" w:rsidR="00162229" w:rsidRPr="00AD01C5" w:rsidRDefault="00162229" w:rsidP="002A21C0">
            <w:pPr>
              <w:spacing w:after="0" w:line="240" w:lineRule="auto"/>
              <w:jc w:val="center"/>
              <w:rPr>
                <w:rFonts w:ascii="Calibri" w:eastAsia="Times New Roman" w:hAnsi="Calibri" w:cs="Calibri"/>
                <w:b/>
                <w:bCs/>
                <w:color w:val="000000"/>
              </w:rPr>
            </w:pPr>
            <w:bookmarkStart w:id="371" w:name="_Ref187414843"/>
            <w:r w:rsidRPr="00AD01C5">
              <w:rPr>
                <w:rFonts w:ascii="Calibri" w:eastAsia="Times New Roman" w:hAnsi="Calibri" w:cs="Calibri"/>
                <w:b/>
                <w:bCs/>
                <w:color w:val="000000"/>
              </w:rPr>
              <w:lastRenderedPageBreak/>
              <w:t>Codice Deposito</w:t>
            </w:r>
          </w:p>
        </w:tc>
        <w:tc>
          <w:tcPr>
            <w:tcW w:w="2260" w:type="dxa"/>
            <w:tcBorders>
              <w:top w:val="single" w:sz="4" w:space="0" w:color="auto"/>
              <w:left w:val="nil"/>
              <w:bottom w:val="single" w:sz="4" w:space="0" w:color="auto"/>
              <w:right w:val="single" w:sz="4" w:space="0" w:color="auto"/>
            </w:tcBorders>
            <w:shd w:val="clear" w:color="000000" w:fill="8DB15F"/>
            <w:vAlign w:val="center"/>
            <w:hideMark/>
          </w:tcPr>
          <w:p w14:paraId="24186942"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Localizzazione</w:t>
            </w:r>
          </w:p>
        </w:tc>
        <w:tc>
          <w:tcPr>
            <w:tcW w:w="1300" w:type="dxa"/>
            <w:tcBorders>
              <w:top w:val="single" w:sz="4" w:space="0" w:color="auto"/>
              <w:left w:val="nil"/>
              <w:bottom w:val="single" w:sz="4" w:space="0" w:color="auto"/>
              <w:right w:val="single" w:sz="4" w:space="0" w:color="auto"/>
            </w:tcBorders>
            <w:shd w:val="clear" w:color="000000" w:fill="8DB15F"/>
            <w:vAlign w:val="center"/>
            <w:hideMark/>
          </w:tcPr>
          <w:p w14:paraId="578AD0AF"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Di Veicoli</w:t>
            </w:r>
          </w:p>
        </w:tc>
        <w:tc>
          <w:tcPr>
            <w:tcW w:w="1140" w:type="dxa"/>
            <w:tcBorders>
              <w:top w:val="single" w:sz="4" w:space="0" w:color="auto"/>
              <w:left w:val="nil"/>
              <w:bottom w:val="single" w:sz="4" w:space="0" w:color="auto"/>
              <w:right w:val="single" w:sz="4" w:space="0" w:color="auto"/>
            </w:tcBorders>
            <w:shd w:val="clear" w:color="000000" w:fill="8DB15F"/>
            <w:vAlign w:val="center"/>
            <w:hideMark/>
          </w:tcPr>
          <w:p w14:paraId="03749CE6"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Servizio</w:t>
            </w:r>
          </w:p>
        </w:tc>
        <w:tc>
          <w:tcPr>
            <w:tcW w:w="1000" w:type="dxa"/>
            <w:tcBorders>
              <w:top w:val="single" w:sz="4" w:space="0" w:color="auto"/>
              <w:left w:val="nil"/>
              <w:bottom w:val="single" w:sz="4" w:space="0" w:color="auto"/>
              <w:right w:val="single" w:sz="4" w:space="0" w:color="auto"/>
            </w:tcBorders>
            <w:shd w:val="clear" w:color="000000" w:fill="8DB15F"/>
            <w:vAlign w:val="center"/>
            <w:hideMark/>
          </w:tcPr>
          <w:p w14:paraId="2BB3D66F"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di Vuoto</w:t>
            </w:r>
          </w:p>
        </w:tc>
        <w:tc>
          <w:tcPr>
            <w:tcW w:w="940" w:type="dxa"/>
            <w:tcBorders>
              <w:top w:val="single" w:sz="4" w:space="0" w:color="auto"/>
              <w:left w:val="nil"/>
              <w:bottom w:val="single" w:sz="4" w:space="0" w:color="auto"/>
              <w:right w:val="single" w:sz="4" w:space="0" w:color="auto"/>
            </w:tcBorders>
            <w:shd w:val="clear" w:color="000000" w:fill="8DB15F"/>
            <w:vAlign w:val="center"/>
            <w:hideMark/>
          </w:tcPr>
          <w:p w14:paraId="2D36209D"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Eff. Deposito</w:t>
            </w:r>
          </w:p>
        </w:tc>
      </w:tr>
      <w:tr w:rsidR="00162229" w:rsidRPr="00AD01C5" w14:paraId="7914AFC7"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31E42D23"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SE_001</w:t>
            </w:r>
          </w:p>
        </w:tc>
        <w:tc>
          <w:tcPr>
            <w:tcW w:w="2260" w:type="dxa"/>
            <w:tcBorders>
              <w:top w:val="nil"/>
              <w:left w:val="nil"/>
              <w:bottom w:val="single" w:sz="4" w:space="0" w:color="auto"/>
              <w:right w:val="single" w:sz="4" w:space="0" w:color="auto"/>
            </w:tcBorders>
            <w:shd w:val="clear" w:color="000000" w:fill="FFFFFF"/>
            <w:noWrap/>
            <w:vAlign w:val="bottom"/>
            <w:hideMark/>
          </w:tcPr>
          <w:p w14:paraId="19A4594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 xml:space="preserve"> Alessandria (AL)</w:t>
            </w:r>
          </w:p>
        </w:tc>
        <w:tc>
          <w:tcPr>
            <w:tcW w:w="1300" w:type="dxa"/>
            <w:tcBorders>
              <w:top w:val="nil"/>
              <w:left w:val="nil"/>
              <w:bottom w:val="single" w:sz="4" w:space="0" w:color="auto"/>
              <w:right w:val="single" w:sz="4" w:space="0" w:color="auto"/>
            </w:tcBorders>
            <w:noWrap/>
            <w:vAlign w:val="center"/>
            <w:hideMark/>
          </w:tcPr>
          <w:p w14:paraId="5101D02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55</w:t>
            </w:r>
          </w:p>
        </w:tc>
        <w:tc>
          <w:tcPr>
            <w:tcW w:w="1140" w:type="dxa"/>
            <w:tcBorders>
              <w:top w:val="nil"/>
              <w:left w:val="nil"/>
              <w:bottom w:val="single" w:sz="4" w:space="0" w:color="auto"/>
              <w:right w:val="single" w:sz="4" w:space="0" w:color="auto"/>
            </w:tcBorders>
            <w:noWrap/>
            <w:vAlign w:val="center"/>
            <w:hideMark/>
          </w:tcPr>
          <w:p w14:paraId="4D9B86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11900</w:t>
            </w:r>
          </w:p>
        </w:tc>
        <w:tc>
          <w:tcPr>
            <w:tcW w:w="1000" w:type="dxa"/>
            <w:tcBorders>
              <w:top w:val="nil"/>
              <w:left w:val="nil"/>
              <w:bottom w:val="single" w:sz="4" w:space="0" w:color="auto"/>
              <w:right w:val="single" w:sz="4" w:space="0" w:color="auto"/>
            </w:tcBorders>
            <w:noWrap/>
            <w:vAlign w:val="center"/>
            <w:hideMark/>
          </w:tcPr>
          <w:p w14:paraId="628EE1A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1349</w:t>
            </w:r>
          </w:p>
        </w:tc>
        <w:tc>
          <w:tcPr>
            <w:tcW w:w="940" w:type="dxa"/>
            <w:tcBorders>
              <w:top w:val="nil"/>
              <w:left w:val="nil"/>
              <w:bottom w:val="single" w:sz="4" w:space="0" w:color="auto"/>
              <w:right w:val="single" w:sz="4" w:space="0" w:color="auto"/>
            </w:tcBorders>
            <w:noWrap/>
            <w:vAlign w:val="center"/>
            <w:hideMark/>
          </w:tcPr>
          <w:p w14:paraId="1E74921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90%</w:t>
            </w:r>
          </w:p>
        </w:tc>
      </w:tr>
      <w:tr w:rsidR="00162229" w:rsidRPr="00AD01C5" w14:paraId="0AB0B234"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29A84D12"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SE_002</w:t>
            </w:r>
          </w:p>
        </w:tc>
        <w:tc>
          <w:tcPr>
            <w:tcW w:w="2260" w:type="dxa"/>
            <w:tcBorders>
              <w:top w:val="nil"/>
              <w:left w:val="nil"/>
              <w:bottom w:val="single" w:sz="4" w:space="0" w:color="auto"/>
              <w:right w:val="single" w:sz="4" w:space="0" w:color="auto"/>
            </w:tcBorders>
            <w:shd w:val="clear" w:color="000000" w:fill="FFFFFF"/>
            <w:noWrap/>
            <w:vAlign w:val="bottom"/>
            <w:hideMark/>
          </w:tcPr>
          <w:p w14:paraId="38A1750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Casale Monferrato (AL)</w:t>
            </w:r>
          </w:p>
        </w:tc>
        <w:tc>
          <w:tcPr>
            <w:tcW w:w="1300" w:type="dxa"/>
            <w:tcBorders>
              <w:top w:val="nil"/>
              <w:left w:val="nil"/>
              <w:bottom w:val="single" w:sz="4" w:space="0" w:color="auto"/>
              <w:right w:val="single" w:sz="4" w:space="0" w:color="auto"/>
            </w:tcBorders>
            <w:noWrap/>
            <w:vAlign w:val="center"/>
            <w:hideMark/>
          </w:tcPr>
          <w:p w14:paraId="2514081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28</w:t>
            </w:r>
          </w:p>
        </w:tc>
        <w:tc>
          <w:tcPr>
            <w:tcW w:w="1140" w:type="dxa"/>
            <w:tcBorders>
              <w:top w:val="nil"/>
              <w:left w:val="nil"/>
              <w:bottom w:val="single" w:sz="4" w:space="0" w:color="auto"/>
              <w:right w:val="single" w:sz="4" w:space="0" w:color="auto"/>
            </w:tcBorders>
            <w:noWrap/>
            <w:vAlign w:val="center"/>
            <w:hideMark/>
          </w:tcPr>
          <w:p w14:paraId="0C87B6D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5047</w:t>
            </w:r>
          </w:p>
        </w:tc>
        <w:tc>
          <w:tcPr>
            <w:tcW w:w="1000" w:type="dxa"/>
            <w:tcBorders>
              <w:top w:val="nil"/>
              <w:left w:val="nil"/>
              <w:bottom w:val="single" w:sz="4" w:space="0" w:color="auto"/>
              <w:right w:val="single" w:sz="4" w:space="0" w:color="auto"/>
            </w:tcBorders>
            <w:noWrap/>
            <w:vAlign w:val="center"/>
            <w:hideMark/>
          </w:tcPr>
          <w:p w14:paraId="4D7F524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1055</w:t>
            </w:r>
          </w:p>
        </w:tc>
        <w:tc>
          <w:tcPr>
            <w:tcW w:w="940" w:type="dxa"/>
            <w:tcBorders>
              <w:top w:val="nil"/>
              <w:left w:val="nil"/>
              <w:bottom w:val="single" w:sz="4" w:space="0" w:color="auto"/>
              <w:right w:val="single" w:sz="4" w:space="0" w:color="auto"/>
            </w:tcBorders>
            <w:noWrap/>
            <w:vAlign w:val="center"/>
            <w:hideMark/>
          </w:tcPr>
          <w:p w14:paraId="2884D3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83%</w:t>
            </w:r>
          </w:p>
        </w:tc>
      </w:tr>
      <w:tr w:rsidR="00162229" w:rsidRPr="00AD01C5" w14:paraId="2021840F"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37B13D0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SE_003</w:t>
            </w:r>
          </w:p>
        </w:tc>
        <w:tc>
          <w:tcPr>
            <w:tcW w:w="2260" w:type="dxa"/>
            <w:tcBorders>
              <w:top w:val="nil"/>
              <w:left w:val="nil"/>
              <w:bottom w:val="single" w:sz="4" w:space="0" w:color="auto"/>
              <w:right w:val="single" w:sz="4" w:space="0" w:color="auto"/>
            </w:tcBorders>
            <w:shd w:val="clear" w:color="000000" w:fill="FFFFFF"/>
            <w:noWrap/>
            <w:vAlign w:val="bottom"/>
            <w:hideMark/>
          </w:tcPr>
          <w:p w14:paraId="257FCC2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Asti (AT)</w:t>
            </w:r>
          </w:p>
        </w:tc>
        <w:tc>
          <w:tcPr>
            <w:tcW w:w="1300" w:type="dxa"/>
            <w:tcBorders>
              <w:top w:val="nil"/>
              <w:left w:val="nil"/>
              <w:bottom w:val="single" w:sz="4" w:space="0" w:color="auto"/>
              <w:right w:val="single" w:sz="4" w:space="0" w:color="auto"/>
            </w:tcBorders>
            <w:noWrap/>
            <w:vAlign w:val="center"/>
            <w:hideMark/>
          </w:tcPr>
          <w:p w14:paraId="32C6CE8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48</w:t>
            </w:r>
          </w:p>
        </w:tc>
        <w:tc>
          <w:tcPr>
            <w:tcW w:w="1140" w:type="dxa"/>
            <w:tcBorders>
              <w:top w:val="nil"/>
              <w:left w:val="nil"/>
              <w:bottom w:val="single" w:sz="4" w:space="0" w:color="auto"/>
              <w:right w:val="single" w:sz="4" w:space="0" w:color="auto"/>
            </w:tcBorders>
            <w:noWrap/>
            <w:vAlign w:val="center"/>
            <w:hideMark/>
          </w:tcPr>
          <w:p w14:paraId="0FECED6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7336</w:t>
            </w:r>
          </w:p>
        </w:tc>
        <w:tc>
          <w:tcPr>
            <w:tcW w:w="1000" w:type="dxa"/>
            <w:tcBorders>
              <w:top w:val="nil"/>
              <w:left w:val="nil"/>
              <w:bottom w:val="single" w:sz="4" w:space="0" w:color="auto"/>
              <w:right w:val="single" w:sz="4" w:space="0" w:color="auto"/>
            </w:tcBorders>
            <w:noWrap/>
            <w:vAlign w:val="center"/>
            <w:hideMark/>
          </w:tcPr>
          <w:p w14:paraId="0F5C474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1371</w:t>
            </w:r>
          </w:p>
        </w:tc>
        <w:tc>
          <w:tcPr>
            <w:tcW w:w="940" w:type="dxa"/>
            <w:tcBorders>
              <w:top w:val="nil"/>
              <w:left w:val="nil"/>
              <w:bottom w:val="single" w:sz="4" w:space="0" w:color="auto"/>
              <w:right w:val="single" w:sz="4" w:space="0" w:color="auto"/>
            </w:tcBorders>
            <w:noWrap/>
            <w:vAlign w:val="center"/>
            <w:hideMark/>
          </w:tcPr>
          <w:p w14:paraId="62277E3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84%</w:t>
            </w:r>
          </w:p>
        </w:tc>
      </w:tr>
      <w:tr w:rsidR="00162229" w:rsidRPr="00AD01C5" w14:paraId="37CFF3C1"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40D3EDE5"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SE_004</w:t>
            </w:r>
          </w:p>
        </w:tc>
        <w:tc>
          <w:tcPr>
            <w:tcW w:w="2260" w:type="dxa"/>
            <w:tcBorders>
              <w:top w:val="nil"/>
              <w:left w:val="nil"/>
              <w:bottom w:val="single" w:sz="4" w:space="0" w:color="auto"/>
              <w:right w:val="single" w:sz="4" w:space="0" w:color="auto"/>
            </w:tcBorders>
            <w:shd w:val="clear" w:color="000000" w:fill="FFFFFF"/>
            <w:noWrap/>
            <w:vAlign w:val="bottom"/>
            <w:hideMark/>
          </w:tcPr>
          <w:p w14:paraId="1D5A37B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Altavilla (AL)</w:t>
            </w:r>
          </w:p>
        </w:tc>
        <w:tc>
          <w:tcPr>
            <w:tcW w:w="1300" w:type="dxa"/>
            <w:tcBorders>
              <w:top w:val="nil"/>
              <w:left w:val="nil"/>
              <w:bottom w:val="single" w:sz="4" w:space="0" w:color="auto"/>
              <w:right w:val="single" w:sz="4" w:space="0" w:color="auto"/>
            </w:tcBorders>
            <w:noWrap/>
            <w:vAlign w:val="center"/>
            <w:hideMark/>
          </w:tcPr>
          <w:p w14:paraId="29194D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16</w:t>
            </w:r>
          </w:p>
        </w:tc>
        <w:tc>
          <w:tcPr>
            <w:tcW w:w="1140" w:type="dxa"/>
            <w:tcBorders>
              <w:top w:val="nil"/>
              <w:left w:val="nil"/>
              <w:bottom w:val="single" w:sz="4" w:space="0" w:color="auto"/>
              <w:right w:val="single" w:sz="4" w:space="0" w:color="auto"/>
            </w:tcBorders>
            <w:noWrap/>
            <w:vAlign w:val="center"/>
            <w:hideMark/>
          </w:tcPr>
          <w:p w14:paraId="4ACA091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3016</w:t>
            </w:r>
          </w:p>
        </w:tc>
        <w:tc>
          <w:tcPr>
            <w:tcW w:w="1000" w:type="dxa"/>
            <w:tcBorders>
              <w:top w:val="nil"/>
              <w:left w:val="nil"/>
              <w:bottom w:val="single" w:sz="4" w:space="0" w:color="auto"/>
              <w:right w:val="single" w:sz="4" w:space="0" w:color="auto"/>
            </w:tcBorders>
            <w:noWrap/>
            <w:vAlign w:val="center"/>
            <w:hideMark/>
          </w:tcPr>
          <w:p w14:paraId="43CB6E8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277</w:t>
            </w:r>
          </w:p>
        </w:tc>
        <w:tc>
          <w:tcPr>
            <w:tcW w:w="940" w:type="dxa"/>
            <w:tcBorders>
              <w:top w:val="nil"/>
              <w:left w:val="nil"/>
              <w:bottom w:val="single" w:sz="4" w:space="0" w:color="auto"/>
              <w:right w:val="single" w:sz="4" w:space="0" w:color="auto"/>
            </w:tcBorders>
            <w:noWrap/>
            <w:vAlign w:val="center"/>
            <w:hideMark/>
          </w:tcPr>
          <w:p w14:paraId="6E5B18B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92%</w:t>
            </w:r>
          </w:p>
        </w:tc>
      </w:tr>
      <w:tr w:rsidR="00162229" w:rsidRPr="00AD01C5" w14:paraId="07029A4A"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3FC713D9"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SE_007</w:t>
            </w:r>
          </w:p>
        </w:tc>
        <w:tc>
          <w:tcPr>
            <w:tcW w:w="2260" w:type="dxa"/>
            <w:tcBorders>
              <w:top w:val="nil"/>
              <w:left w:val="nil"/>
              <w:bottom w:val="single" w:sz="4" w:space="0" w:color="auto"/>
              <w:right w:val="single" w:sz="4" w:space="0" w:color="auto"/>
            </w:tcBorders>
            <w:shd w:val="clear" w:color="000000" w:fill="FFFFFF"/>
            <w:noWrap/>
            <w:vAlign w:val="bottom"/>
            <w:hideMark/>
          </w:tcPr>
          <w:p w14:paraId="5351326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Villanova D'Asti (AT)</w:t>
            </w:r>
          </w:p>
        </w:tc>
        <w:tc>
          <w:tcPr>
            <w:tcW w:w="1300" w:type="dxa"/>
            <w:tcBorders>
              <w:top w:val="nil"/>
              <w:left w:val="nil"/>
              <w:bottom w:val="single" w:sz="4" w:space="0" w:color="auto"/>
              <w:right w:val="single" w:sz="4" w:space="0" w:color="auto"/>
            </w:tcBorders>
            <w:noWrap/>
            <w:vAlign w:val="center"/>
            <w:hideMark/>
          </w:tcPr>
          <w:p w14:paraId="6D07EA6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23</w:t>
            </w:r>
          </w:p>
        </w:tc>
        <w:tc>
          <w:tcPr>
            <w:tcW w:w="1140" w:type="dxa"/>
            <w:tcBorders>
              <w:top w:val="nil"/>
              <w:left w:val="nil"/>
              <w:bottom w:val="single" w:sz="4" w:space="0" w:color="auto"/>
              <w:right w:val="single" w:sz="4" w:space="0" w:color="auto"/>
            </w:tcBorders>
            <w:noWrap/>
            <w:vAlign w:val="center"/>
            <w:hideMark/>
          </w:tcPr>
          <w:p w14:paraId="63B7EF0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4727</w:t>
            </w:r>
          </w:p>
        </w:tc>
        <w:tc>
          <w:tcPr>
            <w:tcW w:w="1000" w:type="dxa"/>
            <w:tcBorders>
              <w:top w:val="nil"/>
              <w:left w:val="nil"/>
              <w:bottom w:val="single" w:sz="4" w:space="0" w:color="auto"/>
              <w:right w:val="single" w:sz="4" w:space="0" w:color="auto"/>
            </w:tcBorders>
            <w:noWrap/>
            <w:vAlign w:val="center"/>
            <w:hideMark/>
          </w:tcPr>
          <w:p w14:paraId="225973D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658</w:t>
            </w:r>
          </w:p>
        </w:tc>
        <w:tc>
          <w:tcPr>
            <w:tcW w:w="940" w:type="dxa"/>
            <w:tcBorders>
              <w:top w:val="nil"/>
              <w:left w:val="nil"/>
              <w:bottom w:val="single" w:sz="4" w:space="0" w:color="auto"/>
              <w:right w:val="single" w:sz="4" w:space="0" w:color="auto"/>
            </w:tcBorders>
            <w:noWrap/>
            <w:vAlign w:val="center"/>
            <w:hideMark/>
          </w:tcPr>
          <w:p w14:paraId="5CBE2E4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88%</w:t>
            </w:r>
          </w:p>
        </w:tc>
      </w:tr>
      <w:tr w:rsidR="00162229" w:rsidRPr="00AD01C5" w14:paraId="7E373A3C"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09E5AE5A"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SE_008</w:t>
            </w:r>
          </w:p>
        </w:tc>
        <w:tc>
          <w:tcPr>
            <w:tcW w:w="2260" w:type="dxa"/>
            <w:tcBorders>
              <w:top w:val="nil"/>
              <w:left w:val="nil"/>
              <w:bottom w:val="single" w:sz="4" w:space="0" w:color="auto"/>
              <w:right w:val="single" w:sz="4" w:space="0" w:color="auto"/>
            </w:tcBorders>
            <w:shd w:val="clear" w:color="000000" w:fill="FFFFFF"/>
            <w:noWrap/>
            <w:vAlign w:val="bottom"/>
            <w:hideMark/>
          </w:tcPr>
          <w:p w14:paraId="4B5E5F4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Canelli (AT)</w:t>
            </w:r>
          </w:p>
        </w:tc>
        <w:tc>
          <w:tcPr>
            <w:tcW w:w="1300" w:type="dxa"/>
            <w:tcBorders>
              <w:top w:val="nil"/>
              <w:left w:val="nil"/>
              <w:bottom w:val="single" w:sz="4" w:space="0" w:color="auto"/>
              <w:right w:val="single" w:sz="4" w:space="0" w:color="auto"/>
            </w:tcBorders>
            <w:noWrap/>
            <w:vAlign w:val="center"/>
            <w:hideMark/>
          </w:tcPr>
          <w:p w14:paraId="7E7A038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33</w:t>
            </w:r>
          </w:p>
        </w:tc>
        <w:tc>
          <w:tcPr>
            <w:tcW w:w="1140" w:type="dxa"/>
            <w:tcBorders>
              <w:top w:val="nil"/>
              <w:left w:val="nil"/>
              <w:bottom w:val="single" w:sz="4" w:space="0" w:color="auto"/>
              <w:right w:val="single" w:sz="4" w:space="0" w:color="auto"/>
            </w:tcBorders>
            <w:noWrap/>
            <w:vAlign w:val="center"/>
            <w:hideMark/>
          </w:tcPr>
          <w:p w14:paraId="29E7337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5709</w:t>
            </w:r>
          </w:p>
        </w:tc>
        <w:tc>
          <w:tcPr>
            <w:tcW w:w="1000" w:type="dxa"/>
            <w:tcBorders>
              <w:top w:val="nil"/>
              <w:left w:val="nil"/>
              <w:bottom w:val="single" w:sz="4" w:space="0" w:color="auto"/>
              <w:right w:val="single" w:sz="4" w:space="0" w:color="auto"/>
            </w:tcBorders>
            <w:noWrap/>
            <w:vAlign w:val="center"/>
            <w:hideMark/>
          </w:tcPr>
          <w:p w14:paraId="25AEC7E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1169</w:t>
            </w:r>
          </w:p>
        </w:tc>
        <w:tc>
          <w:tcPr>
            <w:tcW w:w="940" w:type="dxa"/>
            <w:tcBorders>
              <w:top w:val="nil"/>
              <w:left w:val="nil"/>
              <w:bottom w:val="single" w:sz="4" w:space="0" w:color="auto"/>
              <w:right w:val="single" w:sz="4" w:space="0" w:color="auto"/>
            </w:tcBorders>
            <w:noWrap/>
            <w:vAlign w:val="center"/>
            <w:hideMark/>
          </w:tcPr>
          <w:p w14:paraId="3D36E68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83%</w:t>
            </w:r>
          </w:p>
        </w:tc>
      </w:tr>
      <w:tr w:rsidR="00162229" w:rsidRPr="00AD01C5" w14:paraId="0C2C466E"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27C20489"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SE_016</w:t>
            </w:r>
          </w:p>
        </w:tc>
        <w:tc>
          <w:tcPr>
            <w:tcW w:w="2260" w:type="dxa"/>
            <w:tcBorders>
              <w:top w:val="nil"/>
              <w:left w:val="nil"/>
              <w:bottom w:val="single" w:sz="4" w:space="0" w:color="auto"/>
              <w:right w:val="single" w:sz="4" w:space="0" w:color="auto"/>
            </w:tcBorders>
            <w:shd w:val="clear" w:color="000000" w:fill="FFFFFF"/>
            <w:noWrap/>
            <w:vAlign w:val="bottom"/>
            <w:hideMark/>
          </w:tcPr>
          <w:p w14:paraId="5934D59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Ovada (AL)</w:t>
            </w:r>
          </w:p>
        </w:tc>
        <w:tc>
          <w:tcPr>
            <w:tcW w:w="1300" w:type="dxa"/>
            <w:tcBorders>
              <w:top w:val="nil"/>
              <w:left w:val="nil"/>
              <w:bottom w:val="single" w:sz="4" w:space="0" w:color="auto"/>
              <w:right w:val="single" w:sz="4" w:space="0" w:color="auto"/>
            </w:tcBorders>
            <w:noWrap/>
            <w:vAlign w:val="center"/>
            <w:hideMark/>
          </w:tcPr>
          <w:p w14:paraId="5AF39358"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30</w:t>
            </w:r>
          </w:p>
        </w:tc>
        <w:tc>
          <w:tcPr>
            <w:tcW w:w="1140" w:type="dxa"/>
            <w:tcBorders>
              <w:top w:val="nil"/>
              <w:left w:val="nil"/>
              <w:bottom w:val="single" w:sz="4" w:space="0" w:color="auto"/>
              <w:right w:val="single" w:sz="4" w:space="0" w:color="auto"/>
            </w:tcBorders>
            <w:noWrap/>
            <w:vAlign w:val="center"/>
            <w:hideMark/>
          </w:tcPr>
          <w:p w14:paraId="4D68705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4630</w:t>
            </w:r>
          </w:p>
        </w:tc>
        <w:tc>
          <w:tcPr>
            <w:tcW w:w="1000" w:type="dxa"/>
            <w:tcBorders>
              <w:top w:val="nil"/>
              <w:left w:val="nil"/>
              <w:bottom w:val="single" w:sz="4" w:space="0" w:color="auto"/>
              <w:right w:val="single" w:sz="4" w:space="0" w:color="auto"/>
            </w:tcBorders>
            <w:noWrap/>
            <w:vAlign w:val="center"/>
            <w:hideMark/>
          </w:tcPr>
          <w:p w14:paraId="3AAB47A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1156</w:t>
            </w:r>
          </w:p>
        </w:tc>
        <w:tc>
          <w:tcPr>
            <w:tcW w:w="940" w:type="dxa"/>
            <w:tcBorders>
              <w:top w:val="nil"/>
              <w:left w:val="nil"/>
              <w:bottom w:val="single" w:sz="4" w:space="0" w:color="auto"/>
              <w:right w:val="single" w:sz="4" w:space="0" w:color="auto"/>
            </w:tcBorders>
            <w:noWrap/>
            <w:vAlign w:val="center"/>
            <w:hideMark/>
          </w:tcPr>
          <w:p w14:paraId="57E8770E"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80%</w:t>
            </w:r>
          </w:p>
        </w:tc>
      </w:tr>
      <w:tr w:rsidR="00162229" w:rsidRPr="00AD01C5" w14:paraId="4841F6B4" w14:textId="77777777" w:rsidTr="002A21C0">
        <w:trPr>
          <w:trHeight w:val="300"/>
          <w:jc w:val="center"/>
        </w:trPr>
        <w:tc>
          <w:tcPr>
            <w:tcW w:w="1300" w:type="dxa"/>
            <w:tcBorders>
              <w:top w:val="nil"/>
              <w:left w:val="single" w:sz="4" w:space="0" w:color="auto"/>
              <w:bottom w:val="single" w:sz="4" w:space="0" w:color="auto"/>
              <w:right w:val="single" w:sz="4" w:space="0" w:color="auto"/>
            </w:tcBorders>
            <w:shd w:val="clear" w:color="000000" w:fill="CFE4AF"/>
            <w:vAlign w:val="center"/>
            <w:hideMark/>
          </w:tcPr>
          <w:p w14:paraId="1996A47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SE_019</w:t>
            </w:r>
          </w:p>
        </w:tc>
        <w:tc>
          <w:tcPr>
            <w:tcW w:w="2260" w:type="dxa"/>
            <w:tcBorders>
              <w:top w:val="nil"/>
              <w:left w:val="nil"/>
              <w:bottom w:val="single" w:sz="4" w:space="0" w:color="auto"/>
              <w:right w:val="single" w:sz="4" w:space="0" w:color="auto"/>
            </w:tcBorders>
            <w:shd w:val="clear" w:color="000000" w:fill="FFFFFF"/>
            <w:noWrap/>
            <w:vAlign w:val="bottom"/>
            <w:hideMark/>
          </w:tcPr>
          <w:p w14:paraId="4330D73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Novi Ligure (AL)</w:t>
            </w:r>
          </w:p>
        </w:tc>
        <w:tc>
          <w:tcPr>
            <w:tcW w:w="1300" w:type="dxa"/>
            <w:tcBorders>
              <w:top w:val="nil"/>
              <w:left w:val="nil"/>
              <w:bottom w:val="single" w:sz="4" w:space="0" w:color="auto"/>
              <w:right w:val="single" w:sz="4" w:space="0" w:color="auto"/>
            </w:tcBorders>
            <w:noWrap/>
            <w:vAlign w:val="center"/>
            <w:hideMark/>
          </w:tcPr>
          <w:p w14:paraId="43BCBB8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32</w:t>
            </w:r>
          </w:p>
        </w:tc>
        <w:tc>
          <w:tcPr>
            <w:tcW w:w="1140" w:type="dxa"/>
            <w:tcBorders>
              <w:top w:val="nil"/>
              <w:left w:val="nil"/>
              <w:bottom w:val="single" w:sz="4" w:space="0" w:color="auto"/>
              <w:right w:val="single" w:sz="4" w:space="0" w:color="auto"/>
            </w:tcBorders>
            <w:noWrap/>
            <w:vAlign w:val="center"/>
            <w:hideMark/>
          </w:tcPr>
          <w:p w14:paraId="3A7341D9"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5791</w:t>
            </w:r>
          </w:p>
        </w:tc>
        <w:tc>
          <w:tcPr>
            <w:tcW w:w="1000" w:type="dxa"/>
            <w:tcBorders>
              <w:top w:val="nil"/>
              <w:left w:val="nil"/>
              <w:bottom w:val="single" w:sz="4" w:space="0" w:color="auto"/>
              <w:right w:val="single" w:sz="4" w:space="0" w:color="auto"/>
            </w:tcBorders>
            <w:noWrap/>
            <w:vAlign w:val="center"/>
            <w:hideMark/>
          </w:tcPr>
          <w:p w14:paraId="72B1FBD1"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1750</w:t>
            </w:r>
          </w:p>
        </w:tc>
        <w:tc>
          <w:tcPr>
            <w:tcW w:w="940" w:type="dxa"/>
            <w:tcBorders>
              <w:top w:val="nil"/>
              <w:left w:val="nil"/>
              <w:bottom w:val="single" w:sz="4" w:space="0" w:color="auto"/>
              <w:right w:val="single" w:sz="4" w:space="0" w:color="auto"/>
            </w:tcBorders>
            <w:noWrap/>
            <w:vAlign w:val="center"/>
            <w:hideMark/>
          </w:tcPr>
          <w:p w14:paraId="311686E6"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77%</w:t>
            </w:r>
          </w:p>
        </w:tc>
      </w:tr>
      <w:tr w:rsidR="00162229" w:rsidRPr="00AD01C5" w14:paraId="018FF09D" w14:textId="77777777" w:rsidTr="002A21C0">
        <w:trPr>
          <w:trHeight w:val="300"/>
          <w:jc w:val="center"/>
        </w:trPr>
        <w:tc>
          <w:tcPr>
            <w:tcW w:w="1300" w:type="dxa"/>
            <w:tcBorders>
              <w:top w:val="double" w:sz="6" w:space="0" w:color="auto"/>
              <w:left w:val="single" w:sz="4" w:space="0" w:color="auto"/>
              <w:bottom w:val="single" w:sz="4" w:space="0" w:color="auto"/>
              <w:right w:val="single" w:sz="4" w:space="0" w:color="auto"/>
            </w:tcBorders>
            <w:shd w:val="clear" w:color="000000" w:fill="CFE4AF"/>
            <w:vAlign w:val="center"/>
            <w:hideMark/>
          </w:tcPr>
          <w:p w14:paraId="25A2265E"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Totale</w:t>
            </w:r>
          </w:p>
        </w:tc>
        <w:tc>
          <w:tcPr>
            <w:tcW w:w="2260" w:type="dxa"/>
            <w:tcBorders>
              <w:top w:val="double" w:sz="6" w:space="0" w:color="auto"/>
              <w:left w:val="nil"/>
              <w:bottom w:val="single" w:sz="4" w:space="0" w:color="auto"/>
              <w:right w:val="single" w:sz="4" w:space="0" w:color="auto"/>
            </w:tcBorders>
            <w:noWrap/>
            <w:vAlign w:val="bottom"/>
            <w:hideMark/>
          </w:tcPr>
          <w:p w14:paraId="58A6A8DB"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300" w:type="dxa"/>
            <w:tcBorders>
              <w:top w:val="double" w:sz="6" w:space="0" w:color="auto"/>
              <w:left w:val="nil"/>
              <w:bottom w:val="single" w:sz="4" w:space="0" w:color="auto"/>
              <w:right w:val="single" w:sz="4" w:space="0" w:color="auto"/>
            </w:tcBorders>
            <w:noWrap/>
            <w:vAlign w:val="bottom"/>
            <w:hideMark/>
          </w:tcPr>
          <w:p w14:paraId="0CA8C90E"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265</w:t>
            </w:r>
          </w:p>
        </w:tc>
        <w:tc>
          <w:tcPr>
            <w:tcW w:w="1140" w:type="dxa"/>
            <w:tcBorders>
              <w:top w:val="double" w:sz="6" w:space="0" w:color="auto"/>
              <w:left w:val="nil"/>
              <w:bottom w:val="single" w:sz="4" w:space="0" w:color="auto"/>
              <w:right w:val="single" w:sz="4" w:space="0" w:color="auto"/>
            </w:tcBorders>
            <w:noWrap/>
            <w:vAlign w:val="bottom"/>
            <w:hideMark/>
          </w:tcPr>
          <w:p w14:paraId="4235DC5A"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48.156</w:t>
            </w:r>
          </w:p>
        </w:tc>
        <w:tc>
          <w:tcPr>
            <w:tcW w:w="1000" w:type="dxa"/>
            <w:tcBorders>
              <w:top w:val="double" w:sz="6" w:space="0" w:color="auto"/>
              <w:left w:val="nil"/>
              <w:bottom w:val="single" w:sz="4" w:space="0" w:color="auto"/>
              <w:right w:val="single" w:sz="4" w:space="0" w:color="auto"/>
            </w:tcBorders>
            <w:noWrap/>
            <w:vAlign w:val="bottom"/>
            <w:hideMark/>
          </w:tcPr>
          <w:p w14:paraId="2753405D" w14:textId="77777777" w:rsidR="00162229" w:rsidRPr="00AD01C5" w:rsidRDefault="00162229" w:rsidP="002A21C0">
            <w:pPr>
              <w:spacing w:after="0" w:line="240" w:lineRule="auto"/>
              <w:jc w:val="center"/>
              <w:rPr>
                <w:rFonts w:ascii="Calibri" w:eastAsia="Times New Roman" w:hAnsi="Calibri" w:cs="Calibri"/>
                <w:b/>
                <w:bCs/>
                <w:i/>
                <w:iCs/>
                <w:color w:val="000000"/>
              </w:rPr>
            </w:pPr>
            <w:r w:rsidRPr="00AD01C5">
              <w:rPr>
                <w:rFonts w:ascii="Calibri" w:eastAsia="Times New Roman" w:hAnsi="Calibri" w:cs="Calibri"/>
                <w:b/>
                <w:bCs/>
                <w:i/>
                <w:iCs/>
                <w:color w:val="000000"/>
              </w:rPr>
              <w:t>8.784</w:t>
            </w:r>
          </w:p>
        </w:tc>
        <w:tc>
          <w:tcPr>
            <w:tcW w:w="940" w:type="dxa"/>
            <w:tcBorders>
              <w:top w:val="double" w:sz="6" w:space="0" w:color="auto"/>
              <w:left w:val="nil"/>
              <w:bottom w:val="single" w:sz="4" w:space="0" w:color="auto"/>
              <w:right w:val="single" w:sz="4" w:space="0" w:color="auto"/>
            </w:tcBorders>
            <w:noWrap/>
            <w:vAlign w:val="bottom"/>
            <w:hideMark/>
          </w:tcPr>
          <w:p w14:paraId="3FD8F731"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r>
    </w:tbl>
    <w:p w14:paraId="0A0E7A66" w14:textId="21665C8A" w:rsidR="00162229" w:rsidRPr="00AD01C5" w:rsidRDefault="00162229" w:rsidP="00162229">
      <w:pPr>
        <w:spacing w:after="200" w:line="240" w:lineRule="auto"/>
        <w:jc w:val="center"/>
        <w:rPr>
          <w:rFonts w:ascii="Calibri" w:eastAsia="Calibri" w:hAnsi="Calibri" w:cs="Arial"/>
          <w:iCs/>
          <w:color w:val="003366"/>
          <w:sz w:val="18"/>
          <w:szCs w:val="18"/>
        </w:rPr>
      </w:pPr>
      <w:bookmarkStart w:id="372" w:name="_Ref204158298"/>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47</w:t>
      </w:r>
      <w:r w:rsidRPr="00AD01C5">
        <w:rPr>
          <w:rFonts w:ascii="Calibri" w:eastAsia="Calibri" w:hAnsi="Calibri" w:cs="Arial"/>
          <w:i/>
          <w:iCs/>
          <w:color w:val="003366"/>
          <w:sz w:val="18"/>
          <w:szCs w:val="18"/>
        </w:rPr>
        <w:fldChar w:fldCharType="end"/>
      </w:r>
      <w:bookmarkEnd w:id="371"/>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Scenario 3</w:t>
      </w:r>
      <w:bookmarkEnd w:id="372"/>
    </w:p>
    <w:p w14:paraId="687A59D8" w14:textId="0A3CE92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La </w:t>
      </w:r>
      <w:r w:rsidRPr="00AD01C5">
        <w:rPr>
          <w:rFonts w:ascii="Calibri" w:eastAsia="Calibri" w:hAnsi="Calibri" w:cs="Arial"/>
        </w:rPr>
        <w:fldChar w:fldCharType="begin"/>
      </w:r>
      <w:r w:rsidRPr="00AD01C5">
        <w:rPr>
          <w:rFonts w:ascii="Calibri" w:eastAsia="Calibri" w:hAnsi="Calibri" w:cs="Arial"/>
        </w:rPr>
        <w:instrText xml:space="preserve"> REF _Ref192175906 \h  \* MERGEFORMAT </w:instrText>
      </w:r>
      <w:r w:rsidRPr="00AD01C5">
        <w:rPr>
          <w:rFonts w:ascii="Calibri" w:eastAsia="Calibri" w:hAnsi="Calibri" w:cs="Arial"/>
        </w:rPr>
      </w:r>
      <w:r w:rsidRPr="00AD01C5">
        <w:rPr>
          <w:rFonts w:ascii="Calibri" w:eastAsia="Calibri" w:hAnsi="Calibri" w:cs="Arial"/>
        </w:rPr>
        <w:fldChar w:fldCharType="separate"/>
      </w:r>
      <w:r w:rsidR="00670903" w:rsidRPr="00670903">
        <w:rPr>
          <w:rFonts w:ascii="Calibri" w:eastAsia="Calibri" w:hAnsi="Calibri" w:cs="Arial"/>
        </w:rPr>
        <w:t>Figura 27</w:t>
      </w:r>
      <w:r w:rsidRPr="00AD01C5">
        <w:rPr>
          <w:rFonts w:ascii="Calibri" w:eastAsia="Calibri" w:hAnsi="Calibri" w:cs="Arial"/>
        </w:rPr>
        <w:fldChar w:fldCharType="end"/>
      </w:r>
      <w:r w:rsidRPr="00AD01C5">
        <w:rPr>
          <w:rFonts w:ascii="Calibri" w:eastAsia="Calibri" w:hAnsi="Calibri" w:cs="Arial"/>
        </w:rPr>
        <w:t xml:space="preserve"> evidenzia l’assegnazione delle linee di servizio del Bacino </w:t>
      </w:r>
      <w:r>
        <w:rPr>
          <w:rFonts w:ascii="Calibri" w:eastAsia="Calibri" w:hAnsi="Calibri" w:cs="Arial"/>
        </w:rPr>
        <w:t>Sud Est</w:t>
      </w:r>
      <w:r w:rsidRPr="00AD01C5">
        <w:rPr>
          <w:rFonts w:ascii="Calibri" w:eastAsia="Calibri" w:hAnsi="Calibri" w:cs="Arial"/>
        </w:rPr>
        <w:t xml:space="preserve"> a ciascuna localizzazione (deposito) selezionata. Nell’allegato 6 si riporta l’elenco completo delle linee e la loro assegnazione al deposito di riferimento.</w:t>
      </w:r>
    </w:p>
    <w:p w14:paraId="38D5A10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noProof/>
        </w:rPr>
        <w:drawing>
          <wp:inline distT="0" distB="0" distL="0" distR="0" wp14:anchorId="5190BEAD" wp14:editId="38EFE20B">
            <wp:extent cx="5759450" cy="4076065"/>
            <wp:effectExtent l="0" t="0" r="0" b="635"/>
            <wp:docPr id="1178363376" name="Immagine 1"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63376" name="Immagine 1" descr="Immagine che contiene testo, mappa, diagramma, atlante&#10;&#10;Descrizione generata automaticament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59450" cy="4076065"/>
                    </a:xfrm>
                    <a:prstGeom prst="rect">
                      <a:avLst/>
                    </a:prstGeom>
                    <a:noFill/>
                    <a:ln>
                      <a:noFill/>
                    </a:ln>
                  </pic:spPr>
                </pic:pic>
              </a:graphicData>
            </a:graphic>
          </wp:inline>
        </w:drawing>
      </w:r>
    </w:p>
    <w:p w14:paraId="76904F54" w14:textId="5E7C0201" w:rsidR="00162229" w:rsidRPr="00AD01C5" w:rsidRDefault="00162229" w:rsidP="00162229">
      <w:pPr>
        <w:spacing w:after="0" w:line="240" w:lineRule="auto"/>
        <w:jc w:val="center"/>
        <w:rPr>
          <w:rFonts w:ascii="Calibri" w:eastAsia="Calibri" w:hAnsi="Calibri" w:cs="Times New Roman"/>
          <w:i/>
          <w:iCs/>
          <w:color w:val="003366"/>
          <w:sz w:val="18"/>
        </w:rPr>
      </w:pPr>
      <w:bookmarkStart w:id="373" w:name="_Ref192175906"/>
      <w:bookmarkStart w:id="374" w:name="_Ref192175897"/>
      <w:r w:rsidRPr="00AD01C5">
        <w:rPr>
          <w:rFonts w:ascii="Calibri" w:eastAsia="Calibri" w:hAnsi="Calibri" w:cs="Arial"/>
          <w:i/>
          <w:iCs/>
          <w:color w:val="003366"/>
          <w:sz w:val="18"/>
          <w:szCs w:val="18"/>
        </w:rPr>
        <w:t xml:space="preserve">Figura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Figura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27</w:t>
      </w:r>
      <w:r w:rsidRPr="00AD01C5">
        <w:rPr>
          <w:rFonts w:ascii="Calibri" w:eastAsia="Calibri" w:hAnsi="Calibri" w:cs="Arial"/>
          <w:i/>
          <w:iCs/>
          <w:color w:val="003366"/>
          <w:sz w:val="18"/>
          <w:szCs w:val="18"/>
        </w:rPr>
        <w:fldChar w:fldCharType="end"/>
      </w:r>
      <w:bookmarkEnd w:id="373"/>
      <w:r w:rsidRPr="00AD01C5">
        <w:rPr>
          <w:rFonts w:ascii="Calibri" w:eastAsia="Calibri" w:hAnsi="Calibri" w:cs="Arial"/>
          <w:i/>
          <w:iCs/>
          <w:color w:val="003366"/>
          <w:sz w:val="18"/>
          <w:szCs w:val="18"/>
        </w:rPr>
        <w:t xml:space="preserve"> – Divisione linee per depositi</w:t>
      </w:r>
      <w:bookmarkEnd w:id="374"/>
    </w:p>
    <w:p w14:paraId="19404107" w14:textId="77777777" w:rsidR="00162229" w:rsidRPr="00AD01C5" w:rsidRDefault="00162229" w:rsidP="00162229">
      <w:pPr>
        <w:spacing w:before="120" w:after="0" w:line="240" w:lineRule="auto"/>
        <w:rPr>
          <w:rFonts w:ascii="Calibri" w:eastAsia="Calibri" w:hAnsi="Calibri" w:cs="Calibri"/>
        </w:rPr>
      </w:pPr>
      <w:r w:rsidRPr="00AD01C5">
        <w:rPr>
          <w:rFonts w:ascii="Calibri" w:eastAsia="Calibri" w:hAnsi="Calibri" w:cs="Calibri"/>
        </w:rPr>
        <w:t>Di seguito si riporta una panoramica complessiva dei fattori della produzione definiti attraverso il processo di assegnazione per ciascun scenario sviluppato.</w:t>
      </w:r>
    </w:p>
    <w:p w14:paraId="510B7897" w14:textId="77777777" w:rsidR="00162229" w:rsidRDefault="00162229" w:rsidP="00162229">
      <w:pPr>
        <w:spacing w:before="120" w:after="0" w:line="240" w:lineRule="auto"/>
        <w:rPr>
          <w:rFonts w:ascii="Calibri" w:eastAsia="Calibri" w:hAnsi="Calibri" w:cs="Calibri"/>
        </w:rPr>
      </w:pPr>
    </w:p>
    <w:p w14:paraId="401E2AE6" w14:textId="77777777" w:rsidR="00162229" w:rsidRDefault="00162229" w:rsidP="00162229">
      <w:pPr>
        <w:spacing w:before="120" w:after="0" w:line="240" w:lineRule="auto"/>
        <w:rPr>
          <w:rFonts w:ascii="Calibri" w:eastAsia="Calibri" w:hAnsi="Calibri" w:cs="Calibri"/>
        </w:rPr>
      </w:pPr>
    </w:p>
    <w:tbl>
      <w:tblPr>
        <w:tblW w:w="9067" w:type="dxa"/>
        <w:tblCellMar>
          <w:left w:w="70" w:type="dxa"/>
          <w:right w:w="70" w:type="dxa"/>
        </w:tblCellMar>
        <w:tblLook w:val="04A0" w:firstRow="1" w:lastRow="0" w:firstColumn="1" w:lastColumn="0" w:noHBand="0" w:noVBand="1"/>
      </w:tblPr>
      <w:tblGrid>
        <w:gridCol w:w="1380"/>
        <w:gridCol w:w="1360"/>
        <w:gridCol w:w="1200"/>
        <w:gridCol w:w="1060"/>
        <w:gridCol w:w="4067"/>
      </w:tblGrid>
      <w:tr w:rsidR="00162229" w:rsidRPr="00AD01C5" w14:paraId="25E53748" w14:textId="77777777" w:rsidTr="002A21C0">
        <w:trPr>
          <w:trHeight w:val="900"/>
        </w:trPr>
        <w:tc>
          <w:tcPr>
            <w:tcW w:w="1380" w:type="dxa"/>
            <w:tcBorders>
              <w:top w:val="single" w:sz="4" w:space="0" w:color="auto"/>
              <w:left w:val="single" w:sz="4" w:space="0" w:color="auto"/>
              <w:bottom w:val="single" w:sz="4" w:space="0" w:color="auto"/>
              <w:right w:val="single" w:sz="4" w:space="0" w:color="auto"/>
            </w:tcBorders>
            <w:shd w:val="clear" w:color="000000" w:fill="8DB15F"/>
            <w:vAlign w:val="center"/>
            <w:hideMark/>
          </w:tcPr>
          <w:p w14:paraId="60607E9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lastRenderedPageBreak/>
              <w:t>Scenario</w:t>
            </w:r>
          </w:p>
        </w:tc>
        <w:tc>
          <w:tcPr>
            <w:tcW w:w="1360" w:type="dxa"/>
            <w:tcBorders>
              <w:top w:val="single" w:sz="4" w:space="0" w:color="auto"/>
              <w:left w:val="nil"/>
              <w:bottom w:val="single" w:sz="4" w:space="0" w:color="auto"/>
              <w:right w:val="single" w:sz="4" w:space="0" w:color="auto"/>
            </w:tcBorders>
            <w:shd w:val="clear" w:color="000000" w:fill="8DB15F"/>
            <w:vAlign w:val="center"/>
            <w:hideMark/>
          </w:tcPr>
          <w:p w14:paraId="70E43F50"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Depositi Attivi</w:t>
            </w:r>
          </w:p>
        </w:tc>
        <w:tc>
          <w:tcPr>
            <w:tcW w:w="1200" w:type="dxa"/>
            <w:tcBorders>
              <w:top w:val="single" w:sz="4" w:space="0" w:color="auto"/>
              <w:left w:val="nil"/>
              <w:bottom w:val="single" w:sz="4" w:space="0" w:color="auto"/>
              <w:right w:val="single" w:sz="4" w:space="0" w:color="auto"/>
            </w:tcBorders>
            <w:shd w:val="clear" w:color="000000" w:fill="8DB15F"/>
            <w:vAlign w:val="center"/>
            <w:hideMark/>
          </w:tcPr>
          <w:p w14:paraId="7F5DDA91"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Numero Veicoli</w:t>
            </w:r>
          </w:p>
        </w:tc>
        <w:tc>
          <w:tcPr>
            <w:tcW w:w="1060" w:type="dxa"/>
            <w:tcBorders>
              <w:top w:val="single" w:sz="4" w:space="0" w:color="auto"/>
              <w:left w:val="nil"/>
              <w:bottom w:val="single" w:sz="4" w:space="0" w:color="auto"/>
              <w:right w:val="single" w:sz="4" w:space="0" w:color="auto"/>
            </w:tcBorders>
            <w:shd w:val="clear" w:color="000000" w:fill="8DB15F"/>
            <w:vAlign w:val="center"/>
            <w:hideMark/>
          </w:tcPr>
          <w:p w14:paraId="4E96EC47"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KM Vuoto</w:t>
            </w:r>
          </w:p>
        </w:tc>
        <w:tc>
          <w:tcPr>
            <w:tcW w:w="4067" w:type="dxa"/>
            <w:tcBorders>
              <w:top w:val="single" w:sz="4" w:space="0" w:color="auto"/>
              <w:left w:val="nil"/>
              <w:bottom w:val="single" w:sz="4" w:space="0" w:color="auto"/>
              <w:right w:val="single" w:sz="4" w:space="0" w:color="auto"/>
            </w:tcBorders>
            <w:shd w:val="clear" w:color="000000" w:fill="8DB15F"/>
            <w:vAlign w:val="center"/>
            <w:hideMark/>
          </w:tcPr>
          <w:p w14:paraId="0EF34686" w14:textId="77777777" w:rsidR="00162229" w:rsidRPr="00AD01C5" w:rsidRDefault="00162229" w:rsidP="002A21C0">
            <w:pPr>
              <w:spacing w:after="0" w:line="240" w:lineRule="auto"/>
              <w:jc w:val="center"/>
              <w:rPr>
                <w:rFonts w:ascii="Calibri" w:eastAsia="Times New Roman" w:hAnsi="Calibri" w:cs="Calibri"/>
                <w:b/>
                <w:bCs/>
                <w:color w:val="000000"/>
              </w:rPr>
            </w:pPr>
            <w:r w:rsidRPr="00AD01C5">
              <w:rPr>
                <w:rFonts w:ascii="Calibri" w:eastAsia="Times New Roman" w:hAnsi="Calibri" w:cs="Calibri"/>
                <w:b/>
                <w:bCs/>
                <w:color w:val="000000"/>
              </w:rPr>
              <w:t>Commenti</w:t>
            </w:r>
          </w:p>
        </w:tc>
      </w:tr>
      <w:tr w:rsidR="00162229" w:rsidRPr="00AD01C5" w14:paraId="427B7E5C" w14:textId="77777777" w:rsidTr="002A21C0">
        <w:trPr>
          <w:trHeight w:val="522"/>
        </w:trPr>
        <w:tc>
          <w:tcPr>
            <w:tcW w:w="1380" w:type="dxa"/>
            <w:tcBorders>
              <w:top w:val="nil"/>
              <w:left w:val="single" w:sz="4" w:space="0" w:color="auto"/>
              <w:bottom w:val="single" w:sz="4" w:space="0" w:color="auto"/>
              <w:right w:val="single" w:sz="4" w:space="0" w:color="auto"/>
            </w:tcBorders>
            <w:shd w:val="clear" w:color="000000" w:fill="CFE4AF"/>
            <w:vAlign w:val="center"/>
            <w:hideMark/>
          </w:tcPr>
          <w:p w14:paraId="65868C43"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Base</w:t>
            </w:r>
          </w:p>
        </w:tc>
        <w:tc>
          <w:tcPr>
            <w:tcW w:w="1360" w:type="dxa"/>
            <w:tcBorders>
              <w:top w:val="nil"/>
              <w:left w:val="nil"/>
              <w:bottom w:val="single" w:sz="4" w:space="0" w:color="auto"/>
              <w:right w:val="single" w:sz="4" w:space="0" w:color="auto"/>
            </w:tcBorders>
            <w:vAlign w:val="center"/>
            <w:hideMark/>
          </w:tcPr>
          <w:p w14:paraId="75BFCEA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22</w:t>
            </w:r>
          </w:p>
        </w:tc>
        <w:tc>
          <w:tcPr>
            <w:tcW w:w="1200" w:type="dxa"/>
            <w:tcBorders>
              <w:top w:val="nil"/>
              <w:left w:val="nil"/>
              <w:bottom w:val="single" w:sz="4" w:space="0" w:color="auto"/>
              <w:right w:val="single" w:sz="4" w:space="0" w:color="auto"/>
            </w:tcBorders>
            <w:vAlign w:val="center"/>
            <w:hideMark/>
          </w:tcPr>
          <w:p w14:paraId="5A673D6C"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252</w:t>
            </w:r>
          </w:p>
        </w:tc>
        <w:tc>
          <w:tcPr>
            <w:tcW w:w="1060" w:type="dxa"/>
            <w:tcBorders>
              <w:top w:val="nil"/>
              <w:left w:val="nil"/>
              <w:bottom w:val="single" w:sz="4" w:space="0" w:color="auto"/>
              <w:right w:val="single" w:sz="4" w:space="0" w:color="auto"/>
            </w:tcBorders>
            <w:vAlign w:val="center"/>
            <w:hideMark/>
          </w:tcPr>
          <w:p w14:paraId="45AC3BF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4731</w:t>
            </w:r>
          </w:p>
        </w:tc>
        <w:tc>
          <w:tcPr>
            <w:tcW w:w="4067" w:type="dxa"/>
            <w:tcBorders>
              <w:top w:val="nil"/>
              <w:left w:val="nil"/>
              <w:bottom w:val="single" w:sz="4" w:space="0" w:color="auto"/>
              <w:right w:val="single" w:sz="4" w:space="0" w:color="auto"/>
            </w:tcBorders>
            <w:vAlign w:val="center"/>
            <w:hideMark/>
          </w:tcPr>
          <w:p w14:paraId="7B854380" w14:textId="77777777" w:rsidR="00162229" w:rsidRPr="00AD01C5" w:rsidRDefault="00162229" w:rsidP="002A21C0">
            <w:pPr>
              <w:spacing w:after="0" w:line="240" w:lineRule="auto"/>
              <w:jc w:val="left"/>
              <w:rPr>
                <w:rFonts w:ascii="Calibri" w:eastAsia="Times New Roman" w:hAnsi="Calibri" w:cs="Calibri"/>
              </w:rPr>
            </w:pPr>
            <w:r w:rsidRPr="00AD01C5">
              <w:rPr>
                <w:rFonts w:ascii="Calibri" w:eastAsia="Times New Roman" w:hAnsi="Calibri" w:cs="Calibri"/>
              </w:rPr>
              <w:t>Linee assegnate a più depositi - nessun lotto definito</w:t>
            </w:r>
          </w:p>
        </w:tc>
      </w:tr>
      <w:tr w:rsidR="00162229" w:rsidRPr="00AD01C5" w14:paraId="1783CA56" w14:textId="77777777" w:rsidTr="002A21C0">
        <w:trPr>
          <w:trHeight w:val="522"/>
        </w:trPr>
        <w:tc>
          <w:tcPr>
            <w:tcW w:w="1380" w:type="dxa"/>
            <w:tcBorders>
              <w:top w:val="nil"/>
              <w:left w:val="single" w:sz="4" w:space="0" w:color="auto"/>
              <w:bottom w:val="single" w:sz="4" w:space="0" w:color="auto"/>
              <w:right w:val="single" w:sz="4" w:space="0" w:color="auto"/>
            </w:tcBorders>
            <w:shd w:val="clear" w:color="000000" w:fill="CFE4AF"/>
            <w:vAlign w:val="center"/>
            <w:hideMark/>
          </w:tcPr>
          <w:p w14:paraId="16AB68D0"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Scenario 1</w:t>
            </w:r>
          </w:p>
        </w:tc>
        <w:tc>
          <w:tcPr>
            <w:tcW w:w="1360" w:type="dxa"/>
            <w:tcBorders>
              <w:top w:val="nil"/>
              <w:left w:val="nil"/>
              <w:bottom w:val="single" w:sz="4" w:space="0" w:color="auto"/>
              <w:right w:val="single" w:sz="4" w:space="0" w:color="auto"/>
            </w:tcBorders>
            <w:vAlign w:val="center"/>
            <w:hideMark/>
          </w:tcPr>
          <w:p w14:paraId="48E0C1C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9</w:t>
            </w:r>
          </w:p>
        </w:tc>
        <w:tc>
          <w:tcPr>
            <w:tcW w:w="1200" w:type="dxa"/>
            <w:tcBorders>
              <w:top w:val="nil"/>
              <w:left w:val="nil"/>
              <w:bottom w:val="single" w:sz="4" w:space="0" w:color="auto"/>
              <w:right w:val="single" w:sz="4" w:space="0" w:color="auto"/>
            </w:tcBorders>
            <w:vAlign w:val="center"/>
            <w:hideMark/>
          </w:tcPr>
          <w:p w14:paraId="71772E2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254</w:t>
            </w:r>
          </w:p>
        </w:tc>
        <w:tc>
          <w:tcPr>
            <w:tcW w:w="1060" w:type="dxa"/>
            <w:tcBorders>
              <w:top w:val="nil"/>
              <w:left w:val="nil"/>
              <w:bottom w:val="single" w:sz="4" w:space="0" w:color="auto"/>
              <w:right w:val="single" w:sz="4" w:space="0" w:color="auto"/>
            </w:tcBorders>
            <w:vAlign w:val="center"/>
            <w:hideMark/>
          </w:tcPr>
          <w:p w14:paraId="0431C0B2"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6356</w:t>
            </w:r>
          </w:p>
        </w:tc>
        <w:tc>
          <w:tcPr>
            <w:tcW w:w="4067" w:type="dxa"/>
            <w:tcBorders>
              <w:top w:val="nil"/>
              <w:left w:val="nil"/>
              <w:bottom w:val="single" w:sz="4" w:space="0" w:color="auto"/>
              <w:right w:val="single" w:sz="4" w:space="0" w:color="auto"/>
            </w:tcBorders>
            <w:vAlign w:val="center"/>
            <w:hideMark/>
          </w:tcPr>
          <w:p w14:paraId="03BA2756" w14:textId="77777777" w:rsidR="00162229" w:rsidRPr="00AD01C5" w:rsidRDefault="00162229" w:rsidP="002A21C0">
            <w:pPr>
              <w:spacing w:after="0" w:line="240" w:lineRule="auto"/>
              <w:jc w:val="left"/>
              <w:rPr>
                <w:rFonts w:ascii="Calibri" w:eastAsia="Times New Roman" w:hAnsi="Calibri" w:cs="Calibri"/>
              </w:rPr>
            </w:pPr>
            <w:r w:rsidRPr="00AD01C5">
              <w:rPr>
                <w:rFonts w:ascii="Calibri" w:eastAsia="Times New Roman" w:hAnsi="Calibri" w:cs="Calibri"/>
              </w:rPr>
              <w:t>Linee assegnate a più depositi - nessun lotto definito</w:t>
            </w:r>
          </w:p>
        </w:tc>
      </w:tr>
      <w:tr w:rsidR="00162229" w:rsidRPr="00AD01C5" w14:paraId="1400D07B" w14:textId="77777777" w:rsidTr="002A21C0">
        <w:trPr>
          <w:trHeight w:val="522"/>
        </w:trPr>
        <w:tc>
          <w:tcPr>
            <w:tcW w:w="1380" w:type="dxa"/>
            <w:tcBorders>
              <w:top w:val="nil"/>
              <w:left w:val="single" w:sz="4" w:space="0" w:color="auto"/>
              <w:bottom w:val="single" w:sz="4" w:space="0" w:color="auto"/>
              <w:right w:val="single" w:sz="4" w:space="0" w:color="auto"/>
            </w:tcBorders>
            <w:shd w:val="clear" w:color="000000" w:fill="CFE4AF"/>
            <w:vAlign w:val="center"/>
            <w:hideMark/>
          </w:tcPr>
          <w:p w14:paraId="35F612A5"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Scenario 2.1</w:t>
            </w:r>
          </w:p>
        </w:tc>
        <w:tc>
          <w:tcPr>
            <w:tcW w:w="1360" w:type="dxa"/>
            <w:tcBorders>
              <w:top w:val="nil"/>
              <w:left w:val="nil"/>
              <w:bottom w:val="single" w:sz="4" w:space="0" w:color="auto"/>
              <w:right w:val="single" w:sz="4" w:space="0" w:color="auto"/>
            </w:tcBorders>
            <w:vAlign w:val="center"/>
            <w:hideMark/>
          </w:tcPr>
          <w:p w14:paraId="3C360FC5"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w:t>
            </w:r>
          </w:p>
        </w:tc>
        <w:tc>
          <w:tcPr>
            <w:tcW w:w="1200" w:type="dxa"/>
            <w:tcBorders>
              <w:top w:val="nil"/>
              <w:left w:val="nil"/>
              <w:bottom w:val="single" w:sz="4" w:space="0" w:color="auto"/>
              <w:right w:val="single" w:sz="4" w:space="0" w:color="auto"/>
            </w:tcBorders>
            <w:vAlign w:val="center"/>
            <w:hideMark/>
          </w:tcPr>
          <w:p w14:paraId="0107CB84"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259</w:t>
            </w:r>
          </w:p>
        </w:tc>
        <w:tc>
          <w:tcPr>
            <w:tcW w:w="1060" w:type="dxa"/>
            <w:tcBorders>
              <w:top w:val="nil"/>
              <w:left w:val="nil"/>
              <w:bottom w:val="single" w:sz="4" w:space="0" w:color="auto"/>
              <w:right w:val="single" w:sz="4" w:space="0" w:color="auto"/>
            </w:tcBorders>
            <w:vAlign w:val="center"/>
            <w:hideMark/>
          </w:tcPr>
          <w:p w14:paraId="23173D5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7880</w:t>
            </w:r>
          </w:p>
        </w:tc>
        <w:tc>
          <w:tcPr>
            <w:tcW w:w="4067" w:type="dxa"/>
            <w:tcBorders>
              <w:top w:val="nil"/>
              <w:left w:val="nil"/>
              <w:bottom w:val="single" w:sz="4" w:space="0" w:color="auto"/>
              <w:right w:val="single" w:sz="4" w:space="0" w:color="auto"/>
            </w:tcBorders>
            <w:vAlign w:val="center"/>
            <w:hideMark/>
          </w:tcPr>
          <w:p w14:paraId="4D997A97" w14:textId="77777777" w:rsidR="00162229" w:rsidRPr="00AD01C5" w:rsidRDefault="00162229" w:rsidP="002A21C0">
            <w:pPr>
              <w:spacing w:after="0" w:line="240" w:lineRule="auto"/>
              <w:jc w:val="left"/>
              <w:rPr>
                <w:rFonts w:ascii="Calibri" w:eastAsia="Times New Roman" w:hAnsi="Calibri" w:cs="Calibri"/>
              </w:rPr>
            </w:pPr>
            <w:r w:rsidRPr="00AD01C5">
              <w:rPr>
                <w:rFonts w:ascii="Calibri" w:eastAsia="Times New Roman" w:hAnsi="Calibri" w:cs="Calibri"/>
              </w:rPr>
              <w:t>Ogni linea assegnata ad un deposito tranne 12 linee divise tra due depositi</w:t>
            </w:r>
          </w:p>
        </w:tc>
      </w:tr>
      <w:tr w:rsidR="00162229" w:rsidRPr="00AD01C5" w14:paraId="1D62BC41" w14:textId="77777777" w:rsidTr="002A21C0">
        <w:trPr>
          <w:trHeight w:val="522"/>
        </w:trPr>
        <w:tc>
          <w:tcPr>
            <w:tcW w:w="1380" w:type="dxa"/>
            <w:tcBorders>
              <w:top w:val="nil"/>
              <w:left w:val="single" w:sz="4" w:space="0" w:color="auto"/>
              <w:bottom w:val="single" w:sz="4" w:space="0" w:color="auto"/>
              <w:right w:val="single" w:sz="4" w:space="0" w:color="auto"/>
            </w:tcBorders>
            <w:shd w:val="clear" w:color="000000" w:fill="CFE4AF"/>
            <w:vAlign w:val="center"/>
            <w:hideMark/>
          </w:tcPr>
          <w:p w14:paraId="7E4AC3C4"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Scenario 2.2</w:t>
            </w:r>
          </w:p>
        </w:tc>
        <w:tc>
          <w:tcPr>
            <w:tcW w:w="1360" w:type="dxa"/>
            <w:tcBorders>
              <w:top w:val="nil"/>
              <w:left w:val="nil"/>
              <w:bottom w:val="single" w:sz="4" w:space="0" w:color="auto"/>
              <w:right w:val="single" w:sz="4" w:space="0" w:color="auto"/>
            </w:tcBorders>
            <w:vAlign w:val="center"/>
            <w:hideMark/>
          </w:tcPr>
          <w:p w14:paraId="1545222D"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7</w:t>
            </w:r>
          </w:p>
        </w:tc>
        <w:tc>
          <w:tcPr>
            <w:tcW w:w="1200" w:type="dxa"/>
            <w:tcBorders>
              <w:top w:val="nil"/>
              <w:left w:val="nil"/>
              <w:bottom w:val="single" w:sz="4" w:space="0" w:color="auto"/>
              <w:right w:val="single" w:sz="4" w:space="0" w:color="auto"/>
            </w:tcBorders>
            <w:vAlign w:val="center"/>
            <w:hideMark/>
          </w:tcPr>
          <w:p w14:paraId="183CE873"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259</w:t>
            </w:r>
          </w:p>
        </w:tc>
        <w:tc>
          <w:tcPr>
            <w:tcW w:w="1060" w:type="dxa"/>
            <w:tcBorders>
              <w:top w:val="nil"/>
              <w:left w:val="nil"/>
              <w:bottom w:val="single" w:sz="4" w:space="0" w:color="auto"/>
              <w:right w:val="single" w:sz="4" w:space="0" w:color="auto"/>
            </w:tcBorders>
            <w:vAlign w:val="center"/>
            <w:hideMark/>
          </w:tcPr>
          <w:p w14:paraId="73AE3DEB"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8289</w:t>
            </w:r>
          </w:p>
        </w:tc>
        <w:tc>
          <w:tcPr>
            <w:tcW w:w="4067" w:type="dxa"/>
            <w:tcBorders>
              <w:top w:val="nil"/>
              <w:left w:val="nil"/>
              <w:bottom w:val="single" w:sz="4" w:space="0" w:color="auto"/>
              <w:right w:val="single" w:sz="4" w:space="0" w:color="auto"/>
            </w:tcBorders>
            <w:vAlign w:val="center"/>
            <w:hideMark/>
          </w:tcPr>
          <w:p w14:paraId="7E8A5EC6" w14:textId="77777777" w:rsidR="00162229" w:rsidRPr="00AD01C5" w:rsidRDefault="00162229" w:rsidP="002A21C0">
            <w:pPr>
              <w:spacing w:after="0" w:line="240" w:lineRule="auto"/>
              <w:jc w:val="left"/>
              <w:rPr>
                <w:rFonts w:ascii="Calibri" w:eastAsia="Times New Roman" w:hAnsi="Calibri" w:cs="Calibri"/>
              </w:rPr>
            </w:pPr>
            <w:r w:rsidRPr="00AD01C5">
              <w:rPr>
                <w:rFonts w:ascii="Calibri" w:eastAsia="Times New Roman" w:hAnsi="Calibri" w:cs="Calibri"/>
              </w:rPr>
              <w:t>Ogni linea assegnata ad un deposito tranne 14 linee divise tra due depositi</w:t>
            </w:r>
          </w:p>
        </w:tc>
      </w:tr>
      <w:tr w:rsidR="00162229" w:rsidRPr="00AD01C5" w14:paraId="0432E3C8" w14:textId="77777777" w:rsidTr="002A21C0">
        <w:trPr>
          <w:trHeight w:val="522"/>
        </w:trPr>
        <w:tc>
          <w:tcPr>
            <w:tcW w:w="1380" w:type="dxa"/>
            <w:tcBorders>
              <w:top w:val="nil"/>
              <w:left w:val="single" w:sz="4" w:space="0" w:color="auto"/>
              <w:bottom w:val="single" w:sz="4" w:space="0" w:color="auto"/>
              <w:right w:val="single" w:sz="4" w:space="0" w:color="auto"/>
            </w:tcBorders>
            <w:shd w:val="clear" w:color="000000" w:fill="CFE4AF"/>
            <w:vAlign w:val="center"/>
            <w:hideMark/>
          </w:tcPr>
          <w:p w14:paraId="6FDCD9DC" w14:textId="77777777" w:rsidR="00162229" w:rsidRPr="00AD01C5" w:rsidRDefault="00162229" w:rsidP="002A21C0">
            <w:pPr>
              <w:spacing w:after="0" w:line="240" w:lineRule="auto"/>
              <w:jc w:val="center"/>
              <w:rPr>
                <w:rFonts w:ascii="Calibri" w:eastAsia="Times New Roman" w:hAnsi="Calibri" w:cs="Calibri"/>
                <w:i/>
                <w:iCs/>
                <w:color w:val="000000"/>
              </w:rPr>
            </w:pPr>
            <w:r w:rsidRPr="00AD01C5">
              <w:rPr>
                <w:rFonts w:ascii="Calibri" w:eastAsia="Times New Roman" w:hAnsi="Calibri" w:cs="Calibri"/>
                <w:i/>
                <w:iCs/>
                <w:color w:val="000000"/>
              </w:rPr>
              <w:t>Scenario 3</w:t>
            </w:r>
          </w:p>
        </w:tc>
        <w:tc>
          <w:tcPr>
            <w:tcW w:w="1360" w:type="dxa"/>
            <w:tcBorders>
              <w:top w:val="nil"/>
              <w:left w:val="nil"/>
              <w:bottom w:val="single" w:sz="4" w:space="0" w:color="auto"/>
              <w:right w:val="single" w:sz="4" w:space="0" w:color="auto"/>
            </w:tcBorders>
            <w:vAlign w:val="center"/>
            <w:hideMark/>
          </w:tcPr>
          <w:p w14:paraId="069EBB5F"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w:t>
            </w:r>
          </w:p>
        </w:tc>
        <w:tc>
          <w:tcPr>
            <w:tcW w:w="1200" w:type="dxa"/>
            <w:tcBorders>
              <w:top w:val="nil"/>
              <w:left w:val="nil"/>
              <w:bottom w:val="single" w:sz="4" w:space="0" w:color="auto"/>
              <w:right w:val="single" w:sz="4" w:space="0" w:color="auto"/>
            </w:tcBorders>
            <w:vAlign w:val="center"/>
            <w:hideMark/>
          </w:tcPr>
          <w:p w14:paraId="1286D51A"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265</w:t>
            </w:r>
          </w:p>
        </w:tc>
        <w:tc>
          <w:tcPr>
            <w:tcW w:w="1060" w:type="dxa"/>
            <w:tcBorders>
              <w:top w:val="nil"/>
              <w:left w:val="nil"/>
              <w:bottom w:val="single" w:sz="4" w:space="0" w:color="auto"/>
              <w:right w:val="single" w:sz="4" w:space="0" w:color="auto"/>
            </w:tcBorders>
            <w:vAlign w:val="center"/>
            <w:hideMark/>
          </w:tcPr>
          <w:p w14:paraId="59A9F2A7" w14:textId="77777777" w:rsidR="00162229" w:rsidRPr="00AD01C5" w:rsidRDefault="00162229" w:rsidP="002A21C0">
            <w:pPr>
              <w:spacing w:after="0" w:line="240" w:lineRule="auto"/>
              <w:jc w:val="center"/>
              <w:rPr>
                <w:rFonts w:ascii="Calibri" w:eastAsia="Times New Roman" w:hAnsi="Calibri" w:cs="Calibri"/>
              </w:rPr>
            </w:pPr>
            <w:r w:rsidRPr="00AD01C5">
              <w:rPr>
                <w:rFonts w:ascii="Calibri" w:eastAsia="Times New Roman" w:hAnsi="Calibri" w:cs="Calibri"/>
              </w:rPr>
              <w:t>8784</w:t>
            </w:r>
          </w:p>
        </w:tc>
        <w:tc>
          <w:tcPr>
            <w:tcW w:w="4067" w:type="dxa"/>
            <w:tcBorders>
              <w:top w:val="nil"/>
              <w:left w:val="nil"/>
              <w:bottom w:val="single" w:sz="4" w:space="0" w:color="auto"/>
              <w:right w:val="single" w:sz="4" w:space="0" w:color="auto"/>
            </w:tcBorders>
            <w:vAlign w:val="center"/>
            <w:hideMark/>
          </w:tcPr>
          <w:p w14:paraId="67CED0F3" w14:textId="77777777" w:rsidR="00162229" w:rsidRPr="00AD01C5" w:rsidRDefault="00162229" w:rsidP="002A21C0">
            <w:pPr>
              <w:spacing w:after="0" w:line="240" w:lineRule="auto"/>
              <w:jc w:val="left"/>
              <w:rPr>
                <w:rFonts w:ascii="Calibri" w:eastAsia="Times New Roman" w:hAnsi="Calibri" w:cs="Calibri"/>
              </w:rPr>
            </w:pPr>
            <w:r w:rsidRPr="00AD01C5">
              <w:rPr>
                <w:rFonts w:ascii="Calibri" w:eastAsia="Times New Roman" w:hAnsi="Calibri" w:cs="Calibri"/>
              </w:rPr>
              <w:t>Ogni linea assegnata ad un singolo deposito - lotti definiti</w:t>
            </w:r>
          </w:p>
        </w:tc>
      </w:tr>
    </w:tbl>
    <w:p w14:paraId="2F59198B" w14:textId="67384AA8" w:rsidR="00162229" w:rsidRPr="00AD01C5" w:rsidRDefault="00162229" w:rsidP="00162229">
      <w:pPr>
        <w:spacing w:after="200" w:line="240" w:lineRule="auto"/>
        <w:jc w:val="center"/>
        <w:rPr>
          <w:rFonts w:ascii="Calibri" w:eastAsia="Calibri" w:hAnsi="Calibri" w:cs="Arial"/>
          <w:iCs/>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48</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Quadro degli scenari valutati</w:t>
      </w:r>
    </w:p>
    <w:p w14:paraId="0835B19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Confrontando lo </w:t>
      </w:r>
      <w:r w:rsidRPr="00AD01C5">
        <w:rPr>
          <w:rFonts w:ascii="Calibri" w:eastAsia="Calibri" w:hAnsi="Calibri" w:cs="Arial"/>
          <w:b/>
          <w:bCs/>
        </w:rPr>
        <w:t>scenario base</w:t>
      </w:r>
      <w:r w:rsidRPr="00AD01C5">
        <w:rPr>
          <w:rFonts w:ascii="Calibri" w:eastAsia="Calibri" w:hAnsi="Calibri" w:cs="Arial"/>
        </w:rPr>
        <w:t xml:space="preserve"> con lo </w:t>
      </w:r>
      <w:r w:rsidRPr="00AD01C5">
        <w:rPr>
          <w:rFonts w:ascii="Calibri" w:eastAsia="Calibri" w:hAnsi="Calibri" w:cs="Arial"/>
          <w:b/>
          <w:bCs/>
        </w:rPr>
        <w:t>scenario 3</w:t>
      </w:r>
      <w:r w:rsidRPr="00AD01C5">
        <w:rPr>
          <w:rFonts w:ascii="Calibri" w:eastAsia="Calibri" w:hAnsi="Calibri" w:cs="Arial"/>
        </w:rPr>
        <w:t>, emergono variazioni significative nei principali fattori produttivi. In particolare:</w:t>
      </w:r>
    </w:p>
    <w:p w14:paraId="0EEA4A91" w14:textId="77777777" w:rsidR="00162229" w:rsidRPr="00AD01C5" w:rsidRDefault="00162229" w:rsidP="00162229">
      <w:pPr>
        <w:numPr>
          <w:ilvl w:val="0"/>
          <w:numId w:val="66"/>
        </w:numPr>
        <w:suppressAutoHyphens/>
        <w:spacing w:before="120" w:after="0" w:line="240" w:lineRule="auto"/>
        <w:jc w:val="left"/>
        <w:rPr>
          <w:rFonts w:ascii="Calibri" w:eastAsia="Calibri" w:hAnsi="Calibri" w:cs="Calibri"/>
        </w:rPr>
      </w:pPr>
      <w:r w:rsidRPr="00AD01C5">
        <w:rPr>
          <w:rFonts w:ascii="Calibri" w:eastAsia="Calibri" w:hAnsi="Calibri" w:cs="Calibri"/>
        </w:rPr>
        <w:t>Riduzione del numero di depositi: -64%;</w:t>
      </w:r>
    </w:p>
    <w:p w14:paraId="4D3B614F" w14:textId="77777777" w:rsidR="00162229" w:rsidRPr="00AD01C5" w:rsidRDefault="00162229" w:rsidP="00162229">
      <w:pPr>
        <w:numPr>
          <w:ilvl w:val="0"/>
          <w:numId w:val="66"/>
        </w:numPr>
        <w:suppressAutoHyphens/>
        <w:spacing w:before="120" w:after="0" w:line="240" w:lineRule="auto"/>
        <w:jc w:val="left"/>
        <w:rPr>
          <w:rFonts w:ascii="Calibri" w:eastAsia="Calibri" w:hAnsi="Calibri" w:cs="Calibri"/>
        </w:rPr>
      </w:pPr>
      <w:r w:rsidRPr="00AD01C5">
        <w:rPr>
          <w:rFonts w:ascii="Calibri" w:eastAsia="Calibri" w:hAnsi="Calibri" w:cs="Calibri"/>
        </w:rPr>
        <w:t>Aumento del numero di mezzi impiegati: +5%;</w:t>
      </w:r>
    </w:p>
    <w:p w14:paraId="7A10FC39" w14:textId="77777777" w:rsidR="00162229" w:rsidRPr="00AD01C5" w:rsidRDefault="00162229" w:rsidP="00162229">
      <w:pPr>
        <w:numPr>
          <w:ilvl w:val="0"/>
          <w:numId w:val="66"/>
        </w:numPr>
        <w:suppressAutoHyphens/>
        <w:spacing w:before="120" w:after="0" w:line="240" w:lineRule="auto"/>
        <w:jc w:val="left"/>
        <w:rPr>
          <w:rFonts w:ascii="Calibri" w:eastAsia="Calibri" w:hAnsi="Calibri" w:cs="Calibri"/>
        </w:rPr>
      </w:pPr>
      <w:r w:rsidRPr="00AD01C5">
        <w:rPr>
          <w:rFonts w:ascii="Calibri" w:eastAsia="Calibri" w:hAnsi="Calibri" w:cs="Calibri"/>
        </w:rPr>
        <w:t>Incremento delle percorrenze a vuoto: +86%.</w:t>
      </w:r>
    </w:p>
    <w:p w14:paraId="78A8FF7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Questi cambiamenti sollevano interrogativi fondamentali riguardo all’impatto che ciascun fattore della produzione esercita sul costo complessivo del servizio e sulla relazione proporzionale tra tali componenti. La comprensione del peso relativo di ciascun fattore rappresenta un elemento essenziale per una valutazione economica complessiva e per l’adozione di strategie organizzative più efficienti, che sicuramente saranno affrontati dalle aziende nell’individuazione di soluzioni operative in sede di gara.</w:t>
      </w:r>
    </w:p>
    <w:p w14:paraId="065D02F3"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Di seguito si riporta una valutazione teorica di prima approssimazione della variazione dei costi legati ai fattori presi in considerazione. </w:t>
      </w:r>
    </w:p>
    <w:p w14:paraId="3946D6DB"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b/>
          <w:bCs/>
        </w:rPr>
        <w:t>Analisi della variazione dei costi</w:t>
      </w:r>
    </w:p>
    <w:p w14:paraId="6DAD5A56"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Assumendo come base i fattori di costo utilizzati nelle analisi precedenti, è possibile stimare la variazione economica tra i due scenari estremi focalizzandosi su due componenti principali:</w:t>
      </w:r>
    </w:p>
    <w:p w14:paraId="2E6F79B9" w14:textId="77777777" w:rsidR="00162229" w:rsidRPr="00AD01C5" w:rsidRDefault="00162229" w:rsidP="00162229">
      <w:pPr>
        <w:spacing w:before="120" w:after="0" w:line="240" w:lineRule="auto"/>
        <w:ind w:left="709"/>
        <w:rPr>
          <w:rFonts w:ascii="Calibri" w:eastAsia="Calibri" w:hAnsi="Calibri" w:cs="Arial"/>
        </w:rPr>
      </w:pPr>
      <w:r w:rsidRPr="00AD01C5">
        <w:rPr>
          <w:rFonts w:ascii="Calibri" w:eastAsia="Calibri" w:hAnsi="Calibri" w:cs="Arial"/>
          <w:b/>
          <w:bCs/>
        </w:rPr>
        <w:t>Variazione dei costi relativi alle percorrenze a vuoto</w:t>
      </w:r>
      <w:r w:rsidRPr="00AD01C5">
        <w:rPr>
          <w:rFonts w:ascii="Calibri" w:eastAsia="Calibri" w:hAnsi="Calibri" w:cs="Arial"/>
        </w:rPr>
        <w:t>: l'aumento significativo delle percorrenze a vuoto influisce in modo rilevante sui costi operativi variabili, poiché comprende spese legate a carburante o energia, compensi degli autisti e manutenzione veicolare, costo valorizzato in 1 €/km.</w:t>
      </w:r>
    </w:p>
    <w:p w14:paraId="059D7804" w14:textId="77777777" w:rsidR="00162229" w:rsidRPr="00AD01C5" w:rsidRDefault="00162229" w:rsidP="00162229">
      <w:pPr>
        <w:spacing w:before="120" w:after="0" w:line="240" w:lineRule="auto"/>
        <w:ind w:left="709"/>
        <w:rPr>
          <w:rFonts w:ascii="Calibri" w:eastAsia="Calibri" w:hAnsi="Calibri" w:cs="Arial"/>
        </w:rPr>
      </w:pPr>
      <w:r w:rsidRPr="00AD01C5">
        <w:rPr>
          <w:rFonts w:ascii="Calibri" w:eastAsia="Calibri" w:hAnsi="Calibri" w:cs="Arial"/>
        </w:rPr>
        <w:t xml:space="preserve">2. </w:t>
      </w:r>
      <w:r w:rsidRPr="00AD01C5">
        <w:rPr>
          <w:rFonts w:ascii="Calibri" w:eastAsia="Calibri" w:hAnsi="Calibri" w:cs="Arial"/>
          <w:b/>
          <w:bCs/>
        </w:rPr>
        <w:t>Variazione dei costi legati al numero di autobus impiegati</w:t>
      </w:r>
      <w:r w:rsidRPr="00AD01C5">
        <w:rPr>
          <w:rFonts w:ascii="Calibri" w:eastAsia="Calibri" w:hAnsi="Calibri" w:cs="Arial"/>
        </w:rPr>
        <w:t>: l’aumento del 4% del numero di autobus comporta un incremento proporzionale dei costi associati al possesso e all’operatività dei mezzi (ammortamento, assicurazioni, manutenzione ordinaria e straordinaria), costo valorizzato in 100 €/veicolo giorno.</w:t>
      </w:r>
    </w:p>
    <w:p w14:paraId="0511E1B6" w14:textId="77777777" w:rsidR="00162229" w:rsidRPr="00AD01C5" w:rsidRDefault="00162229" w:rsidP="00162229">
      <w:pPr>
        <w:spacing w:before="120" w:after="0" w:line="240" w:lineRule="auto"/>
        <w:ind w:left="709"/>
        <w:rPr>
          <w:rFonts w:ascii="Calibri" w:eastAsia="Calibri" w:hAnsi="Calibri" w:cs="Arial"/>
        </w:rPr>
      </w:pPr>
      <w:r w:rsidRPr="00AD01C5">
        <w:rPr>
          <w:rFonts w:ascii="Calibri" w:eastAsia="Calibri" w:hAnsi="Calibri" w:cs="Arial"/>
        </w:rPr>
        <w:t xml:space="preserve">3. </w:t>
      </w:r>
      <w:r w:rsidRPr="00AD01C5">
        <w:rPr>
          <w:rFonts w:ascii="Calibri" w:eastAsia="Calibri" w:hAnsi="Calibri" w:cs="Arial"/>
          <w:b/>
          <w:bCs/>
        </w:rPr>
        <w:t>Variazione dei costi legati al numero di depositi</w:t>
      </w:r>
      <w:r w:rsidRPr="00AD01C5">
        <w:rPr>
          <w:rFonts w:ascii="Calibri" w:eastAsia="Calibri" w:hAnsi="Calibri" w:cs="Arial"/>
        </w:rPr>
        <w:t xml:space="preserve">: per stimare l’impatto economico derivante dalla riduzione del numero di depositi (-64%), è possibile adottare un approccio basato sui </w:t>
      </w:r>
      <w:r w:rsidRPr="00AD01C5">
        <w:rPr>
          <w:rFonts w:ascii="Calibri" w:eastAsia="Calibri" w:hAnsi="Calibri" w:cs="Arial"/>
          <w:b/>
          <w:bCs/>
        </w:rPr>
        <w:t>canoni di locazione</w:t>
      </w:r>
      <w:r w:rsidRPr="00AD01C5">
        <w:rPr>
          <w:rFonts w:ascii="Calibri" w:eastAsia="Calibri" w:hAnsi="Calibri" w:cs="Arial"/>
        </w:rPr>
        <w:t xml:space="preserve"> riportati dall’Osservatorio Immobiliare dell’Agenzia delle Entrate per l’anno 2024. In base ai dati disponibili, nel Bacino </w:t>
      </w:r>
      <w:r>
        <w:rPr>
          <w:rFonts w:ascii="Calibri" w:eastAsia="Calibri" w:hAnsi="Calibri" w:cs="Arial"/>
        </w:rPr>
        <w:t>Sud Est</w:t>
      </w:r>
      <w:r w:rsidRPr="00AD01C5">
        <w:rPr>
          <w:rFonts w:ascii="Calibri" w:eastAsia="Calibri" w:hAnsi="Calibri" w:cs="Arial"/>
        </w:rPr>
        <w:t>, nelle aree periferiche o suburbane idonee alla localizzazione di strutture logistiche o industriali, il costo medio di locazione mensile è pari a circa 1,4 €/m².</w:t>
      </w:r>
    </w:p>
    <w:p w14:paraId="1A0CB5B2"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lastRenderedPageBreak/>
        <w:t>Questi elementi consentono di effettuare una stima di massima dei risparmi potenziali derivanti dalla riduzione delle infrastrutture di deposito. Tuttavia, va sottolineato che i costi legati alla gestione dei depositi includono molteplici componenti aggiuntive, quali:</w:t>
      </w:r>
    </w:p>
    <w:p w14:paraId="74A33871"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costi per il personale addetto alla manutenzione e alla gestione logistica;</w:t>
      </w:r>
    </w:p>
    <w:p w14:paraId="34B92B88"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spese di manutenzione infrastrutturale;</w:t>
      </w:r>
    </w:p>
    <w:p w14:paraId="3EC7CA36"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costi energetici per il funzionamento delle strutture;</w:t>
      </w:r>
    </w:p>
    <w:p w14:paraId="11A5503D"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altri costi amministrativi e operativi non contabilizzati direttamente.</w:t>
      </w:r>
    </w:p>
    <w:p w14:paraId="0E03E6B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per i quali non è semplice indicare un valore unitario a metro quadro, ma escludendo il costo del personale si può ipotizzare che incidano almeno per il </w:t>
      </w:r>
      <w:r>
        <w:rPr>
          <w:rFonts w:ascii="Calibri" w:eastAsia="Calibri" w:hAnsi="Calibri" w:cs="Arial"/>
        </w:rPr>
        <w:t>2</w:t>
      </w:r>
      <w:r w:rsidRPr="00AD01C5">
        <w:rPr>
          <w:rFonts w:ascii="Calibri" w:eastAsia="Calibri" w:hAnsi="Calibri" w:cs="Arial"/>
        </w:rPr>
        <w:t>0% del costo di locazione.</w:t>
      </w:r>
    </w:p>
    <w:p w14:paraId="46B7AB70" w14:textId="77777777" w:rsidR="00162229" w:rsidRPr="00B61C5B" w:rsidRDefault="00162229" w:rsidP="00162229">
      <w:pPr>
        <w:spacing w:before="120" w:after="0" w:line="240" w:lineRule="auto"/>
        <w:ind w:left="-284"/>
        <w:jc w:val="center"/>
        <w:rPr>
          <w:rFonts w:ascii="Calibri" w:eastAsia="Calibri" w:hAnsi="Calibri" w:cs="Arial"/>
        </w:rPr>
      </w:pPr>
      <w:r w:rsidRPr="00B61C5B">
        <w:rPr>
          <w:noProof/>
        </w:rPr>
        <w:drawing>
          <wp:inline distT="0" distB="0" distL="0" distR="0" wp14:anchorId="65BF88C0" wp14:editId="7FEE15E6">
            <wp:extent cx="6036105" cy="762000"/>
            <wp:effectExtent l="0" t="0" r="3175" b="0"/>
            <wp:docPr id="7815846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42901" cy="762858"/>
                    </a:xfrm>
                    <a:prstGeom prst="rect">
                      <a:avLst/>
                    </a:prstGeom>
                    <a:noFill/>
                    <a:ln>
                      <a:noFill/>
                    </a:ln>
                  </pic:spPr>
                </pic:pic>
              </a:graphicData>
            </a:graphic>
          </wp:inline>
        </w:drawing>
      </w:r>
    </w:p>
    <w:p w14:paraId="0F38CC2B" w14:textId="494D4E5F" w:rsidR="00162229" w:rsidRPr="00AD01C5" w:rsidRDefault="00162229" w:rsidP="00162229">
      <w:pPr>
        <w:spacing w:after="0" w:line="240" w:lineRule="auto"/>
        <w:jc w:val="center"/>
        <w:rPr>
          <w:rFonts w:ascii="Calibri" w:eastAsia="Calibri" w:hAnsi="Calibri" w:cs="Arial"/>
          <w:i/>
          <w:color w:val="003366"/>
          <w:sz w:val="18"/>
          <w:szCs w:val="18"/>
        </w:rPr>
      </w:pPr>
      <w:bookmarkStart w:id="375" w:name="_Toc951583400"/>
      <w:bookmarkStart w:id="376" w:name="_Toc197695722"/>
      <w:bookmarkStart w:id="377" w:name="_Ref204248301"/>
      <w:bookmarkStart w:id="378" w:name="_Toc204616531"/>
      <w:bookmarkStart w:id="379" w:name="_Ref187765700"/>
      <w:bookmarkStart w:id="380" w:name="_Toc193195794"/>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49</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Raffronto dei costi fra gli scenari</w:t>
      </w:r>
    </w:p>
    <w:p w14:paraId="10FD575B"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La riduzione del numero di depositi da 22 a 8 comporterebbe quindi </w:t>
      </w:r>
      <w:r>
        <w:rPr>
          <w:rFonts w:ascii="Calibri" w:eastAsia="Calibri" w:hAnsi="Calibri" w:cs="Arial"/>
        </w:rPr>
        <w:t xml:space="preserve">seppur limitato </w:t>
      </w:r>
      <w:r w:rsidRPr="00AD01C5">
        <w:rPr>
          <w:rFonts w:ascii="Calibri" w:eastAsia="Calibri" w:hAnsi="Calibri" w:cs="Arial"/>
        </w:rPr>
        <w:t xml:space="preserve">un risparmio sui costi, da considerare come parte integrante dell’ottimizzazione economica complessiva. </w:t>
      </w:r>
    </w:p>
    <w:p w14:paraId="620CE758"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 scelta di strutturare l’organizzazione delle linee su unità funzionali autonome (relazioni univoche deposito-linee) rappresenta una strategia vantaggiosa sia sotto il profilo funzionale che sotto quello economico. Tale configurazione:</w:t>
      </w:r>
    </w:p>
    <w:p w14:paraId="2413F808"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migliora l’efficienza gestionale e operativa, riducendo la complessità logistica;</w:t>
      </w:r>
    </w:p>
    <w:p w14:paraId="2D1F1550"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consente di ottimizzare i fattori produttivi (veicoli, percorrenze e infrastrutture);</w:t>
      </w:r>
    </w:p>
    <w:p w14:paraId="1C815FB4" w14:textId="77777777" w:rsidR="00162229" w:rsidRPr="00AD01C5" w:rsidRDefault="00162229" w:rsidP="00162229">
      <w:pPr>
        <w:numPr>
          <w:ilvl w:val="0"/>
          <w:numId w:val="73"/>
        </w:numPr>
        <w:spacing w:before="120" w:after="0" w:line="240" w:lineRule="auto"/>
        <w:rPr>
          <w:rFonts w:ascii="Calibri" w:eastAsia="Calibri" w:hAnsi="Calibri" w:cs="Arial"/>
        </w:rPr>
      </w:pPr>
      <w:r w:rsidRPr="00AD01C5">
        <w:rPr>
          <w:rFonts w:ascii="Calibri" w:eastAsia="Calibri" w:hAnsi="Calibri" w:cs="Arial"/>
        </w:rPr>
        <w:t>riduce i costi complessivi, sia diretti che indiretti, legati alle infrastrutture e alle operazioni.</w:t>
      </w:r>
    </w:p>
    <w:p w14:paraId="2A41345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È importante precisare che il presente lavoro ha un carattere strettamente metodologico e non si propone di fornire una stima puntuale dei risparmi economici effettivi. Tale analisi più dettagliata e contestualizzata potrà essere effettuata dalle imprese di trasporto nel momento in cui presenteranno le loro proposte progettuali. Le aziende potranno, infatti, tenere in considerazione ulteriori variabili, tra cui la possibilità di utilizzare aree non infrastrutturate per lo stazionamento dei mezzi. Questa soluzione operativa, che sarà eventualmente sviluppata nelle proposte di gara, può risultare particolarmente vantaggiosa per facilitare sia la presa in servizio nelle prime ore del mattino che il rilascio degli autobus al termine delle operazioni serali, contribuendo ulteriormente alla riduzione dei costi per km a vuoto ed all’efficienza generale del sistema.</w:t>
      </w:r>
    </w:p>
    <w:p w14:paraId="2282A190" w14:textId="77777777" w:rsidR="00162229" w:rsidRPr="00AD01C5" w:rsidRDefault="00162229" w:rsidP="00162229">
      <w:pPr>
        <w:spacing w:before="120" w:after="0" w:line="240" w:lineRule="auto"/>
        <w:rPr>
          <w:rFonts w:ascii="Calibri" w:eastAsia="Calibri" w:hAnsi="Calibri" w:cs="Arial"/>
          <w:b/>
        </w:rPr>
      </w:pPr>
      <w:r w:rsidRPr="00AD01C5">
        <w:rPr>
          <w:rFonts w:ascii="Calibri" w:eastAsia="Calibri" w:hAnsi="Calibri" w:cs="Arial"/>
          <w:b/>
        </w:rPr>
        <w:t>Analisi indicatori dotazione infrastrutturale</w:t>
      </w:r>
    </w:p>
    <w:p w14:paraId="087CD99F"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Un’ulteriore riflessione può essere condotta sugli impianti e sulle infrastrutture presenti all’interno dei depositi, funzionali alla gestione e manutenzione della flotta, impianti di lavaggio, di rifornimento o officine attrezzate per le quali, allo stato attuale, l’Agenzia non conosce il reale costo, ma sulle quali possono sicuramente realizzarsi delle economie di scala con la riduzione del numero.</w:t>
      </w:r>
    </w:p>
    <w:p w14:paraId="38B5671A" w14:textId="77777777" w:rsidR="00162229" w:rsidRPr="00AD01C5" w:rsidRDefault="00162229" w:rsidP="00162229">
      <w:pPr>
        <w:spacing w:before="120" w:after="0" w:line="240" w:lineRule="auto"/>
        <w:rPr>
          <w:rFonts w:ascii="Calibri" w:eastAsia="Calibri" w:hAnsi="Calibri" w:cs="Arial"/>
          <w:color w:val="0F6FC6"/>
        </w:rPr>
      </w:pPr>
      <w:r w:rsidRPr="004E049C">
        <w:rPr>
          <w:noProof/>
        </w:rPr>
        <w:drawing>
          <wp:inline distT="0" distB="0" distL="0" distR="0" wp14:anchorId="6BCB04D3" wp14:editId="6684FE9F">
            <wp:extent cx="5759450" cy="735330"/>
            <wp:effectExtent l="0" t="0" r="0" b="7620"/>
            <wp:docPr id="52533399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59450" cy="735330"/>
                    </a:xfrm>
                    <a:prstGeom prst="rect">
                      <a:avLst/>
                    </a:prstGeom>
                    <a:noFill/>
                    <a:ln>
                      <a:noFill/>
                    </a:ln>
                  </pic:spPr>
                </pic:pic>
              </a:graphicData>
            </a:graphic>
          </wp:inline>
        </w:drawing>
      </w:r>
    </w:p>
    <w:p w14:paraId="22412F15" w14:textId="4D5A1858" w:rsidR="00162229" w:rsidRPr="00AD01C5" w:rsidRDefault="00162229" w:rsidP="00162229">
      <w:pPr>
        <w:spacing w:after="0" w:line="240" w:lineRule="auto"/>
        <w:jc w:val="center"/>
        <w:rPr>
          <w:rFonts w:ascii="Calibri" w:eastAsia="Calibri" w:hAnsi="Calibri" w:cs="Arial"/>
          <w:iCs/>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50</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Confronto sulle infrastrutture di deposito fra scenari</w:t>
      </w:r>
      <w:r w:rsidRPr="00AD01C5">
        <w:rPr>
          <w:rFonts w:ascii="Calibri" w:eastAsia="Calibri" w:hAnsi="Calibri" w:cs="Arial"/>
          <w:iCs/>
          <w:color w:val="003366"/>
          <w:sz w:val="18"/>
          <w:szCs w:val="18"/>
        </w:rPr>
        <w:t xml:space="preserve"> </w:t>
      </w:r>
    </w:p>
    <w:p w14:paraId="39B7FBEA"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Come evidente dalla tabella, con la riduzione dei depositi, la riduzione dei costi è significativa:</w:t>
      </w:r>
    </w:p>
    <w:p w14:paraId="62481E31" w14:textId="77777777" w:rsidR="00162229" w:rsidRPr="00AD01C5" w:rsidRDefault="00162229" w:rsidP="00162229">
      <w:pPr>
        <w:numPr>
          <w:ilvl w:val="0"/>
          <w:numId w:val="85"/>
        </w:numPr>
        <w:spacing w:before="120" w:after="0" w:line="240" w:lineRule="auto"/>
        <w:rPr>
          <w:rFonts w:ascii="Calibri" w:eastAsia="Calibri" w:hAnsi="Calibri" w:cs="Arial"/>
        </w:rPr>
      </w:pPr>
      <w:r w:rsidRPr="00AD01C5">
        <w:rPr>
          <w:rFonts w:ascii="Calibri" w:eastAsia="Calibri" w:hAnsi="Calibri" w:cs="Arial"/>
        </w:rPr>
        <w:lastRenderedPageBreak/>
        <w:t xml:space="preserve">La riduzione degli impianti di rifornimento comporta anche un'efficienza gestionale. Considerando che ci sono 8 depositi e 7 impianti, mediamente si devono rifornire 15 autobus al giorno per ogni impianto. Un autobus normalmente può viaggiare per 3 giorni con un pieno, e il rifornimento impiega circa 15 minuti. Pertanto, l'impianto </w:t>
      </w:r>
      <w:r>
        <w:rPr>
          <w:rFonts w:ascii="Calibri" w:eastAsia="Calibri" w:hAnsi="Calibri" w:cs="Arial"/>
        </w:rPr>
        <w:t>sarà</w:t>
      </w:r>
      <w:r w:rsidRPr="00AD01C5">
        <w:rPr>
          <w:rFonts w:ascii="Calibri" w:eastAsia="Calibri" w:hAnsi="Calibri" w:cs="Arial"/>
        </w:rPr>
        <w:t xml:space="preserve"> utilizzato al massimo per 3 ore e 45 minuti al giorno; analoghe considerazioni possono essere fatte per gli impianti di lavaggio;</w:t>
      </w:r>
    </w:p>
    <w:p w14:paraId="03BB2402" w14:textId="77777777" w:rsidR="00162229" w:rsidRPr="00AD01C5" w:rsidRDefault="00162229" w:rsidP="00162229">
      <w:pPr>
        <w:numPr>
          <w:ilvl w:val="0"/>
          <w:numId w:val="85"/>
        </w:numPr>
        <w:spacing w:before="120" w:after="0" w:line="240" w:lineRule="auto"/>
        <w:rPr>
          <w:rFonts w:ascii="Calibri" w:eastAsia="Calibri" w:hAnsi="Calibri" w:cs="Arial"/>
        </w:rPr>
      </w:pPr>
      <w:r w:rsidRPr="00AD01C5">
        <w:rPr>
          <w:rFonts w:ascii="Calibri" w:eastAsia="Calibri" w:hAnsi="Calibri" w:cs="Arial"/>
        </w:rPr>
        <w:t>Anche sulla superficie dei depositi si ottiene un efficientamento. La superficie per autobus è stata notevolmente ridotta; tuttavia, si segnala che un deposito progettato per autobus urbani ed extraurbani prevede una superficie di 100 mq per autobus. Progetti più recenti di depositi destinati ad autobus elettrici si attestano a 150 mq per autobus. In qualsiasi caso, le stime sopra riportate possono essere ulteriormente efficientate;</w:t>
      </w:r>
    </w:p>
    <w:p w14:paraId="3D610AE9" w14:textId="77777777" w:rsidR="00162229" w:rsidRPr="00AD01C5" w:rsidRDefault="00162229" w:rsidP="00162229">
      <w:pPr>
        <w:numPr>
          <w:ilvl w:val="0"/>
          <w:numId w:val="85"/>
        </w:numPr>
        <w:spacing w:before="120" w:after="0" w:line="240" w:lineRule="auto"/>
        <w:rPr>
          <w:rFonts w:ascii="Calibri" w:eastAsia="Calibri" w:hAnsi="Calibri" w:cs="Arial"/>
        </w:rPr>
      </w:pPr>
      <w:r w:rsidRPr="00AD01C5">
        <w:rPr>
          <w:rFonts w:ascii="Calibri" w:eastAsia="Calibri" w:hAnsi="Calibri" w:cs="Arial"/>
        </w:rPr>
        <w:t>Per quanto riguarda le officine, le considerazioni possono essere leggermente diverse, ma comunque vanno nel senso del recupero di efficienza gestionale. Nella tabella si è ipotizzata una officina per deposito, incrementando il numero rispetto alla situazione attuale. Si tratta di prevedere costi aggiuntivi di investimento per la realizzazione di officine, ma si ottengono sicuramente risparmi sui tempi di trasferimento e sui chilometri a vuoto.</w:t>
      </w:r>
    </w:p>
    <w:p w14:paraId="4EEC7099"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In sintesi, la riduzione dei depositi conduce verso la ricerca di efficienza organizzativa, efficacia gestionale ed economicità.</w:t>
      </w:r>
    </w:p>
    <w:p w14:paraId="5FA88342" w14:textId="77777777" w:rsidR="00162229" w:rsidRPr="00B61C5B" w:rsidRDefault="00162229" w:rsidP="00162229">
      <w:pPr>
        <w:pStyle w:val="Titolo3"/>
        <w:ind w:left="720"/>
      </w:pPr>
      <w:bookmarkStart w:id="381" w:name="_Toc204328762"/>
      <w:bookmarkStart w:id="382" w:name="_Toc205213762"/>
      <w:bookmarkEnd w:id="375"/>
      <w:bookmarkEnd w:id="376"/>
      <w:bookmarkEnd w:id="377"/>
      <w:bookmarkEnd w:id="378"/>
      <w:r w:rsidRPr="00B61C5B">
        <w:t>Valutazione delle linee di inter-bacino</w:t>
      </w:r>
      <w:bookmarkEnd w:id="381"/>
      <w:bookmarkEnd w:id="382"/>
    </w:p>
    <w:bookmarkEnd w:id="379"/>
    <w:bookmarkEnd w:id="380"/>
    <w:p w14:paraId="5EC06779"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Per ottimizzare ulteriormente la gestione dei depositi e dei principali fattori di produzione, è stata condotta un’analisi approfondita delle linee di distribuzione inter-bacino situate nell'area di confine tra il Bacino Metropolitano e il Bacino </w:t>
      </w:r>
      <w:r>
        <w:rPr>
          <w:rFonts w:ascii="Calibri" w:eastAsia="Calibri" w:hAnsi="Calibri" w:cs="Arial"/>
        </w:rPr>
        <w:t>Sud Est, nonché tra il Bacino Nord Est ed il Bacino Sud Est</w:t>
      </w:r>
      <w:r w:rsidRPr="00AD01C5">
        <w:rPr>
          <w:rFonts w:ascii="Calibri" w:eastAsia="Calibri" w:hAnsi="Calibri" w:cs="Arial"/>
        </w:rPr>
        <w:t xml:space="preserve">. Tale analisi ha consentito di identificare la possibilità di integrare alcune di queste linee all’interno dell’attuale servizio programmato per il Bacino </w:t>
      </w:r>
      <w:r>
        <w:rPr>
          <w:rFonts w:ascii="Calibri" w:eastAsia="Calibri" w:hAnsi="Calibri" w:cs="Arial"/>
        </w:rPr>
        <w:t>Sud Est</w:t>
      </w:r>
      <w:r w:rsidRPr="00AD01C5">
        <w:rPr>
          <w:rFonts w:ascii="Calibri" w:eastAsia="Calibri" w:hAnsi="Calibri" w:cs="Arial"/>
        </w:rPr>
        <w:t>.</w:t>
      </w:r>
    </w:p>
    <w:p w14:paraId="164E6766"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L’inserimento delle linee inter-bacino nei servizi del Bacino </w:t>
      </w:r>
      <w:r>
        <w:rPr>
          <w:rFonts w:ascii="Calibri" w:eastAsia="Calibri" w:hAnsi="Calibri" w:cs="Arial"/>
        </w:rPr>
        <w:t>Sud Est</w:t>
      </w:r>
      <w:r w:rsidRPr="00AD01C5">
        <w:rPr>
          <w:rFonts w:ascii="Calibri" w:eastAsia="Calibri" w:hAnsi="Calibri" w:cs="Arial"/>
        </w:rPr>
        <w:t xml:space="preserve"> è risultato ampiamente fattibile dal punto di vista trasportistico, grazie alla coerenza operativa e logistica con l’organizzazione delle linee già presenti. Questa scelta strategica appare sfruttare in modo più efficace le infrastrutture e i depositi esistenti nel Bacino Sud</w:t>
      </w:r>
      <w:r>
        <w:rPr>
          <w:rFonts w:ascii="Calibri" w:eastAsia="Calibri" w:hAnsi="Calibri" w:cs="Arial"/>
        </w:rPr>
        <w:t xml:space="preserve"> Est</w:t>
      </w:r>
      <w:r w:rsidRPr="00AD01C5">
        <w:rPr>
          <w:rFonts w:ascii="Calibri" w:eastAsia="Calibri" w:hAnsi="Calibri" w:cs="Arial"/>
        </w:rPr>
        <w:t>, ottimizzando la gestione delle risorse veicolari e riducendo i costi operativi attraverso economie di scala.</w:t>
      </w:r>
    </w:p>
    <w:p w14:paraId="58E170BF"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L’integrazione delle linee inter-bacino nel Bacino </w:t>
      </w:r>
      <w:r>
        <w:rPr>
          <w:rFonts w:ascii="Calibri" w:eastAsia="Calibri" w:hAnsi="Calibri" w:cs="Arial"/>
        </w:rPr>
        <w:t>Sud Est</w:t>
      </w:r>
      <w:r w:rsidRPr="00AD01C5">
        <w:rPr>
          <w:rFonts w:ascii="Calibri" w:eastAsia="Calibri" w:hAnsi="Calibri" w:cs="Arial"/>
        </w:rPr>
        <w:t xml:space="preserve"> presenta vantaggi specifici in termini di assegnazione delle linee ai depositi. Grazie alla loro posizione strategica e alla prossimità delle linee inter-bacino ai depositi esistenti, è possibile ottimizzare i collegamenti tra linee e depositi, riducendo al minimo i chilometri percorsi a vuoto e migliorando l’efficienza operativa complessiva.</w:t>
      </w:r>
    </w:p>
    <w:p w14:paraId="5BAF2E2B"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Questo approccio consente di:</w:t>
      </w:r>
    </w:p>
    <w:p w14:paraId="6A8B1F34" w14:textId="77777777" w:rsidR="00162229" w:rsidRPr="00AD01C5" w:rsidRDefault="00162229" w:rsidP="00162229">
      <w:pPr>
        <w:numPr>
          <w:ilvl w:val="0"/>
          <w:numId w:val="71"/>
        </w:numPr>
        <w:spacing w:before="120" w:after="0" w:line="240" w:lineRule="auto"/>
        <w:contextualSpacing/>
        <w:rPr>
          <w:rFonts w:ascii="Calibri" w:eastAsia="Calibri" w:hAnsi="Calibri" w:cs="Arial"/>
        </w:rPr>
      </w:pPr>
      <w:r w:rsidRPr="00AD01C5">
        <w:rPr>
          <w:rFonts w:ascii="Calibri" w:eastAsia="Calibri" w:hAnsi="Calibri" w:cs="Arial"/>
        </w:rPr>
        <w:t>ridurre la frammentazione logistica derivante dall’assegnazione delle linee a depositi in bacini diversi, migliorando la coerenza nella gestione dei servizi;</w:t>
      </w:r>
    </w:p>
    <w:p w14:paraId="76390A32" w14:textId="77777777" w:rsidR="00162229" w:rsidRPr="00AD01C5" w:rsidRDefault="00162229" w:rsidP="00162229">
      <w:pPr>
        <w:numPr>
          <w:ilvl w:val="0"/>
          <w:numId w:val="71"/>
        </w:numPr>
        <w:spacing w:before="120" w:after="0" w:line="240" w:lineRule="auto"/>
        <w:contextualSpacing/>
        <w:rPr>
          <w:rFonts w:ascii="Calibri" w:eastAsia="Calibri" w:hAnsi="Calibri" w:cs="Arial"/>
        </w:rPr>
      </w:pPr>
      <w:r w:rsidRPr="00AD01C5">
        <w:rPr>
          <w:rFonts w:ascii="Calibri" w:eastAsia="Calibri" w:hAnsi="Calibri" w:cs="Arial"/>
        </w:rPr>
        <w:t>facilitare l’organizzazione delle unità di rete, offrendo una maggiore semplificazione nella programmazione e la pianificazione dei servizi.</w:t>
      </w:r>
    </w:p>
    <w:p w14:paraId="0549071F"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Dal punto di vista economico, l’integrazione delle linee inter-bacino nei servizi del Bacino </w:t>
      </w:r>
      <w:r>
        <w:rPr>
          <w:rFonts w:ascii="Calibri" w:eastAsia="Calibri" w:hAnsi="Calibri" w:cs="Arial"/>
        </w:rPr>
        <w:t>Sud Est</w:t>
      </w:r>
      <w:r w:rsidRPr="00AD01C5">
        <w:rPr>
          <w:rFonts w:ascii="Calibri" w:eastAsia="Calibri" w:hAnsi="Calibri" w:cs="Arial"/>
        </w:rPr>
        <w:t xml:space="preserve"> consente di ottenere economie di scala. Questo risultato sarà approfondito e valutato nel dettaglio nel successivo paragrafo, con l’applicazione dei costi standard.</w:t>
      </w:r>
    </w:p>
    <w:p w14:paraId="5DA2D38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L’approccio adottato conferma che l’inserimento di linee inter-bacino all’interno di un bacino ben strutturato, come quello del Bacino </w:t>
      </w:r>
      <w:r>
        <w:rPr>
          <w:rFonts w:ascii="Calibri" w:eastAsia="Calibri" w:hAnsi="Calibri" w:cs="Arial"/>
        </w:rPr>
        <w:t>Sud Est</w:t>
      </w:r>
      <w:r w:rsidRPr="00AD01C5">
        <w:rPr>
          <w:rFonts w:ascii="Calibri" w:eastAsia="Calibri" w:hAnsi="Calibri" w:cs="Arial"/>
        </w:rPr>
        <w:t xml:space="preserve">, non solo è fattibile dal punto di vista trasportistico, ma </w:t>
      </w:r>
      <w:r w:rsidRPr="00AD01C5">
        <w:rPr>
          <w:rFonts w:ascii="Calibri" w:eastAsia="Calibri" w:hAnsi="Calibri" w:cs="Arial"/>
        </w:rPr>
        <w:lastRenderedPageBreak/>
        <w:t>rappresenta anche una scelta strategica per massimizzare l’efficienza operativa e ridurre i costi standard di esercizio.</w:t>
      </w:r>
    </w:p>
    <w:p w14:paraId="4A9AB74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Di seguito è riportato l’elenco delle linee inserite all’interno dei servizi del Bacino </w:t>
      </w:r>
      <w:r>
        <w:rPr>
          <w:rFonts w:ascii="Calibri" w:eastAsia="Calibri" w:hAnsi="Calibri" w:cs="Arial"/>
        </w:rPr>
        <w:t>Sud Est</w:t>
      </w:r>
      <w:r w:rsidRPr="00AD01C5">
        <w:rPr>
          <w:rFonts w:ascii="Calibri" w:eastAsia="Calibri" w:hAnsi="Calibri" w:cs="Arial"/>
        </w:rPr>
        <w:t xml:space="preserve"> e il relativo deposito di assegnazione.</w:t>
      </w:r>
    </w:p>
    <w:p w14:paraId="2C758CE3" w14:textId="77777777" w:rsidR="00162229" w:rsidRDefault="00162229" w:rsidP="00162229">
      <w:pPr>
        <w:spacing w:before="120" w:after="0" w:line="240" w:lineRule="auto"/>
        <w:rPr>
          <w:rFonts w:ascii="Calibri" w:eastAsia="Calibri" w:hAnsi="Calibri" w:cs="Arial"/>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28"/>
        <w:gridCol w:w="1558"/>
        <w:gridCol w:w="1133"/>
        <w:gridCol w:w="3762"/>
        <w:gridCol w:w="1479"/>
      </w:tblGrid>
      <w:tr w:rsidR="00162229" w:rsidRPr="00AD01C5" w14:paraId="42F691F5" w14:textId="77777777" w:rsidTr="00AC598A">
        <w:trPr>
          <w:trHeight w:val="576"/>
          <w:jc w:val="center"/>
        </w:trPr>
        <w:tc>
          <w:tcPr>
            <w:tcW w:w="623" w:type="pct"/>
            <w:shd w:val="clear" w:color="auto" w:fill="A5C34C" w:themeFill="accent6" w:themeFillShade="BF"/>
            <w:vAlign w:val="center"/>
          </w:tcPr>
          <w:p w14:paraId="34AAAA7F" w14:textId="77777777" w:rsidR="00162229" w:rsidRPr="00AD01C5" w:rsidRDefault="00162229" w:rsidP="002A21C0">
            <w:pPr>
              <w:spacing w:after="0" w:line="240" w:lineRule="auto"/>
              <w:jc w:val="center"/>
              <w:rPr>
                <w:rFonts w:ascii="Calibri" w:eastAsia="Times New Roman" w:hAnsi="Calibri" w:cs="Calibri"/>
                <w:b/>
                <w:bCs/>
                <w:color w:val="000000"/>
                <w:lang w:eastAsia="en-GB"/>
              </w:rPr>
            </w:pPr>
            <w:r w:rsidRPr="00AD01C5">
              <w:rPr>
                <w:rFonts w:ascii="Calibri" w:eastAsia="Times New Roman" w:hAnsi="Calibri" w:cs="Calibri"/>
                <w:b/>
                <w:bCs/>
                <w:color w:val="000000"/>
                <w:lang w:eastAsia="en-GB"/>
              </w:rPr>
              <w:t>Codice Deposito</w:t>
            </w:r>
          </w:p>
        </w:tc>
        <w:tc>
          <w:tcPr>
            <w:tcW w:w="860" w:type="pct"/>
            <w:shd w:val="clear" w:color="auto" w:fill="A5C34C" w:themeFill="accent6" w:themeFillShade="BF"/>
            <w:vAlign w:val="center"/>
          </w:tcPr>
          <w:p w14:paraId="125B8F4C" w14:textId="77777777" w:rsidR="00162229" w:rsidRPr="00AD01C5" w:rsidRDefault="00162229" w:rsidP="002A21C0">
            <w:pPr>
              <w:spacing w:after="0" w:line="240" w:lineRule="auto"/>
              <w:jc w:val="center"/>
              <w:rPr>
                <w:rFonts w:ascii="Calibri" w:eastAsia="Times New Roman" w:hAnsi="Calibri" w:cs="Calibri"/>
                <w:b/>
                <w:bCs/>
                <w:color w:val="000000"/>
                <w:lang w:eastAsia="en-GB"/>
              </w:rPr>
            </w:pPr>
            <w:r w:rsidRPr="00AD01C5">
              <w:rPr>
                <w:rFonts w:ascii="Calibri" w:eastAsia="Times New Roman" w:hAnsi="Calibri" w:cs="Calibri"/>
                <w:b/>
                <w:bCs/>
                <w:color w:val="000000"/>
                <w:lang w:eastAsia="en-GB"/>
              </w:rPr>
              <w:t>Localizzazione</w:t>
            </w:r>
          </w:p>
        </w:tc>
        <w:tc>
          <w:tcPr>
            <w:tcW w:w="625" w:type="pct"/>
            <w:shd w:val="clear" w:color="auto" w:fill="A5C34C" w:themeFill="accent6" w:themeFillShade="BF"/>
            <w:noWrap/>
            <w:vAlign w:val="center"/>
            <w:hideMark/>
          </w:tcPr>
          <w:p w14:paraId="5D95232F" w14:textId="77777777" w:rsidR="00162229" w:rsidRPr="00AD01C5" w:rsidRDefault="00162229" w:rsidP="002A21C0">
            <w:pPr>
              <w:spacing w:after="0" w:line="240" w:lineRule="auto"/>
              <w:jc w:val="center"/>
              <w:rPr>
                <w:rFonts w:ascii="Calibri" w:eastAsia="Times New Roman" w:hAnsi="Calibri" w:cs="Calibri"/>
                <w:b/>
                <w:bCs/>
                <w:color w:val="000000"/>
                <w:lang w:eastAsia="en-GB"/>
              </w:rPr>
            </w:pPr>
            <w:r w:rsidRPr="00AD01C5">
              <w:rPr>
                <w:rFonts w:ascii="Calibri" w:eastAsia="Times New Roman" w:hAnsi="Calibri" w:cs="Calibri"/>
                <w:b/>
                <w:bCs/>
                <w:color w:val="000000"/>
                <w:lang w:eastAsia="en-GB"/>
              </w:rPr>
              <w:t>Codice Linee</w:t>
            </w:r>
          </w:p>
        </w:tc>
        <w:tc>
          <w:tcPr>
            <w:tcW w:w="2076" w:type="pct"/>
            <w:shd w:val="clear" w:color="auto" w:fill="A5C34C" w:themeFill="accent6" w:themeFillShade="BF"/>
            <w:noWrap/>
            <w:vAlign w:val="center"/>
            <w:hideMark/>
          </w:tcPr>
          <w:p w14:paraId="3D73B457" w14:textId="77777777" w:rsidR="00162229" w:rsidRPr="00AD01C5" w:rsidRDefault="00162229" w:rsidP="002A21C0">
            <w:pPr>
              <w:spacing w:after="0" w:line="240" w:lineRule="auto"/>
              <w:jc w:val="center"/>
              <w:rPr>
                <w:rFonts w:ascii="Calibri" w:eastAsia="Times New Roman" w:hAnsi="Calibri" w:cs="Calibri"/>
                <w:b/>
                <w:bCs/>
                <w:color w:val="000000"/>
                <w:lang w:eastAsia="en-GB"/>
              </w:rPr>
            </w:pPr>
            <w:r w:rsidRPr="00AD01C5">
              <w:rPr>
                <w:rFonts w:ascii="Calibri" w:eastAsia="Times New Roman" w:hAnsi="Calibri" w:cs="Calibri"/>
                <w:b/>
                <w:bCs/>
                <w:color w:val="000000"/>
                <w:lang w:eastAsia="en-GB"/>
              </w:rPr>
              <w:t>Descrizione linea</w:t>
            </w:r>
          </w:p>
        </w:tc>
        <w:tc>
          <w:tcPr>
            <w:tcW w:w="816" w:type="pct"/>
            <w:shd w:val="clear" w:color="auto" w:fill="A5C34C"/>
            <w:noWrap/>
            <w:vAlign w:val="center"/>
            <w:hideMark/>
          </w:tcPr>
          <w:p w14:paraId="1ADA4786" w14:textId="77777777" w:rsidR="00162229" w:rsidRPr="00AD01C5" w:rsidRDefault="00162229" w:rsidP="002A21C0">
            <w:pPr>
              <w:spacing w:after="0" w:line="240" w:lineRule="auto"/>
              <w:jc w:val="center"/>
              <w:rPr>
                <w:rFonts w:ascii="Calibri" w:eastAsia="Times New Roman" w:hAnsi="Calibri" w:cs="Calibri"/>
                <w:b/>
                <w:bCs/>
                <w:color w:val="000000"/>
                <w:lang w:eastAsia="en-GB"/>
              </w:rPr>
            </w:pPr>
            <w:r w:rsidRPr="00AD01C5">
              <w:rPr>
                <w:rFonts w:ascii="Calibri" w:eastAsia="Times New Roman" w:hAnsi="Calibri" w:cs="Calibri"/>
                <w:b/>
                <w:bCs/>
                <w:color w:val="000000"/>
                <w:lang w:eastAsia="en-GB"/>
              </w:rPr>
              <w:t>km/anno  PEA</w:t>
            </w:r>
          </w:p>
        </w:tc>
      </w:tr>
      <w:tr w:rsidR="00162229" w:rsidRPr="00AD01C5" w14:paraId="2FF3E4AF" w14:textId="77777777" w:rsidTr="002A21C0">
        <w:trPr>
          <w:trHeight w:val="288"/>
          <w:jc w:val="center"/>
        </w:trPr>
        <w:tc>
          <w:tcPr>
            <w:tcW w:w="623" w:type="pct"/>
            <w:shd w:val="clear" w:color="auto" w:fill="C8DA91"/>
          </w:tcPr>
          <w:p w14:paraId="084A3947"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SE_007</w:t>
            </w:r>
          </w:p>
        </w:tc>
        <w:tc>
          <w:tcPr>
            <w:tcW w:w="860" w:type="pct"/>
          </w:tcPr>
          <w:p w14:paraId="22840108"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Villanova d'Asti</w:t>
            </w:r>
          </w:p>
        </w:tc>
        <w:tc>
          <w:tcPr>
            <w:tcW w:w="625" w:type="pct"/>
            <w:noWrap/>
            <w:vAlign w:val="center"/>
          </w:tcPr>
          <w:p w14:paraId="3D285823"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170</w:t>
            </w:r>
          </w:p>
        </w:tc>
        <w:tc>
          <w:tcPr>
            <w:tcW w:w="2076" w:type="pct"/>
            <w:noWrap/>
            <w:vAlign w:val="center"/>
          </w:tcPr>
          <w:p w14:paraId="4FCA1473"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Montechiaro - Chieri - Torino</w:t>
            </w:r>
          </w:p>
        </w:tc>
        <w:tc>
          <w:tcPr>
            <w:tcW w:w="816" w:type="pct"/>
            <w:noWrap/>
            <w:vAlign w:val="center"/>
          </w:tcPr>
          <w:p w14:paraId="167F6289"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323.566 </w:t>
            </w:r>
          </w:p>
        </w:tc>
      </w:tr>
      <w:tr w:rsidR="00162229" w:rsidRPr="00AD01C5" w14:paraId="0053AB38" w14:textId="77777777" w:rsidTr="002A21C0">
        <w:trPr>
          <w:trHeight w:val="288"/>
          <w:jc w:val="center"/>
        </w:trPr>
        <w:tc>
          <w:tcPr>
            <w:tcW w:w="623" w:type="pct"/>
            <w:shd w:val="clear" w:color="auto" w:fill="C8DA91"/>
          </w:tcPr>
          <w:p w14:paraId="3A98C8EB"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SE_007</w:t>
            </w:r>
          </w:p>
        </w:tc>
        <w:tc>
          <w:tcPr>
            <w:tcW w:w="860" w:type="pct"/>
          </w:tcPr>
          <w:p w14:paraId="1260B3D2"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Villanova d'Asti</w:t>
            </w:r>
          </w:p>
        </w:tc>
        <w:tc>
          <w:tcPr>
            <w:tcW w:w="625" w:type="pct"/>
            <w:noWrap/>
            <w:vAlign w:val="center"/>
          </w:tcPr>
          <w:p w14:paraId="22DF279A"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171</w:t>
            </w:r>
          </w:p>
        </w:tc>
        <w:tc>
          <w:tcPr>
            <w:tcW w:w="2076" w:type="pct"/>
            <w:noWrap/>
            <w:vAlign w:val="center"/>
          </w:tcPr>
          <w:p w14:paraId="65FF0E24"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Albugnano - Chieri</w:t>
            </w:r>
          </w:p>
        </w:tc>
        <w:tc>
          <w:tcPr>
            <w:tcW w:w="816" w:type="pct"/>
            <w:noWrap/>
            <w:vAlign w:val="center"/>
          </w:tcPr>
          <w:p w14:paraId="04CE7B0F"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14.090 </w:t>
            </w:r>
          </w:p>
        </w:tc>
      </w:tr>
      <w:tr w:rsidR="00162229" w:rsidRPr="00AD01C5" w14:paraId="3AF8A279" w14:textId="77777777" w:rsidTr="002A21C0">
        <w:trPr>
          <w:trHeight w:val="288"/>
          <w:jc w:val="center"/>
        </w:trPr>
        <w:tc>
          <w:tcPr>
            <w:tcW w:w="623" w:type="pct"/>
            <w:shd w:val="clear" w:color="auto" w:fill="C8DA91"/>
          </w:tcPr>
          <w:p w14:paraId="24DC42BC"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SE_007</w:t>
            </w:r>
          </w:p>
        </w:tc>
        <w:tc>
          <w:tcPr>
            <w:tcW w:w="860" w:type="pct"/>
          </w:tcPr>
          <w:p w14:paraId="30F8F367"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Villanova d'Asti</w:t>
            </w:r>
          </w:p>
        </w:tc>
        <w:tc>
          <w:tcPr>
            <w:tcW w:w="625" w:type="pct"/>
            <w:noWrap/>
            <w:vAlign w:val="center"/>
          </w:tcPr>
          <w:p w14:paraId="599E74C2"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232</w:t>
            </w:r>
          </w:p>
        </w:tc>
        <w:tc>
          <w:tcPr>
            <w:tcW w:w="2076" w:type="pct"/>
            <w:noWrap/>
            <w:vAlign w:val="center"/>
          </w:tcPr>
          <w:p w14:paraId="2EF2151D"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Cocconato - Chivasso F.S. - Torino</w:t>
            </w:r>
          </w:p>
        </w:tc>
        <w:tc>
          <w:tcPr>
            <w:tcW w:w="816" w:type="pct"/>
            <w:noWrap/>
            <w:vAlign w:val="center"/>
          </w:tcPr>
          <w:p w14:paraId="1820BCD3"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108.002 </w:t>
            </w:r>
          </w:p>
        </w:tc>
      </w:tr>
      <w:tr w:rsidR="00162229" w:rsidRPr="00AD01C5" w14:paraId="47BA22A1" w14:textId="77777777" w:rsidTr="002A21C0">
        <w:trPr>
          <w:trHeight w:val="288"/>
          <w:jc w:val="center"/>
        </w:trPr>
        <w:tc>
          <w:tcPr>
            <w:tcW w:w="623" w:type="pct"/>
            <w:shd w:val="clear" w:color="auto" w:fill="C8DA91"/>
          </w:tcPr>
          <w:p w14:paraId="6F7DE228"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SE_002</w:t>
            </w:r>
          </w:p>
        </w:tc>
        <w:tc>
          <w:tcPr>
            <w:tcW w:w="860" w:type="pct"/>
          </w:tcPr>
          <w:p w14:paraId="4B5A0F71"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Casale Monferrato</w:t>
            </w:r>
          </w:p>
        </w:tc>
        <w:tc>
          <w:tcPr>
            <w:tcW w:w="625" w:type="pct"/>
            <w:noWrap/>
            <w:vAlign w:val="center"/>
          </w:tcPr>
          <w:p w14:paraId="590F4614"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54</w:t>
            </w:r>
          </w:p>
        </w:tc>
        <w:tc>
          <w:tcPr>
            <w:tcW w:w="2076" w:type="pct"/>
            <w:noWrap/>
            <w:vAlign w:val="center"/>
          </w:tcPr>
          <w:p w14:paraId="3A0059EA"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Vercelli F.S. - Casale Monferrato F.S.</w:t>
            </w:r>
          </w:p>
        </w:tc>
        <w:tc>
          <w:tcPr>
            <w:tcW w:w="816" w:type="pct"/>
            <w:noWrap/>
            <w:vAlign w:val="center"/>
          </w:tcPr>
          <w:p w14:paraId="3A862805"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172.780 </w:t>
            </w:r>
          </w:p>
        </w:tc>
      </w:tr>
      <w:tr w:rsidR="00162229" w:rsidRPr="00AD01C5" w14:paraId="04AE93AA" w14:textId="77777777" w:rsidTr="002A21C0">
        <w:trPr>
          <w:trHeight w:val="288"/>
          <w:jc w:val="center"/>
        </w:trPr>
        <w:tc>
          <w:tcPr>
            <w:tcW w:w="623" w:type="pct"/>
            <w:shd w:val="clear" w:color="auto" w:fill="C8DA91"/>
          </w:tcPr>
          <w:p w14:paraId="4ACF5A06"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SE_002</w:t>
            </w:r>
          </w:p>
        </w:tc>
        <w:tc>
          <w:tcPr>
            <w:tcW w:w="860" w:type="pct"/>
          </w:tcPr>
          <w:p w14:paraId="0FBD625D"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Casale Monferrato</w:t>
            </w:r>
          </w:p>
        </w:tc>
        <w:tc>
          <w:tcPr>
            <w:tcW w:w="625" w:type="pct"/>
            <w:noWrap/>
            <w:vAlign w:val="center"/>
          </w:tcPr>
          <w:p w14:paraId="6F733684"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802</w:t>
            </w:r>
          </w:p>
        </w:tc>
        <w:tc>
          <w:tcPr>
            <w:tcW w:w="2076" w:type="pct"/>
            <w:noWrap/>
            <w:vAlign w:val="center"/>
          </w:tcPr>
          <w:p w14:paraId="31FF50A7"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Vercelli - Stroppiana - Casale Monferrato</w:t>
            </w:r>
          </w:p>
        </w:tc>
        <w:tc>
          <w:tcPr>
            <w:tcW w:w="816" w:type="pct"/>
            <w:noWrap/>
            <w:vAlign w:val="center"/>
          </w:tcPr>
          <w:p w14:paraId="2AC5E352"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164.515 </w:t>
            </w:r>
          </w:p>
        </w:tc>
      </w:tr>
      <w:tr w:rsidR="00162229" w:rsidRPr="00AD01C5" w14:paraId="699E239A" w14:textId="77777777" w:rsidTr="002A21C0">
        <w:trPr>
          <w:trHeight w:val="288"/>
          <w:jc w:val="center"/>
        </w:trPr>
        <w:tc>
          <w:tcPr>
            <w:tcW w:w="623" w:type="pct"/>
            <w:shd w:val="clear" w:color="auto" w:fill="C8DA91"/>
          </w:tcPr>
          <w:p w14:paraId="38639030" w14:textId="77777777" w:rsidR="00162229" w:rsidRPr="00AD01C5" w:rsidRDefault="00162229" w:rsidP="002A21C0">
            <w:pPr>
              <w:spacing w:after="0" w:line="240" w:lineRule="auto"/>
              <w:jc w:val="center"/>
              <w:rPr>
                <w:rFonts w:ascii="Calibri" w:eastAsia="Times New Roman" w:hAnsi="Calibri" w:cs="Calibri"/>
                <w:i/>
                <w:iCs/>
                <w:color w:val="000000"/>
                <w:lang w:eastAsia="en-GB"/>
              </w:rPr>
            </w:pPr>
            <w:r w:rsidRPr="00AD01C5">
              <w:rPr>
                <w:rFonts w:ascii="Calibri" w:eastAsia="Times New Roman" w:hAnsi="Calibri" w:cs="Calibri"/>
                <w:i/>
                <w:iCs/>
                <w:color w:val="000000"/>
                <w:lang w:eastAsia="en-GB"/>
              </w:rPr>
              <w:t>SE_002</w:t>
            </w:r>
          </w:p>
        </w:tc>
        <w:tc>
          <w:tcPr>
            <w:tcW w:w="860" w:type="pct"/>
          </w:tcPr>
          <w:p w14:paraId="5E9F5A73"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Times New Roman" w:hAnsi="Calibri" w:cs="Calibri"/>
                <w:lang w:eastAsia="en-GB"/>
              </w:rPr>
              <w:t>Casale Monferrato</w:t>
            </w:r>
          </w:p>
        </w:tc>
        <w:tc>
          <w:tcPr>
            <w:tcW w:w="625" w:type="pct"/>
            <w:noWrap/>
            <w:vAlign w:val="center"/>
          </w:tcPr>
          <w:p w14:paraId="225DE5E4" w14:textId="77777777" w:rsidR="00162229" w:rsidRPr="00AD01C5" w:rsidRDefault="00162229" w:rsidP="002A21C0">
            <w:pPr>
              <w:spacing w:after="0" w:line="240" w:lineRule="auto"/>
              <w:jc w:val="center"/>
              <w:rPr>
                <w:rFonts w:ascii="Calibri" w:eastAsia="Times New Roman" w:hAnsi="Calibri" w:cs="Calibri"/>
                <w:lang w:eastAsia="en-GB"/>
              </w:rPr>
            </w:pPr>
            <w:r w:rsidRPr="00AD01C5">
              <w:rPr>
                <w:rFonts w:ascii="Calibri" w:eastAsia="Calibri" w:hAnsi="Calibri" w:cs="Arial"/>
              </w:rPr>
              <w:t>804</w:t>
            </w:r>
          </w:p>
        </w:tc>
        <w:tc>
          <w:tcPr>
            <w:tcW w:w="2076" w:type="pct"/>
            <w:noWrap/>
            <w:vAlign w:val="center"/>
          </w:tcPr>
          <w:p w14:paraId="074915D4" w14:textId="77777777" w:rsidR="00162229" w:rsidRPr="00AD01C5" w:rsidRDefault="00162229" w:rsidP="002A21C0">
            <w:pPr>
              <w:spacing w:after="0" w:line="240" w:lineRule="auto"/>
              <w:jc w:val="left"/>
              <w:rPr>
                <w:rFonts w:ascii="Calibri" w:eastAsia="Times New Roman" w:hAnsi="Calibri" w:cs="Calibri"/>
                <w:lang w:eastAsia="en-GB"/>
              </w:rPr>
            </w:pPr>
            <w:r w:rsidRPr="00AD01C5">
              <w:rPr>
                <w:rFonts w:ascii="Calibri" w:eastAsia="Calibri" w:hAnsi="Calibri" w:cs="Arial"/>
              </w:rPr>
              <w:t>Casale Monferrato - Torino</w:t>
            </w:r>
          </w:p>
        </w:tc>
        <w:tc>
          <w:tcPr>
            <w:tcW w:w="816" w:type="pct"/>
            <w:noWrap/>
            <w:vAlign w:val="center"/>
          </w:tcPr>
          <w:p w14:paraId="19D709C2" w14:textId="77777777" w:rsidR="00162229" w:rsidRPr="00AD01C5" w:rsidRDefault="00162229" w:rsidP="002A21C0">
            <w:pPr>
              <w:spacing w:after="0" w:line="240" w:lineRule="auto"/>
              <w:jc w:val="right"/>
              <w:rPr>
                <w:rFonts w:ascii="Calibri" w:eastAsia="Times New Roman" w:hAnsi="Calibri" w:cs="Calibri"/>
                <w:lang w:eastAsia="en-GB"/>
              </w:rPr>
            </w:pPr>
            <w:r w:rsidRPr="00AD01C5">
              <w:rPr>
                <w:rFonts w:ascii="Calibri" w:eastAsia="Calibri" w:hAnsi="Calibri" w:cs="Arial"/>
              </w:rPr>
              <w:t xml:space="preserve"> 365.988 </w:t>
            </w:r>
          </w:p>
        </w:tc>
      </w:tr>
      <w:tr w:rsidR="00162229" w:rsidRPr="00AD01C5" w14:paraId="1301253B" w14:textId="77777777" w:rsidTr="002A21C0">
        <w:trPr>
          <w:trHeight w:val="288"/>
          <w:jc w:val="center"/>
        </w:trPr>
        <w:tc>
          <w:tcPr>
            <w:tcW w:w="4184" w:type="pct"/>
            <w:gridSpan w:val="4"/>
            <w:tcBorders>
              <w:top w:val="double" w:sz="4" w:space="0" w:color="A6A6A6"/>
            </w:tcBorders>
          </w:tcPr>
          <w:p w14:paraId="72C8B9C3" w14:textId="77777777" w:rsidR="00162229" w:rsidRPr="00AD01C5" w:rsidRDefault="00162229" w:rsidP="002A21C0">
            <w:pPr>
              <w:spacing w:after="0" w:line="240" w:lineRule="auto"/>
              <w:jc w:val="left"/>
              <w:rPr>
                <w:rFonts w:ascii="Calibri" w:eastAsia="Times New Roman" w:hAnsi="Calibri" w:cs="Calibri"/>
                <w:b/>
                <w:bCs/>
                <w:i/>
                <w:iCs/>
                <w:lang w:eastAsia="en-GB"/>
              </w:rPr>
            </w:pPr>
            <w:r w:rsidRPr="00AD01C5">
              <w:rPr>
                <w:rFonts w:ascii="Calibri" w:eastAsia="Times New Roman" w:hAnsi="Calibri" w:cs="Calibri"/>
                <w:b/>
                <w:bCs/>
                <w:i/>
                <w:iCs/>
                <w:lang w:eastAsia="en-GB"/>
              </w:rPr>
              <w:t>Totale produzione</w:t>
            </w:r>
          </w:p>
        </w:tc>
        <w:tc>
          <w:tcPr>
            <w:tcW w:w="816" w:type="pct"/>
            <w:tcBorders>
              <w:top w:val="double" w:sz="4" w:space="0" w:color="A6A6A6"/>
            </w:tcBorders>
            <w:noWrap/>
            <w:vAlign w:val="bottom"/>
            <w:hideMark/>
          </w:tcPr>
          <w:p w14:paraId="198B607C" w14:textId="77777777" w:rsidR="00162229" w:rsidRPr="00AD01C5" w:rsidRDefault="00162229" w:rsidP="002A21C0">
            <w:pPr>
              <w:spacing w:after="0" w:line="240" w:lineRule="auto"/>
              <w:jc w:val="right"/>
              <w:rPr>
                <w:rFonts w:ascii="Calibri" w:eastAsia="Times New Roman" w:hAnsi="Calibri" w:cs="Calibri"/>
                <w:b/>
                <w:bCs/>
                <w:color w:val="000000"/>
                <w:lang w:eastAsia="en-GB"/>
              </w:rPr>
            </w:pPr>
            <w:r>
              <w:rPr>
                <w:rFonts w:ascii="Calibri" w:eastAsia="Times New Roman" w:hAnsi="Calibri" w:cs="Calibri"/>
                <w:b/>
                <w:bCs/>
                <w:color w:val="000000"/>
                <w:lang w:eastAsia="en-GB"/>
              </w:rPr>
              <w:t>1.148.941</w:t>
            </w:r>
          </w:p>
        </w:tc>
      </w:tr>
    </w:tbl>
    <w:p w14:paraId="4B550F66" w14:textId="3E9F72AF" w:rsidR="00AA1AE6" w:rsidRDefault="00162229" w:rsidP="00AA1AE6">
      <w:pPr>
        <w:spacing w:after="200" w:line="240" w:lineRule="auto"/>
        <w:jc w:val="center"/>
        <w:rPr>
          <w:rFonts w:ascii="Calibri" w:eastAsia="Calibri" w:hAnsi="Calibri" w:cs="Arial"/>
          <w:i/>
          <w:color w:val="17406D"/>
          <w:sz w:val="18"/>
          <w:szCs w:val="18"/>
        </w:rPr>
      </w:pPr>
      <w:bookmarkStart w:id="383" w:name="_Ref204248331"/>
      <w:r w:rsidRPr="00AD01C5">
        <w:rPr>
          <w:rFonts w:ascii="Calibri" w:eastAsia="Calibri" w:hAnsi="Calibri" w:cs="Arial"/>
          <w:i/>
          <w:iCs/>
          <w:color w:val="17406D"/>
          <w:sz w:val="18"/>
          <w:szCs w:val="18"/>
        </w:rPr>
        <w:t xml:space="preserve">Tabella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Tabella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51</w:t>
      </w:r>
      <w:r w:rsidRPr="00AD01C5">
        <w:rPr>
          <w:rFonts w:ascii="Calibri" w:eastAsia="Calibri" w:hAnsi="Calibri" w:cs="Arial"/>
          <w:i/>
          <w:iCs/>
          <w:color w:val="17406D"/>
          <w:sz w:val="18"/>
          <w:szCs w:val="18"/>
        </w:rPr>
        <w:fldChar w:fldCharType="end"/>
      </w:r>
      <w:r w:rsidRPr="00AD01C5">
        <w:rPr>
          <w:rFonts w:ascii="Calibri" w:eastAsia="Calibri" w:hAnsi="Calibri" w:cs="Arial"/>
          <w:iCs/>
          <w:color w:val="17406D"/>
          <w:sz w:val="18"/>
          <w:szCs w:val="18"/>
        </w:rPr>
        <w:t xml:space="preserve"> – </w:t>
      </w:r>
      <w:r w:rsidRPr="00AD01C5">
        <w:rPr>
          <w:rFonts w:ascii="Calibri" w:eastAsia="Calibri" w:hAnsi="Calibri" w:cs="Arial"/>
          <w:i/>
          <w:color w:val="17406D"/>
          <w:sz w:val="18"/>
          <w:szCs w:val="18"/>
        </w:rPr>
        <w:t xml:space="preserve">Elenco linee integrate nel Bacino </w:t>
      </w:r>
      <w:bookmarkEnd w:id="383"/>
      <w:r>
        <w:rPr>
          <w:rFonts w:ascii="Calibri" w:eastAsia="Calibri" w:hAnsi="Calibri" w:cs="Arial"/>
          <w:i/>
          <w:color w:val="17406D"/>
          <w:sz w:val="18"/>
          <w:szCs w:val="18"/>
        </w:rPr>
        <w:t>Sud Est</w:t>
      </w:r>
    </w:p>
    <w:p w14:paraId="028818E6" w14:textId="7AC0A3B3" w:rsidR="00162229" w:rsidRPr="00AD01C5" w:rsidRDefault="00162229" w:rsidP="00AA1AE6">
      <w:pPr>
        <w:spacing w:after="200" w:line="240" w:lineRule="auto"/>
        <w:rPr>
          <w:rFonts w:ascii="Calibri" w:eastAsia="Calibri" w:hAnsi="Calibri" w:cs="Arial"/>
        </w:rPr>
      </w:pPr>
      <w:r w:rsidRPr="00AD01C5">
        <w:rPr>
          <w:rFonts w:ascii="Calibri" w:eastAsia="Calibri" w:hAnsi="Calibri" w:cs="Arial"/>
        </w:rPr>
        <w:t xml:space="preserve">L’incremento dei chilometri percorsi, stimato in circa </w:t>
      </w:r>
      <w:r>
        <w:rPr>
          <w:rFonts w:ascii="Calibri" w:eastAsia="Calibri" w:hAnsi="Calibri" w:cs="Arial"/>
        </w:rPr>
        <w:t>1,1</w:t>
      </w:r>
      <w:r w:rsidRPr="00AD01C5">
        <w:rPr>
          <w:rFonts w:ascii="Calibri" w:eastAsia="Calibri" w:hAnsi="Calibri" w:cs="Arial"/>
        </w:rPr>
        <w:t xml:space="preserve"> milioni di veicoli-km/anno, si aggiunge alla produzione attuale del Bacino Sud, par</w:t>
      </w:r>
      <w:r w:rsidRPr="00BF1223">
        <w:rPr>
          <w:rFonts w:ascii="Calibri" w:eastAsia="Calibri" w:hAnsi="Calibri" w:cs="Arial"/>
        </w:rPr>
        <w:t>i a 12,9</w:t>
      </w:r>
      <w:r>
        <w:rPr>
          <w:b/>
          <w:bCs/>
          <w:sz w:val="20"/>
          <w:szCs w:val="20"/>
        </w:rPr>
        <w:t xml:space="preserve"> </w:t>
      </w:r>
      <w:r w:rsidRPr="00AD01C5">
        <w:rPr>
          <w:rFonts w:ascii="Calibri" w:eastAsia="Calibri" w:hAnsi="Calibri" w:cs="Arial"/>
        </w:rPr>
        <w:t>milioni di veicoli-km/anno, portando la produzione complessiva del bacino a circa 1</w:t>
      </w:r>
      <w:r>
        <w:rPr>
          <w:rFonts w:ascii="Calibri" w:eastAsia="Calibri" w:hAnsi="Calibri" w:cs="Arial"/>
        </w:rPr>
        <w:t>4</w:t>
      </w:r>
      <w:r w:rsidRPr="00AD01C5">
        <w:rPr>
          <w:rFonts w:ascii="Calibri" w:eastAsia="Calibri" w:hAnsi="Calibri" w:cs="Arial"/>
        </w:rPr>
        <w:t xml:space="preserve"> milioni di veicoli-km/anno.</w:t>
      </w:r>
    </w:p>
    <w:p w14:paraId="3A2FED4C"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Il valore complessivo consente anche una riorganizzazione razionale per suddividere la produzione complessiva in </w:t>
      </w:r>
      <w:r>
        <w:rPr>
          <w:rFonts w:ascii="Calibri" w:eastAsia="Calibri" w:hAnsi="Calibri" w:cs="Arial"/>
        </w:rPr>
        <w:t>3</w:t>
      </w:r>
      <w:r w:rsidRPr="00AD01C5">
        <w:rPr>
          <w:rFonts w:ascii="Calibri" w:eastAsia="Calibri" w:hAnsi="Calibri" w:cs="Arial"/>
        </w:rPr>
        <w:t xml:space="preserve"> unità di rete, come meglio specificato nei paragrafi seguenti, di dimensioni equilibrate ciascuna pari a circa 4 milioni di veicoli-km/anno. Tale configurazione è notoriamente considerata ottimale dal punto di vista dei costi standard, garantendo una gestione più efficiente e sostenibile.</w:t>
      </w:r>
    </w:p>
    <w:p w14:paraId="5BAF49DD" w14:textId="77777777" w:rsidR="00162229" w:rsidRPr="00BF1223" w:rsidRDefault="00162229" w:rsidP="00162229">
      <w:pPr>
        <w:pStyle w:val="Titolo2"/>
        <w:ind w:left="567"/>
      </w:pPr>
      <w:bookmarkStart w:id="384" w:name="_Ref192237806"/>
      <w:bookmarkStart w:id="385" w:name="_Ref192237828"/>
      <w:bookmarkStart w:id="386" w:name="_Ref192237836"/>
      <w:bookmarkStart w:id="387" w:name="_Toc193195795"/>
      <w:bookmarkStart w:id="388" w:name="_Toc1910699228"/>
      <w:bookmarkStart w:id="389" w:name="_Ref193812689"/>
      <w:bookmarkStart w:id="390" w:name="_Ref193816193"/>
      <w:bookmarkStart w:id="391" w:name="_Toc197695723"/>
      <w:bookmarkStart w:id="392" w:name="_Ref204090195"/>
      <w:bookmarkStart w:id="393" w:name="_Toc204328763"/>
      <w:bookmarkStart w:id="394" w:name="_Toc205213763"/>
      <w:r w:rsidRPr="00BF1223">
        <w:t>Valutazioni economiche per la suddivisione dei lotti</w:t>
      </w:r>
      <w:bookmarkEnd w:id="384"/>
      <w:bookmarkEnd w:id="385"/>
      <w:bookmarkEnd w:id="386"/>
      <w:bookmarkEnd w:id="387"/>
      <w:bookmarkEnd w:id="388"/>
      <w:bookmarkEnd w:id="389"/>
      <w:bookmarkEnd w:id="390"/>
      <w:bookmarkEnd w:id="391"/>
      <w:bookmarkEnd w:id="392"/>
      <w:bookmarkEnd w:id="393"/>
      <w:bookmarkEnd w:id="394"/>
    </w:p>
    <w:p w14:paraId="6EB1782D"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Si è provveduto a definire i costi standard sulla base del metodo della regressione lineare specificato per i servizi con autolinea di cui al punto 1 dell’art. 6 del Decreto del MIT n° 157/2018 così definito:</w:t>
      </w:r>
    </w:p>
    <w:p w14:paraId="295C4ED6" w14:textId="77777777" w:rsidR="00162229" w:rsidRPr="00AD01C5" w:rsidRDefault="00162229" w:rsidP="00162229">
      <w:pPr>
        <w:spacing w:before="120" w:after="0" w:line="240" w:lineRule="auto"/>
        <w:rPr>
          <w:rFonts w:ascii="Calibri" w:eastAsia="Calibri" w:hAnsi="Calibri" w:cs="Arial"/>
        </w:rPr>
      </w:pPr>
    </w:p>
    <w:p w14:paraId="55491E37"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 xml:space="preserve">Costo standard unitario (€/bus-km) = </w:t>
      </w:r>
    </w:p>
    <w:p w14:paraId="7118FFD7"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+14,07855</w:t>
      </w:r>
    </w:p>
    <w:p w14:paraId="671BCF78"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-0,59230 x velocità commerciale</w:t>
      </w:r>
    </w:p>
    <w:p w14:paraId="30F30BE1"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+0,50837 x V1 x (velocità commerciale- 17)</w:t>
      </w:r>
    </w:p>
    <w:p w14:paraId="771B960B"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+0,06827 x V2 x (velocità commerciale- 32)</w:t>
      </w:r>
    </w:p>
    <w:p w14:paraId="785825FE"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-0,18583 x K1 x quantità bus-km di servizio</w:t>
      </w:r>
    </w:p>
    <w:p w14:paraId="68B6872B"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+0,01559 x K2 x quantità bus-km di servizio</w:t>
      </w:r>
    </w:p>
    <w:p w14:paraId="3D6C6D3D" w14:textId="77777777" w:rsidR="00162229" w:rsidRPr="00AD01C5" w:rsidRDefault="00162229" w:rsidP="00162229">
      <w:pPr>
        <w:pBdr>
          <w:top w:val="single" w:sz="8" w:space="8" w:color="50B4C8"/>
          <w:bottom w:val="single" w:sz="8" w:space="8" w:color="50B4C8"/>
        </w:pBdr>
        <w:spacing w:after="0" w:line="240" w:lineRule="auto"/>
        <w:ind w:left="284"/>
        <w:rPr>
          <w:rFonts w:ascii="Calibri" w:eastAsia="Times New Roman" w:hAnsi="Calibri" w:cs="Calibri"/>
          <w:color w:val="50B4C8"/>
          <w:szCs w:val="20"/>
          <w:shd w:val="clear" w:color="auto" w:fill="FFFFFF"/>
        </w:rPr>
      </w:pPr>
      <w:r w:rsidRPr="00AD01C5">
        <w:rPr>
          <w:rFonts w:ascii="Calibri" w:eastAsia="Times New Roman" w:hAnsi="Calibri" w:cs="Calibri"/>
          <w:color w:val="50B4C8"/>
          <w:szCs w:val="20"/>
          <w:shd w:val="clear" w:color="auto" w:fill="FFFFFF"/>
        </w:rPr>
        <w:t>+1,46083 x ammodernamento del materiale rotabile per bus-km di servizio</w:t>
      </w:r>
    </w:p>
    <w:p w14:paraId="03A7973A" w14:textId="77777777"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rPr>
        <w:t xml:space="preserve">Si evince che il costo standard per i servizi su autolinea variano in funzione della </w:t>
      </w:r>
      <w:r w:rsidRPr="00AD01C5">
        <w:rPr>
          <w:rFonts w:ascii="Calibri" w:eastAsia="Calibri" w:hAnsi="Calibri" w:cs="Times New Roman"/>
          <w:b/>
        </w:rPr>
        <w:t>velocità commerciale media</w:t>
      </w:r>
      <w:r w:rsidRPr="00AD01C5">
        <w:rPr>
          <w:rFonts w:ascii="Calibri" w:eastAsia="Calibri" w:hAnsi="Calibri" w:cs="Times New Roman"/>
        </w:rPr>
        <w:t xml:space="preserve"> e della </w:t>
      </w:r>
      <w:r w:rsidRPr="00AD01C5">
        <w:rPr>
          <w:rFonts w:ascii="Calibri" w:eastAsia="Calibri" w:hAnsi="Calibri" w:cs="Times New Roman"/>
          <w:b/>
        </w:rPr>
        <w:t>dimensione della produzione chilometrica annua</w:t>
      </w:r>
      <w:r w:rsidRPr="00AD01C5">
        <w:rPr>
          <w:rFonts w:ascii="Calibri" w:eastAsia="Calibri" w:hAnsi="Calibri" w:cs="Times New Roman"/>
        </w:rPr>
        <w:t xml:space="preserve"> dei servizi considerati.</w:t>
      </w:r>
    </w:p>
    <w:p w14:paraId="4F614C49" w14:textId="5F078B74"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color w:val="000000"/>
        </w:rPr>
        <w:lastRenderedPageBreak/>
        <w:t xml:space="preserve">L’andamento del costo standard, esclusa la componente relativa agli ammortamenti, in </w:t>
      </w:r>
      <w:r w:rsidRPr="00AD01C5">
        <w:rPr>
          <w:rFonts w:ascii="Calibri" w:eastAsia="Calibri" w:hAnsi="Calibri" w:cs="Times New Roman"/>
        </w:rPr>
        <w:t xml:space="preserve">funzione della velocità commerciale media e della dimensione della produzione chilometrica annua è riportato nel diagramma di </w:t>
      </w:r>
      <w:r w:rsidRPr="00AD01C5">
        <w:rPr>
          <w:rFonts w:ascii="Calibri" w:eastAsia="Calibri" w:hAnsi="Calibri" w:cs="Times New Roman"/>
        </w:rPr>
        <w:fldChar w:fldCharType="begin"/>
      </w:r>
      <w:r w:rsidRPr="00AD01C5">
        <w:rPr>
          <w:rFonts w:ascii="Calibri" w:eastAsia="Calibri" w:hAnsi="Calibri" w:cs="Times New Roman"/>
        </w:rPr>
        <w:instrText xml:space="preserve"> REF _Ref93409714 \h  \* MERGEFORMAT </w:instrText>
      </w:r>
      <w:r w:rsidRPr="00AD01C5">
        <w:rPr>
          <w:rFonts w:ascii="Calibri" w:eastAsia="Calibri" w:hAnsi="Calibri" w:cs="Times New Roman"/>
        </w:rPr>
      </w:r>
      <w:r w:rsidRPr="00AD01C5">
        <w:rPr>
          <w:rFonts w:ascii="Calibri" w:eastAsia="Calibri" w:hAnsi="Calibri" w:cs="Times New Roman"/>
        </w:rPr>
        <w:fldChar w:fldCharType="separate"/>
      </w:r>
      <w:r w:rsidR="00670903" w:rsidRPr="00670903">
        <w:rPr>
          <w:rFonts w:ascii="Calibri" w:eastAsia="Calibri" w:hAnsi="Calibri" w:cs="Arial"/>
          <w:i/>
        </w:rPr>
        <w:t>Figura</w:t>
      </w:r>
      <w:r w:rsidR="00670903" w:rsidRPr="00670903">
        <w:rPr>
          <w:rFonts w:ascii="Calibri" w:eastAsia="Calibri" w:hAnsi="Calibri" w:cs="Arial"/>
        </w:rPr>
        <w:t xml:space="preserve"> 28</w:t>
      </w:r>
      <w:r w:rsidRPr="00AD01C5">
        <w:rPr>
          <w:rFonts w:ascii="Calibri" w:eastAsia="Calibri" w:hAnsi="Calibri" w:cs="Times New Roman"/>
        </w:rPr>
        <w:fldChar w:fldCharType="end"/>
      </w:r>
      <w:r w:rsidRPr="00AD01C5">
        <w:rPr>
          <w:rFonts w:ascii="Calibri" w:eastAsia="Calibri" w:hAnsi="Calibri" w:cs="Times New Roman"/>
        </w:rPr>
        <w:t>.</w:t>
      </w:r>
    </w:p>
    <w:p w14:paraId="62B8598B" w14:textId="77777777" w:rsidR="00162229" w:rsidRPr="00AD01C5" w:rsidRDefault="00162229" w:rsidP="00162229">
      <w:pPr>
        <w:spacing w:before="120" w:after="0" w:line="240" w:lineRule="auto"/>
        <w:jc w:val="center"/>
        <w:rPr>
          <w:rFonts w:ascii="Calibri" w:eastAsia="Calibri" w:hAnsi="Calibri" w:cs="Arial"/>
        </w:rPr>
      </w:pPr>
      <w:r w:rsidRPr="00AD01C5">
        <w:rPr>
          <w:rFonts w:ascii="Calibri" w:eastAsia="Calibri" w:hAnsi="Calibri" w:cs="Times New Roman"/>
          <w:noProof/>
        </w:rPr>
        <w:drawing>
          <wp:inline distT="0" distB="0" distL="0" distR="0" wp14:anchorId="1729103A" wp14:editId="1D603B38">
            <wp:extent cx="5670468" cy="3699189"/>
            <wp:effectExtent l="0" t="0" r="6985" b="0"/>
            <wp:docPr id="68" name="Immagine 68" descr="Immagine che contiene diagramm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magine 68" descr="Immagine che contiene diagramma, linea, testo, Diagramma&#10;&#10;Descrizione generata automaticamente"/>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862530" cy="3824482"/>
                    </a:xfrm>
                    <a:prstGeom prst="rect">
                      <a:avLst/>
                    </a:prstGeom>
                    <a:noFill/>
                  </pic:spPr>
                </pic:pic>
              </a:graphicData>
            </a:graphic>
          </wp:inline>
        </w:drawing>
      </w:r>
    </w:p>
    <w:p w14:paraId="55501F35" w14:textId="14E6FA90" w:rsidR="00162229" w:rsidRPr="00AD01C5" w:rsidRDefault="00162229" w:rsidP="00162229">
      <w:pPr>
        <w:spacing w:after="200" w:line="240" w:lineRule="auto"/>
        <w:jc w:val="center"/>
        <w:rPr>
          <w:rFonts w:ascii="Calibri" w:eastAsia="Calibri" w:hAnsi="Calibri" w:cs="Times New Roman"/>
          <w:i/>
          <w:iCs/>
          <w:color w:val="17406D"/>
          <w:sz w:val="18"/>
        </w:rPr>
      </w:pPr>
      <w:bookmarkStart w:id="395" w:name="_Ref93409714"/>
      <w:bookmarkStart w:id="396" w:name="_Toc127529324"/>
      <w:bookmarkStart w:id="397" w:name="_Toc137740118"/>
      <w:r w:rsidRPr="00AD01C5">
        <w:rPr>
          <w:rFonts w:ascii="Calibri" w:eastAsia="Calibri" w:hAnsi="Calibri" w:cs="Arial"/>
          <w:i/>
          <w:iCs/>
          <w:color w:val="17406D"/>
          <w:sz w:val="18"/>
          <w:szCs w:val="18"/>
        </w:rPr>
        <w:t xml:space="preserve">Figura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Figura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28</w:t>
      </w:r>
      <w:r w:rsidRPr="00AD01C5">
        <w:rPr>
          <w:rFonts w:ascii="Calibri" w:eastAsia="Calibri" w:hAnsi="Calibri" w:cs="Arial"/>
          <w:i/>
          <w:iCs/>
          <w:color w:val="17406D"/>
          <w:sz w:val="18"/>
          <w:szCs w:val="18"/>
        </w:rPr>
        <w:fldChar w:fldCharType="end"/>
      </w:r>
      <w:bookmarkEnd w:id="395"/>
      <w:r w:rsidRPr="00AD01C5">
        <w:rPr>
          <w:rFonts w:ascii="Calibri" w:eastAsia="Calibri" w:hAnsi="Calibri" w:cs="Arial"/>
          <w:i/>
          <w:iCs/>
          <w:color w:val="17406D"/>
          <w:sz w:val="18"/>
          <w:szCs w:val="18"/>
        </w:rPr>
        <w:t xml:space="preserve"> - Costo standard dei servizi di autolinea esclusa componente dipendente dall’ammortamento</w:t>
      </w:r>
      <w:bookmarkEnd w:id="396"/>
      <w:bookmarkEnd w:id="397"/>
    </w:p>
    <w:p w14:paraId="7DCA1BCD" w14:textId="77777777"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rPr>
        <w:t>Si osserva che per fascia di produzione chilometrica annua che varia tra 1 milione e poco più di 9 milioni di veicoli-km/anno, il costo standard è inferiore rispetto a qualsiasi altro valore corrispondente a produzioni al di fuori di questo intervallo. Il costo standard raggiunge il minimo assoluto a 4 milioni di veicoli-km/anno.</w:t>
      </w:r>
    </w:p>
    <w:p w14:paraId="4D9988B9" w14:textId="77777777"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rPr>
        <w:t>Dal grafico riportato in figura, si nota anche un valore limite di "saturazione" per produzioni pari o superiori a 10 milioni di veicoli-km/anno, così come un valore “incomprimibile” per produzioni inferiori ad 1 milione di veicoli-km/anno. Si nota anche come la funzione descrittiva del costo standard abbia una crescita asimmetrica intorno al valore minimo; anche per valori inferiori dei 4 di veicoli-km/anno (fino a circa 3,6 di veicoli-km/anno) e per valori superiori (fino a circa 5,6 di veicoli-km/anno) la crescita del costo standard ottimo è molto contenuta.</w:t>
      </w:r>
    </w:p>
    <w:p w14:paraId="161F07C9" w14:textId="77777777"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rPr>
        <w:t xml:space="preserve">Nell’effettuare la valutazione dei costi standard per i servizi afferenti al Bacino Sud si è assunto un ammortamento standard per veicolo calcolato secondo la metodologia indicata all’art.9 del decreto ministeriale 157/2018, ovvero </w:t>
      </w:r>
      <w:r w:rsidRPr="00AD01C5">
        <w:rPr>
          <w:rFonts w:ascii="Calibri" w:eastAsia="Calibri" w:hAnsi="Calibri" w:cs="Arial"/>
        </w:rPr>
        <w:t>pari all'ammortamento annuo del veicolo rapportato ad una quantità standard di chilometri percorsi.</w:t>
      </w:r>
    </w:p>
    <w:p w14:paraId="3F7A770C"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Times New Roman"/>
          <w:color w:val="000000"/>
        </w:rPr>
        <w:t xml:space="preserve">Il valore unitario dell’ammortamento standard del materiale rotabile è stato dunque determinato assumendo un cofinanziamento al 50%, una vita tecnica utile di 15 anni, una produttività media di 44.000 km e valori di costo di acquisto </w:t>
      </w:r>
      <w:r w:rsidRPr="00AD01C5">
        <w:rPr>
          <w:rFonts w:ascii="Calibri" w:eastAsia="Calibri" w:hAnsi="Calibri" w:cs="Arial"/>
        </w:rPr>
        <w:t xml:space="preserve">standard pari a 244.100 € per gli autobus con allestimenti urbani-suburbani e pari a 221.450 € per gli autobus con allestimento extraurbano. Tali valori corrispondono al costo di un veicolo di moderna generazione, corredato degli equipaggiamenti e dei dispositivi necessari ed essenziali al servizio quali, ad esempio, AVM, conta passeggeri, bigliettazione </w:t>
      </w:r>
      <w:r w:rsidRPr="00AD01C5">
        <w:rPr>
          <w:rFonts w:ascii="Calibri" w:eastAsia="Calibri" w:hAnsi="Calibri" w:cs="Arial"/>
        </w:rPr>
        <w:lastRenderedPageBreak/>
        <w:t>elettronica per entrambe le tipologie di allestimento. L’esito della valutazione del costo standard è stato aggiornato al 2025 secondo quanto previsto dall’art. 10 comma 1 del DM 157/2018</w:t>
      </w:r>
      <w:r w:rsidRPr="00AD01C5">
        <w:rPr>
          <w:rFonts w:ascii="Calibri" w:eastAsia="Calibri" w:hAnsi="Calibri" w:cs="Arial"/>
          <w:vertAlign w:val="superscript"/>
        </w:rPr>
        <w:footnoteReference w:id="40"/>
      </w:r>
      <w:r w:rsidRPr="00AD01C5">
        <w:rPr>
          <w:rFonts w:ascii="Calibri" w:eastAsia="Calibri" w:hAnsi="Calibri" w:cs="Arial"/>
        </w:rPr>
        <w:t>.</w:t>
      </w:r>
    </w:p>
    <w:p w14:paraId="5835D6B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L’aggiornamento è stato effettuato utilizzando il coefficiente ISTAT NIC 072 del 2024 calcolato su base 2017 ottenendo un coefficiente di adeguamento pari al valore di 1,20</w:t>
      </w:r>
      <w:r w:rsidRPr="00AD01C5">
        <w:rPr>
          <w:rFonts w:ascii="Calibri" w:eastAsia="Calibri" w:hAnsi="Calibri" w:cs="Arial"/>
          <w:vertAlign w:val="superscript"/>
        </w:rPr>
        <w:footnoteReference w:id="41"/>
      </w:r>
      <w:r w:rsidRPr="00AD01C5">
        <w:rPr>
          <w:rFonts w:ascii="Calibri" w:eastAsia="Calibri" w:hAnsi="Calibri" w:cs="Arial"/>
        </w:rPr>
        <w:t>.</w:t>
      </w:r>
    </w:p>
    <w:p w14:paraId="247AC54F" w14:textId="77777777" w:rsidR="00162229" w:rsidRPr="00AD01C5" w:rsidRDefault="00162229" w:rsidP="00162229">
      <w:pPr>
        <w:spacing w:before="120" w:after="0" w:line="240" w:lineRule="auto"/>
        <w:rPr>
          <w:rFonts w:ascii="Calibri" w:eastAsia="Calibri" w:hAnsi="Calibri" w:cs="Times New Roman"/>
          <w:b/>
          <w:color w:val="000000"/>
        </w:rPr>
      </w:pPr>
      <w:r w:rsidRPr="00AD01C5">
        <w:rPr>
          <w:rFonts w:ascii="Calibri" w:eastAsia="Calibri" w:hAnsi="Calibri" w:cs="Times New Roman"/>
          <w:b/>
          <w:color w:val="000000"/>
        </w:rPr>
        <w:t>Unità di rete</w:t>
      </w:r>
    </w:p>
    <w:p w14:paraId="14F01C3A" w14:textId="2C46FF82" w:rsidR="00162229"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 xml:space="preserve">Prendendo in considerazione le linee e le produzioni chilometriche definite per ciascuna localizzazione nello scenario di massima ottimizzazione individuata </w:t>
      </w:r>
      <w:r w:rsidRPr="00DA5B9C">
        <w:rPr>
          <w:rFonts w:ascii="Calibri" w:eastAsia="Calibri" w:hAnsi="Calibri" w:cs="Times New Roman"/>
          <w:color w:val="000000"/>
        </w:rPr>
        <w:t>in precedenza (</w:t>
      </w:r>
      <w:r w:rsidRPr="00BE6030">
        <w:rPr>
          <w:rFonts w:ascii="Calibri" w:eastAsia="Calibri" w:hAnsi="Calibri" w:cs="Times New Roman"/>
          <w:i/>
          <w:iCs/>
        </w:rPr>
        <w:fldChar w:fldCharType="begin"/>
      </w:r>
      <w:r w:rsidRPr="00BE6030">
        <w:rPr>
          <w:rFonts w:ascii="Calibri" w:eastAsia="Calibri" w:hAnsi="Calibri" w:cs="Times New Roman"/>
          <w:i/>
          <w:iCs/>
        </w:rPr>
        <w:instrText xml:space="preserve"> REF _Ref204158298 \h  \* MERGEFORMAT </w:instrText>
      </w:r>
      <w:r w:rsidRPr="00BE6030">
        <w:rPr>
          <w:rFonts w:ascii="Calibri" w:eastAsia="Calibri" w:hAnsi="Calibri" w:cs="Times New Roman"/>
          <w:i/>
          <w:iCs/>
        </w:rPr>
      </w:r>
      <w:r w:rsidRPr="00BE6030">
        <w:rPr>
          <w:rFonts w:ascii="Calibri" w:eastAsia="Calibri" w:hAnsi="Calibri" w:cs="Times New Roman"/>
          <w:i/>
          <w:iCs/>
        </w:rPr>
        <w:fldChar w:fldCharType="separate"/>
      </w:r>
      <w:r w:rsidR="00670903" w:rsidRPr="00670903">
        <w:rPr>
          <w:rFonts w:ascii="Calibri" w:eastAsia="Calibri" w:hAnsi="Calibri" w:cs="Times New Roman"/>
          <w:i/>
          <w:iCs/>
        </w:rPr>
        <w:t>Tabella 47</w:t>
      </w:r>
      <w:r w:rsidR="00670903" w:rsidRPr="00670903">
        <w:rPr>
          <w:rFonts w:ascii="Calibri" w:eastAsia="Calibri" w:hAnsi="Calibri" w:cs="Arial"/>
          <w:i/>
          <w:iCs/>
        </w:rPr>
        <w:t xml:space="preserve"> – Scenario 3</w:t>
      </w:r>
      <w:r w:rsidRPr="00BE6030">
        <w:rPr>
          <w:rFonts w:ascii="Calibri" w:eastAsia="Calibri" w:hAnsi="Calibri" w:cs="Times New Roman"/>
          <w:i/>
          <w:iCs/>
        </w:rPr>
        <w:fldChar w:fldCharType="end"/>
      </w:r>
      <w:r w:rsidRPr="00DA5B9C">
        <w:rPr>
          <w:rFonts w:ascii="Calibri" w:eastAsia="Calibri" w:hAnsi="Calibri" w:cs="Times New Roman"/>
          <w:color w:val="000000"/>
        </w:rPr>
        <w:t>),</w:t>
      </w:r>
      <w:r w:rsidRPr="00AD01C5">
        <w:rPr>
          <w:rFonts w:ascii="Calibri" w:eastAsia="Calibri" w:hAnsi="Calibri" w:cs="Times New Roman"/>
          <w:color w:val="000000"/>
        </w:rPr>
        <w:t xml:space="preserve"> e incrementate con la produzione chilometrica delle linee inter-bacino e dei servizi inerenti agli accordi di programma, si rende necessario accorpare i gruppi di linee.</w:t>
      </w:r>
    </w:p>
    <w:p w14:paraId="5A779D35" w14:textId="77777777" w:rsidR="00162229" w:rsidRPr="00AD01C5"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L'obiettivo principale di questo processo è individuare unità di rete funzionali, ciascuna con una produzione chilometrica il più possibile prossima alla soglia ottimale di 4 milioni di veicoli-km/anno.</w:t>
      </w:r>
    </w:p>
    <w:p w14:paraId="39D6E6AD" w14:textId="77777777" w:rsidR="00162229" w:rsidRPr="00AD01C5"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Per raggiungere questo obiettivo, si seguono i seguenti passaggi:</w:t>
      </w:r>
    </w:p>
    <w:p w14:paraId="045C4E52" w14:textId="77777777" w:rsidR="00162229" w:rsidRPr="00AD01C5" w:rsidRDefault="00162229" w:rsidP="00162229">
      <w:pPr>
        <w:numPr>
          <w:ilvl w:val="0"/>
          <w:numId w:val="81"/>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accorpamento dei gruppi di linee: si procede all'accorpamento dei gruppi di linee tenendo conto delle produzioni chilometriche incrementate. L'obiettivo è formare unità di rete che abbiano una produzione chilometrica complessiva il più possibile vicina alla soglia ottimale di 4 milioni di veicoli-km/anno. Questo accorpamento viene effettuato considerando variabili come la contiguità geografica;</w:t>
      </w:r>
    </w:p>
    <w:p w14:paraId="6435609A" w14:textId="77777777" w:rsidR="00162229" w:rsidRPr="00AD01C5" w:rsidRDefault="00162229" w:rsidP="00162229">
      <w:pPr>
        <w:numPr>
          <w:ilvl w:val="0"/>
          <w:numId w:val="81"/>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aggiustamenti e ottimizzazioni finali: se necessario, si effettuano aggiustamenti e ottimizzazioni finali per affinare ulteriormente la configurazione delle unità di rete. Questo può includere la redistribuzione delle linee tra le unità di rete o la modifica delle produzioni chilometriche per raggiungere l'obiettivo prefissato.</w:t>
      </w:r>
    </w:p>
    <w:p w14:paraId="6EC7D25A" w14:textId="77777777" w:rsidR="00162229" w:rsidRPr="00AD01C5"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L'intero processo è finalizzato a creare una rete di trasporto pubblico locale più efficiente e sostenibile, con unità di rete ottimizzate per garantire una gestione efficace e una riduzione dei costi operativi complessivi.</w:t>
      </w:r>
    </w:p>
    <w:p w14:paraId="02DDC1CE" w14:textId="77777777" w:rsidR="00162229" w:rsidRPr="00AD01C5"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Dal programma di esercizio si ricavano la durata d’esercizio e la percorrenza per ciascuna linea presa in considerazione suddividendole fra urbane ed extraurbane potendo desumere qualsiasi successiva aggregazione (unità di rete, lotti), elementi da cui si può procedere alla valutazione:</w:t>
      </w:r>
    </w:p>
    <w:p w14:paraId="1060C019" w14:textId="77777777" w:rsidR="00162229" w:rsidRPr="00AD01C5" w:rsidRDefault="00162229" w:rsidP="00162229">
      <w:pPr>
        <w:numPr>
          <w:ilvl w:val="0"/>
          <w:numId w:val="82"/>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delle velocità commerciale programmata (come rapporto fra la produzione commerciale complessiva ed il tempo commerciale complessivo) dei servizi inseriti nell’unità di rete;</w:t>
      </w:r>
    </w:p>
    <w:p w14:paraId="6AB644C4" w14:textId="77777777" w:rsidR="00162229" w:rsidRPr="00AD01C5" w:rsidRDefault="00162229" w:rsidP="00162229">
      <w:pPr>
        <w:numPr>
          <w:ilvl w:val="0"/>
          <w:numId w:val="82"/>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della velocità commerciale standard</w:t>
      </w:r>
      <w:r w:rsidRPr="00AD01C5">
        <w:rPr>
          <w:rFonts w:ascii="Calibri" w:eastAsia="Times New Roman" w:hAnsi="Calibri" w:cs="Calibri"/>
          <w:bCs/>
          <w:color w:val="000000"/>
          <w:sz w:val="18"/>
          <w:szCs w:val="18"/>
          <w:vertAlign w:val="superscript"/>
        </w:rPr>
        <w:footnoteReference w:id="42"/>
      </w:r>
      <w:r w:rsidRPr="00AD01C5">
        <w:rPr>
          <w:rFonts w:ascii="Calibri" w:eastAsia="Calibri" w:hAnsi="Calibri" w:cs="Times New Roman"/>
          <w:color w:val="000000"/>
        </w:rPr>
        <w:t xml:space="preserve"> per i servizi urbani e per i servizi extraurbani utilizzando le tempistiche rettificate indicate dal DM 157/2018;</w:t>
      </w:r>
    </w:p>
    <w:p w14:paraId="6D790132" w14:textId="77777777" w:rsidR="00162229" w:rsidRPr="00AD01C5" w:rsidRDefault="00162229" w:rsidP="00162229">
      <w:pPr>
        <w:numPr>
          <w:ilvl w:val="0"/>
          <w:numId w:val="82"/>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lastRenderedPageBreak/>
        <w:t>del n° di veicoli necessari al servizio;</w:t>
      </w:r>
    </w:p>
    <w:p w14:paraId="562FCDE1" w14:textId="309E7F29" w:rsidR="00162229" w:rsidRPr="00AD01C5" w:rsidRDefault="00162229" w:rsidP="00162229">
      <w:pPr>
        <w:numPr>
          <w:ilvl w:val="0"/>
          <w:numId w:val="82"/>
        </w:num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 xml:space="preserve">dei costi standard riportati al paragrafo </w:t>
      </w:r>
      <w:r w:rsidRPr="00AD01C5">
        <w:rPr>
          <w:rFonts w:ascii="Calibri" w:eastAsia="Calibri" w:hAnsi="Calibri" w:cs="Times New Roman"/>
          <w:color w:val="000000"/>
        </w:rPr>
        <w:fldChar w:fldCharType="begin"/>
      </w:r>
      <w:r w:rsidRPr="00AD01C5">
        <w:rPr>
          <w:rFonts w:ascii="Calibri" w:eastAsia="Calibri" w:hAnsi="Calibri" w:cs="Times New Roman"/>
          <w:color w:val="000000"/>
        </w:rPr>
        <w:instrText xml:space="preserve"> REF _Ref191651866 \r \h  \* MERGEFORMAT </w:instrText>
      </w:r>
      <w:r w:rsidRPr="00AD01C5">
        <w:rPr>
          <w:rFonts w:ascii="Calibri" w:eastAsia="Calibri" w:hAnsi="Calibri" w:cs="Times New Roman"/>
          <w:color w:val="000000"/>
        </w:rPr>
      </w:r>
      <w:r w:rsidRPr="00AD01C5">
        <w:rPr>
          <w:rFonts w:ascii="Calibri" w:eastAsia="Calibri" w:hAnsi="Calibri" w:cs="Times New Roman"/>
          <w:color w:val="000000"/>
        </w:rPr>
        <w:fldChar w:fldCharType="separate"/>
      </w:r>
      <w:r w:rsidR="00670903">
        <w:rPr>
          <w:rFonts w:ascii="Calibri" w:eastAsia="Calibri" w:hAnsi="Calibri" w:cs="Times New Roman"/>
          <w:color w:val="000000"/>
        </w:rPr>
        <w:t>0</w:t>
      </w:r>
      <w:r w:rsidRPr="00AD01C5">
        <w:rPr>
          <w:rFonts w:ascii="Calibri" w:eastAsia="Calibri" w:hAnsi="Calibri" w:cs="Times New Roman"/>
          <w:color w:val="000000"/>
        </w:rPr>
        <w:fldChar w:fldCharType="end"/>
      </w:r>
      <w:r w:rsidRPr="00AD01C5">
        <w:rPr>
          <w:rFonts w:ascii="Calibri" w:eastAsia="Calibri" w:hAnsi="Calibri" w:cs="Times New Roman"/>
          <w:color w:val="000000"/>
        </w:rPr>
        <w:t>.</w:t>
      </w:r>
    </w:p>
    <w:p w14:paraId="02FA0E2E" w14:textId="77777777" w:rsidR="00162229" w:rsidRDefault="00162229" w:rsidP="00162229">
      <w:pPr>
        <w:spacing w:before="120" w:after="0" w:line="240" w:lineRule="auto"/>
        <w:rPr>
          <w:rFonts w:ascii="Calibri" w:eastAsia="Calibri" w:hAnsi="Calibri" w:cs="Times New Roman"/>
          <w:color w:val="000000"/>
        </w:rPr>
      </w:pPr>
      <w:r w:rsidRPr="00AD01C5">
        <w:rPr>
          <w:rFonts w:ascii="Calibri" w:eastAsia="Calibri" w:hAnsi="Calibri" w:cs="Times New Roman"/>
          <w:color w:val="000000"/>
        </w:rPr>
        <w:t>Nella tabella seguente si riportano le unità di rete, individuate a valle dell’accorpamento dei gruppi di linee secondo i criteri sopra descritti, specificando per ciascuna i principali parametri desunti dal programma di esercizio.</w:t>
      </w:r>
    </w:p>
    <w:p w14:paraId="4DFE9B3B" w14:textId="77777777" w:rsidR="00162229" w:rsidRPr="00AD01C5" w:rsidRDefault="00162229" w:rsidP="00162229">
      <w:pPr>
        <w:spacing w:before="120" w:line="240" w:lineRule="auto"/>
        <w:rPr>
          <w:rFonts w:ascii="Calibri" w:eastAsia="Calibri" w:hAnsi="Calibri" w:cs="Times New Roman"/>
          <w:color w:val="000000"/>
        </w:rPr>
      </w:pPr>
      <w:bookmarkStart w:id="398" w:name="_Hlk205106314"/>
    </w:p>
    <w:tbl>
      <w:tblPr>
        <w:tblW w:w="8926" w:type="dxa"/>
        <w:jc w:val="center"/>
        <w:tblCellMar>
          <w:left w:w="70" w:type="dxa"/>
          <w:right w:w="70" w:type="dxa"/>
        </w:tblCellMar>
        <w:tblLook w:val="04A0" w:firstRow="1" w:lastRow="0" w:firstColumn="1" w:lastColumn="0" w:noHBand="0" w:noVBand="1"/>
      </w:tblPr>
      <w:tblGrid>
        <w:gridCol w:w="715"/>
        <w:gridCol w:w="1856"/>
        <w:gridCol w:w="1032"/>
        <w:gridCol w:w="970"/>
        <w:gridCol w:w="1025"/>
        <w:gridCol w:w="674"/>
        <w:gridCol w:w="559"/>
        <w:gridCol w:w="630"/>
        <w:gridCol w:w="631"/>
        <w:gridCol w:w="834"/>
      </w:tblGrid>
      <w:tr w:rsidR="00162229" w:rsidRPr="00AD01C5" w14:paraId="385228F9" w14:textId="77777777" w:rsidTr="002A21C0">
        <w:trPr>
          <w:trHeight w:val="764"/>
          <w:jc w:val="center"/>
        </w:trPr>
        <w:tc>
          <w:tcPr>
            <w:tcW w:w="715" w:type="dxa"/>
            <w:tcBorders>
              <w:top w:val="single" w:sz="4" w:space="0" w:color="A6A6A6"/>
              <w:left w:val="single" w:sz="4" w:space="0" w:color="A6A6A6"/>
              <w:bottom w:val="single" w:sz="4" w:space="0" w:color="A6A6A6"/>
              <w:right w:val="single" w:sz="4" w:space="0" w:color="A6A6A6"/>
            </w:tcBorders>
            <w:shd w:val="clear" w:color="auto" w:fill="A5C34C" w:themeFill="accent6" w:themeFillShade="BF"/>
            <w:vAlign w:val="center"/>
            <w:hideMark/>
          </w:tcPr>
          <w:bookmarkEnd w:id="398"/>
          <w:p w14:paraId="3B95F9D5"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Unità di rete</w:t>
            </w:r>
          </w:p>
        </w:tc>
        <w:tc>
          <w:tcPr>
            <w:tcW w:w="1856"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039E313B" w14:textId="77777777" w:rsidR="00162229" w:rsidRPr="00AD01C5" w:rsidRDefault="00162229" w:rsidP="002A21C0">
            <w:pPr>
              <w:spacing w:after="0" w:line="240" w:lineRule="auto"/>
              <w:jc w:val="left"/>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Descrizione</w:t>
            </w:r>
          </w:p>
        </w:tc>
        <w:tc>
          <w:tcPr>
            <w:tcW w:w="1032"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66D35788"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veic-km/anno servizi extraurbani</w:t>
            </w:r>
          </w:p>
        </w:tc>
        <w:tc>
          <w:tcPr>
            <w:tcW w:w="970"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54D1F7F6"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veic-km/anno servizi urbani</w:t>
            </w:r>
          </w:p>
        </w:tc>
        <w:tc>
          <w:tcPr>
            <w:tcW w:w="1025"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1622865D"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 xml:space="preserve">veic-km/anno </w:t>
            </w:r>
          </w:p>
        </w:tc>
        <w:tc>
          <w:tcPr>
            <w:tcW w:w="674"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45896A23"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 urbane</w:t>
            </w:r>
          </w:p>
        </w:tc>
        <w:tc>
          <w:tcPr>
            <w:tcW w:w="559"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43B99E13"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Vel. Prog. Km/h</w:t>
            </w:r>
          </w:p>
        </w:tc>
        <w:tc>
          <w:tcPr>
            <w:tcW w:w="630"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42F2252E"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Vel. Stan. Km/h</w:t>
            </w:r>
          </w:p>
        </w:tc>
        <w:tc>
          <w:tcPr>
            <w:tcW w:w="631"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5E892D3A"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 xml:space="preserve">bus urbani </w:t>
            </w:r>
          </w:p>
        </w:tc>
        <w:tc>
          <w:tcPr>
            <w:tcW w:w="834" w:type="dxa"/>
            <w:tcBorders>
              <w:top w:val="single" w:sz="4" w:space="0" w:color="A6A6A6"/>
              <w:left w:val="nil"/>
              <w:bottom w:val="single" w:sz="4" w:space="0" w:color="A6A6A6"/>
              <w:right w:val="single" w:sz="4" w:space="0" w:color="A6A6A6"/>
            </w:tcBorders>
            <w:shd w:val="clear" w:color="auto" w:fill="A5C34C" w:themeFill="accent6" w:themeFillShade="BF"/>
            <w:vAlign w:val="center"/>
            <w:hideMark/>
          </w:tcPr>
          <w:p w14:paraId="4F98E9E7" w14:textId="77777777" w:rsidR="00162229" w:rsidRPr="00AD01C5" w:rsidRDefault="00162229" w:rsidP="002A21C0">
            <w:pPr>
              <w:spacing w:after="0" w:line="240" w:lineRule="auto"/>
              <w:jc w:val="center"/>
              <w:rPr>
                <w:rFonts w:ascii="Calibri" w:eastAsia="Times New Roman" w:hAnsi="Calibri" w:cs="Calibri"/>
                <w:b/>
                <w:color w:val="000000"/>
                <w:sz w:val="18"/>
                <w:szCs w:val="18"/>
              </w:rPr>
            </w:pPr>
            <w:r w:rsidRPr="00AD01C5">
              <w:rPr>
                <w:rFonts w:ascii="Calibri" w:eastAsia="Times New Roman" w:hAnsi="Calibri" w:cs="Calibri"/>
                <w:b/>
                <w:color w:val="000000"/>
                <w:sz w:val="18"/>
                <w:szCs w:val="18"/>
              </w:rPr>
              <w:t>bus extraurb.</w:t>
            </w:r>
          </w:p>
        </w:tc>
      </w:tr>
      <w:tr w:rsidR="00162229" w:rsidRPr="00AD01C5" w14:paraId="6B28E741" w14:textId="77777777" w:rsidTr="002A21C0">
        <w:trPr>
          <w:trHeight w:val="765"/>
          <w:jc w:val="center"/>
        </w:trPr>
        <w:tc>
          <w:tcPr>
            <w:tcW w:w="715" w:type="dxa"/>
            <w:tcBorders>
              <w:top w:val="nil"/>
              <w:left w:val="single" w:sz="4" w:space="0" w:color="A6A6A6"/>
              <w:bottom w:val="single" w:sz="4" w:space="0" w:color="A6A6A6"/>
              <w:right w:val="single" w:sz="4" w:space="0" w:color="A6A6A6"/>
            </w:tcBorders>
            <w:vAlign w:val="center"/>
            <w:hideMark/>
          </w:tcPr>
          <w:p w14:paraId="42FA9B12"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UR1</w:t>
            </w:r>
            <w:r w:rsidRPr="00AD01C5">
              <w:rPr>
                <w:rFonts w:ascii="Calibri" w:eastAsia="Times New Roman" w:hAnsi="Calibri" w:cs="Calibri"/>
                <w:color w:val="000000"/>
                <w:sz w:val="18"/>
                <w:szCs w:val="18"/>
              </w:rPr>
              <w:br/>
              <w:t>SE_001</w:t>
            </w:r>
          </w:p>
          <w:p w14:paraId="231BC760"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SE_007</w:t>
            </w:r>
          </w:p>
          <w:p w14:paraId="7BBC6C70"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SE_008</w:t>
            </w:r>
          </w:p>
        </w:tc>
        <w:tc>
          <w:tcPr>
            <w:tcW w:w="1856" w:type="dxa"/>
            <w:tcBorders>
              <w:top w:val="nil"/>
              <w:left w:val="nil"/>
              <w:bottom w:val="single" w:sz="4" w:space="0" w:color="A6A6A6"/>
              <w:right w:val="single" w:sz="4" w:space="0" w:color="A6A6A6"/>
            </w:tcBorders>
            <w:vAlign w:val="center"/>
            <w:hideMark/>
          </w:tcPr>
          <w:p w14:paraId="0698F83B" w14:textId="77777777" w:rsidR="00162229" w:rsidRPr="00AD01C5" w:rsidRDefault="00162229" w:rsidP="002A21C0">
            <w:pPr>
              <w:spacing w:after="0" w:line="240" w:lineRule="auto"/>
              <w:jc w:val="left"/>
              <w:rPr>
                <w:rFonts w:ascii="Calibri" w:eastAsia="Times New Roman" w:hAnsi="Calibri" w:cs="Calibri"/>
                <w:color w:val="000000"/>
                <w:sz w:val="18"/>
                <w:szCs w:val="18"/>
              </w:rPr>
            </w:pPr>
            <w:r w:rsidRPr="00AD01C5">
              <w:rPr>
                <w:rFonts w:ascii="Calibri" w:eastAsia="Times New Roman" w:hAnsi="Calibri" w:cs="Calibri"/>
                <w:color w:val="000000"/>
                <w:sz w:val="18"/>
                <w:szCs w:val="18"/>
              </w:rPr>
              <w:t>Servizi Urbani ed extraurbani di Asti Canelli, e Villanova D’Asti</w:t>
            </w:r>
          </w:p>
        </w:tc>
        <w:tc>
          <w:tcPr>
            <w:tcW w:w="1032" w:type="dxa"/>
            <w:tcBorders>
              <w:top w:val="nil"/>
              <w:left w:val="nil"/>
              <w:bottom w:val="single" w:sz="4" w:space="0" w:color="A6A6A6"/>
              <w:right w:val="single" w:sz="4" w:space="0" w:color="A6A6A6"/>
            </w:tcBorders>
            <w:vAlign w:val="center"/>
          </w:tcPr>
          <w:p w14:paraId="3577A682"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4.364.578 </w:t>
            </w:r>
          </w:p>
        </w:tc>
        <w:tc>
          <w:tcPr>
            <w:tcW w:w="970" w:type="dxa"/>
            <w:tcBorders>
              <w:top w:val="nil"/>
              <w:left w:val="nil"/>
              <w:bottom w:val="single" w:sz="4" w:space="0" w:color="A6A6A6"/>
              <w:right w:val="single" w:sz="4" w:space="0" w:color="A6A6A6"/>
            </w:tcBorders>
            <w:vAlign w:val="center"/>
          </w:tcPr>
          <w:p w14:paraId="4A3B901C"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1.038.218 </w:t>
            </w:r>
          </w:p>
        </w:tc>
        <w:tc>
          <w:tcPr>
            <w:tcW w:w="1025" w:type="dxa"/>
            <w:tcBorders>
              <w:top w:val="nil"/>
              <w:left w:val="nil"/>
              <w:bottom w:val="single" w:sz="4" w:space="0" w:color="A6A6A6"/>
              <w:right w:val="single" w:sz="4" w:space="0" w:color="A6A6A6"/>
            </w:tcBorders>
            <w:vAlign w:val="center"/>
          </w:tcPr>
          <w:p w14:paraId="6A145591"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5.402.796 </w:t>
            </w:r>
          </w:p>
        </w:tc>
        <w:tc>
          <w:tcPr>
            <w:tcW w:w="674" w:type="dxa"/>
            <w:tcBorders>
              <w:top w:val="nil"/>
              <w:left w:val="nil"/>
              <w:bottom w:val="single" w:sz="4" w:space="0" w:color="A6A6A6"/>
              <w:right w:val="single" w:sz="4" w:space="0" w:color="A6A6A6"/>
            </w:tcBorders>
            <w:vAlign w:val="center"/>
          </w:tcPr>
          <w:p w14:paraId="29237BE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19%</w:t>
            </w:r>
          </w:p>
        </w:tc>
        <w:tc>
          <w:tcPr>
            <w:tcW w:w="559" w:type="dxa"/>
            <w:tcBorders>
              <w:top w:val="nil"/>
              <w:left w:val="nil"/>
              <w:bottom w:val="single" w:sz="4" w:space="0" w:color="A6A6A6"/>
              <w:right w:val="single" w:sz="4" w:space="0" w:color="A6A6A6"/>
            </w:tcBorders>
            <w:vAlign w:val="center"/>
          </w:tcPr>
          <w:p w14:paraId="51546FA2"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31,52</w:t>
            </w:r>
          </w:p>
        </w:tc>
        <w:tc>
          <w:tcPr>
            <w:tcW w:w="630" w:type="dxa"/>
            <w:tcBorders>
              <w:top w:val="nil"/>
              <w:left w:val="nil"/>
              <w:bottom w:val="single" w:sz="4" w:space="0" w:color="A6A6A6"/>
              <w:right w:val="single" w:sz="4" w:space="0" w:color="A6A6A6"/>
            </w:tcBorders>
            <w:vAlign w:val="center"/>
          </w:tcPr>
          <w:p w14:paraId="2F4B6E39"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27,78</w:t>
            </w:r>
          </w:p>
        </w:tc>
        <w:tc>
          <w:tcPr>
            <w:tcW w:w="631" w:type="dxa"/>
            <w:tcBorders>
              <w:top w:val="nil"/>
              <w:left w:val="nil"/>
              <w:bottom w:val="single" w:sz="4" w:space="0" w:color="A6A6A6"/>
              <w:right w:val="single" w:sz="4" w:space="0" w:color="A6A6A6"/>
            </w:tcBorders>
            <w:vAlign w:val="center"/>
          </w:tcPr>
          <w:p w14:paraId="7BD04869"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74</w:t>
            </w:r>
          </w:p>
        </w:tc>
        <w:tc>
          <w:tcPr>
            <w:tcW w:w="834" w:type="dxa"/>
            <w:tcBorders>
              <w:top w:val="nil"/>
              <w:left w:val="nil"/>
              <w:bottom w:val="single" w:sz="4" w:space="0" w:color="A6A6A6"/>
              <w:right w:val="single" w:sz="4" w:space="0" w:color="A6A6A6"/>
            </w:tcBorders>
            <w:vAlign w:val="center"/>
          </w:tcPr>
          <w:p w14:paraId="0076DDD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30</w:t>
            </w:r>
          </w:p>
        </w:tc>
      </w:tr>
      <w:tr w:rsidR="00162229" w:rsidRPr="00AD01C5" w14:paraId="6252D91D" w14:textId="77777777" w:rsidTr="002A21C0">
        <w:trPr>
          <w:trHeight w:val="765"/>
          <w:jc w:val="center"/>
        </w:trPr>
        <w:tc>
          <w:tcPr>
            <w:tcW w:w="715" w:type="dxa"/>
            <w:tcBorders>
              <w:top w:val="nil"/>
              <w:left w:val="single" w:sz="4" w:space="0" w:color="A6A6A6"/>
              <w:bottom w:val="single" w:sz="4" w:space="0" w:color="A6A6A6"/>
              <w:right w:val="single" w:sz="4" w:space="0" w:color="A6A6A6"/>
            </w:tcBorders>
            <w:vAlign w:val="center"/>
            <w:hideMark/>
          </w:tcPr>
          <w:p w14:paraId="1B3C8F4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UR 2 </w:t>
            </w:r>
            <w:r w:rsidRPr="00AD01C5">
              <w:rPr>
                <w:rFonts w:ascii="Calibri" w:eastAsia="Times New Roman" w:hAnsi="Calibri" w:cs="Calibri"/>
                <w:color w:val="000000"/>
                <w:sz w:val="18"/>
                <w:szCs w:val="18"/>
              </w:rPr>
              <w:br/>
              <w:t>SE_001</w:t>
            </w:r>
            <w:r w:rsidRPr="00AD01C5">
              <w:rPr>
                <w:rFonts w:ascii="Calibri" w:eastAsia="Times New Roman" w:hAnsi="Calibri" w:cs="Calibri"/>
                <w:color w:val="000000"/>
                <w:sz w:val="18"/>
                <w:szCs w:val="18"/>
              </w:rPr>
              <w:br/>
              <w:t>SE_002</w:t>
            </w:r>
          </w:p>
          <w:p w14:paraId="7D51033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SE_004</w:t>
            </w:r>
          </w:p>
        </w:tc>
        <w:tc>
          <w:tcPr>
            <w:tcW w:w="1856" w:type="dxa"/>
            <w:tcBorders>
              <w:top w:val="nil"/>
              <w:left w:val="nil"/>
              <w:bottom w:val="single" w:sz="4" w:space="0" w:color="A6A6A6"/>
              <w:right w:val="single" w:sz="4" w:space="0" w:color="A6A6A6"/>
            </w:tcBorders>
            <w:vAlign w:val="center"/>
            <w:hideMark/>
          </w:tcPr>
          <w:p w14:paraId="27F60557" w14:textId="77777777" w:rsidR="00162229" w:rsidRPr="00AD01C5" w:rsidRDefault="00162229" w:rsidP="002A21C0">
            <w:pPr>
              <w:spacing w:after="0" w:line="240" w:lineRule="auto"/>
              <w:jc w:val="left"/>
              <w:rPr>
                <w:rFonts w:ascii="Calibri" w:eastAsia="Times New Roman" w:hAnsi="Calibri" w:cs="Calibri"/>
                <w:color w:val="000000"/>
                <w:sz w:val="18"/>
                <w:szCs w:val="18"/>
              </w:rPr>
            </w:pPr>
            <w:r w:rsidRPr="00AD01C5">
              <w:rPr>
                <w:rFonts w:ascii="Calibri" w:eastAsia="Times New Roman" w:hAnsi="Calibri" w:cs="Calibri"/>
                <w:color w:val="000000"/>
                <w:sz w:val="18"/>
                <w:szCs w:val="18"/>
              </w:rPr>
              <w:t>Servizi Urbani ed extraurbani di Alessandria, Casale Monferrato e Altavilla</w:t>
            </w:r>
          </w:p>
        </w:tc>
        <w:tc>
          <w:tcPr>
            <w:tcW w:w="1032" w:type="dxa"/>
            <w:tcBorders>
              <w:top w:val="nil"/>
              <w:left w:val="nil"/>
              <w:bottom w:val="single" w:sz="4" w:space="0" w:color="A6A6A6"/>
              <w:right w:val="single" w:sz="4" w:space="0" w:color="A6A6A6"/>
            </w:tcBorders>
            <w:vAlign w:val="center"/>
          </w:tcPr>
          <w:p w14:paraId="2437ADDA"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3.517.819 </w:t>
            </w:r>
          </w:p>
        </w:tc>
        <w:tc>
          <w:tcPr>
            <w:tcW w:w="970" w:type="dxa"/>
            <w:tcBorders>
              <w:top w:val="nil"/>
              <w:left w:val="nil"/>
              <w:bottom w:val="single" w:sz="4" w:space="0" w:color="A6A6A6"/>
              <w:right w:val="single" w:sz="4" w:space="0" w:color="A6A6A6"/>
            </w:tcBorders>
            <w:vAlign w:val="center"/>
          </w:tcPr>
          <w:p w14:paraId="07155678"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1.564.001 </w:t>
            </w:r>
          </w:p>
        </w:tc>
        <w:tc>
          <w:tcPr>
            <w:tcW w:w="1025" w:type="dxa"/>
            <w:tcBorders>
              <w:top w:val="nil"/>
              <w:left w:val="nil"/>
              <w:bottom w:val="single" w:sz="4" w:space="0" w:color="A6A6A6"/>
              <w:right w:val="single" w:sz="4" w:space="0" w:color="A6A6A6"/>
            </w:tcBorders>
            <w:vAlign w:val="center"/>
          </w:tcPr>
          <w:p w14:paraId="58A2FE01"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5.081.820 </w:t>
            </w:r>
          </w:p>
        </w:tc>
        <w:tc>
          <w:tcPr>
            <w:tcW w:w="674" w:type="dxa"/>
            <w:tcBorders>
              <w:top w:val="nil"/>
              <w:left w:val="nil"/>
              <w:bottom w:val="single" w:sz="4" w:space="0" w:color="A6A6A6"/>
              <w:right w:val="single" w:sz="4" w:space="0" w:color="A6A6A6"/>
            </w:tcBorders>
            <w:vAlign w:val="center"/>
          </w:tcPr>
          <w:p w14:paraId="7FF73FF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31%</w:t>
            </w:r>
          </w:p>
        </w:tc>
        <w:tc>
          <w:tcPr>
            <w:tcW w:w="559" w:type="dxa"/>
            <w:tcBorders>
              <w:top w:val="nil"/>
              <w:left w:val="nil"/>
              <w:bottom w:val="single" w:sz="4" w:space="0" w:color="A6A6A6"/>
              <w:right w:val="single" w:sz="4" w:space="0" w:color="A6A6A6"/>
            </w:tcBorders>
            <w:vAlign w:val="center"/>
          </w:tcPr>
          <w:p w14:paraId="4B5E754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28,85</w:t>
            </w:r>
          </w:p>
        </w:tc>
        <w:tc>
          <w:tcPr>
            <w:tcW w:w="630" w:type="dxa"/>
            <w:tcBorders>
              <w:top w:val="nil"/>
              <w:left w:val="nil"/>
              <w:bottom w:val="single" w:sz="4" w:space="0" w:color="A6A6A6"/>
              <w:right w:val="single" w:sz="4" w:space="0" w:color="A6A6A6"/>
            </w:tcBorders>
            <w:vAlign w:val="center"/>
          </w:tcPr>
          <w:p w14:paraId="01C6BAD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25,72</w:t>
            </w:r>
          </w:p>
        </w:tc>
        <w:tc>
          <w:tcPr>
            <w:tcW w:w="631" w:type="dxa"/>
            <w:tcBorders>
              <w:top w:val="nil"/>
              <w:left w:val="nil"/>
              <w:bottom w:val="single" w:sz="4" w:space="0" w:color="A6A6A6"/>
              <w:right w:val="single" w:sz="4" w:space="0" w:color="A6A6A6"/>
            </w:tcBorders>
            <w:vAlign w:val="center"/>
          </w:tcPr>
          <w:p w14:paraId="3FFB19A8"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50</w:t>
            </w:r>
          </w:p>
        </w:tc>
        <w:tc>
          <w:tcPr>
            <w:tcW w:w="834" w:type="dxa"/>
            <w:tcBorders>
              <w:top w:val="nil"/>
              <w:left w:val="nil"/>
              <w:bottom w:val="single" w:sz="4" w:space="0" w:color="A6A6A6"/>
              <w:right w:val="single" w:sz="4" w:space="0" w:color="A6A6A6"/>
            </w:tcBorders>
            <w:vAlign w:val="center"/>
          </w:tcPr>
          <w:p w14:paraId="1F14216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49</w:t>
            </w:r>
          </w:p>
        </w:tc>
      </w:tr>
      <w:tr w:rsidR="00162229" w:rsidRPr="00AD01C5" w14:paraId="20ED317F" w14:textId="77777777" w:rsidTr="002A21C0">
        <w:trPr>
          <w:trHeight w:val="1020"/>
          <w:jc w:val="center"/>
        </w:trPr>
        <w:tc>
          <w:tcPr>
            <w:tcW w:w="715" w:type="dxa"/>
            <w:tcBorders>
              <w:top w:val="nil"/>
              <w:left w:val="single" w:sz="4" w:space="0" w:color="A6A6A6"/>
              <w:bottom w:val="single" w:sz="4" w:space="0" w:color="A6A6A6"/>
              <w:right w:val="single" w:sz="4" w:space="0" w:color="A6A6A6"/>
            </w:tcBorders>
            <w:vAlign w:val="center"/>
            <w:hideMark/>
          </w:tcPr>
          <w:p w14:paraId="1F60262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UR 3 </w:t>
            </w:r>
            <w:r w:rsidRPr="00AD01C5">
              <w:rPr>
                <w:rFonts w:ascii="Calibri" w:eastAsia="Times New Roman" w:hAnsi="Calibri" w:cs="Calibri"/>
                <w:color w:val="000000"/>
                <w:sz w:val="18"/>
                <w:szCs w:val="18"/>
              </w:rPr>
              <w:br/>
              <w:t>SE_016</w:t>
            </w:r>
          </w:p>
          <w:p w14:paraId="46A52A6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SE_019</w:t>
            </w:r>
          </w:p>
        </w:tc>
        <w:tc>
          <w:tcPr>
            <w:tcW w:w="1856" w:type="dxa"/>
            <w:tcBorders>
              <w:top w:val="nil"/>
              <w:left w:val="nil"/>
              <w:bottom w:val="single" w:sz="4" w:space="0" w:color="A6A6A6"/>
              <w:right w:val="single" w:sz="4" w:space="0" w:color="A6A6A6"/>
            </w:tcBorders>
            <w:vAlign w:val="center"/>
            <w:hideMark/>
          </w:tcPr>
          <w:p w14:paraId="49583850" w14:textId="77777777" w:rsidR="00162229" w:rsidRPr="00AD01C5" w:rsidRDefault="00162229" w:rsidP="002A21C0">
            <w:pPr>
              <w:spacing w:after="0" w:line="240" w:lineRule="auto"/>
              <w:jc w:val="left"/>
              <w:rPr>
                <w:rFonts w:ascii="Calibri" w:eastAsia="Times New Roman" w:hAnsi="Calibri" w:cs="Calibri"/>
                <w:color w:val="000000"/>
                <w:sz w:val="18"/>
                <w:szCs w:val="18"/>
              </w:rPr>
            </w:pPr>
            <w:r w:rsidRPr="00AD01C5">
              <w:rPr>
                <w:rFonts w:ascii="Calibri" w:eastAsia="Times New Roman" w:hAnsi="Calibri" w:cs="Calibri"/>
                <w:color w:val="000000"/>
                <w:sz w:val="18"/>
                <w:szCs w:val="18"/>
              </w:rPr>
              <w:t>Servizi ed extraurbani di Novi Ligure ed Ovada</w:t>
            </w:r>
          </w:p>
        </w:tc>
        <w:tc>
          <w:tcPr>
            <w:tcW w:w="1032" w:type="dxa"/>
            <w:tcBorders>
              <w:top w:val="nil"/>
              <w:left w:val="nil"/>
              <w:bottom w:val="single" w:sz="4" w:space="0" w:color="A6A6A6"/>
              <w:right w:val="single" w:sz="4" w:space="0" w:color="A6A6A6"/>
            </w:tcBorders>
            <w:vAlign w:val="center"/>
          </w:tcPr>
          <w:p w14:paraId="587523D0"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3.171.886 </w:t>
            </w:r>
          </w:p>
        </w:tc>
        <w:tc>
          <w:tcPr>
            <w:tcW w:w="970" w:type="dxa"/>
            <w:tcBorders>
              <w:top w:val="nil"/>
              <w:left w:val="nil"/>
              <w:bottom w:val="single" w:sz="4" w:space="0" w:color="A6A6A6"/>
              <w:right w:val="single" w:sz="4" w:space="0" w:color="A6A6A6"/>
            </w:tcBorders>
            <w:vAlign w:val="center"/>
          </w:tcPr>
          <w:p w14:paraId="20EBB8BB"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488.286</w:t>
            </w:r>
          </w:p>
        </w:tc>
        <w:tc>
          <w:tcPr>
            <w:tcW w:w="1025" w:type="dxa"/>
            <w:tcBorders>
              <w:top w:val="nil"/>
              <w:left w:val="nil"/>
              <w:bottom w:val="single" w:sz="4" w:space="0" w:color="A6A6A6"/>
              <w:right w:val="single" w:sz="4" w:space="0" w:color="A6A6A6"/>
            </w:tcBorders>
            <w:vAlign w:val="center"/>
          </w:tcPr>
          <w:p w14:paraId="0E1AB36E" w14:textId="77777777" w:rsidR="00162229" w:rsidRPr="00AD01C5" w:rsidRDefault="00162229" w:rsidP="002A21C0">
            <w:pPr>
              <w:spacing w:after="0" w:line="240" w:lineRule="auto"/>
              <w:jc w:val="right"/>
              <w:rPr>
                <w:rFonts w:ascii="Calibri" w:eastAsia="Times New Roman" w:hAnsi="Calibri" w:cs="Calibri"/>
                <w:color w:val="000000"/>
                <w:sz w:val="18"/>
                <w:szCs w:val="18"/>
              </w:rPr>
            </w:pPr>
            <w:r w:rsidRPr="00AD01C5">
              <w:rPr>
                <w:rFonts w:ascii="Calibri" w:eastAsia="Times New Roman" w:hAnsi="Calibri" w:cs="Calibri"/>
                <w:color w:val="000000"/>
                <w:sz w:val="18"/>
                <w:szCs w:val="18"/>
              </w:rPr>
              <w:t xml:space="preserve">3.660.172 </w:t>
            </w:r>
          </w:p>
        </w:tc>
        <w:tc>
          <w:tcPr>
            <w:tcW w:w="674" w:type="dxa"/>
            <w:tcBorders>
              <w:top w:val="nil"/>
              <w:left w:val="nil"/>
              <w:bottom w:val="single" w:sz="4" w:space="0" w:color="A6A6A6"/>
              <w:right w:val="single" w:sz="4" w:space="0" w:color="A6A6A6"/>
            </w:tcBorders>
            <w:vAlign w:val="center"/>
          </w:tcPr>
          <w:p w14:paraId="3162401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13%</w:t>
            </w:r>
          </w:p>
        </w:tc>
        <w:tc>
          <w:tcPr>
            <w:tcW w:w="559" w:type="dxa"/>
            <w:tcBorders>
              <w:top w:val="nil"/>
              <w:left w:val="nil"/>
              <w:bottom w:val="single" w:sz="4" w:space="0" w:color="A6A6A6"/>
              <w:right w:val="single" w:sz="4" w:space="0" w:color="A6A6A6"/>
            </w:tcBorders>
            <w:vAlign w:val="center"/>
          </w:tcPr>
          <w:p w14:paraId="214207A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33,53</w:t>
            </w:r>
          </w:p>
        </w:tc>
        <w:tc>
          <w:tcPr>
            <w:tcW w:w="630" w:type="dxa"/>
            <w:tcBorders>
              <w:top w:val="nil"/>
              <w:left w:val="nil"/>
              <w:bottom w:val="single" w:sz="4" w:space="0" w:color="A6A6A6"/>
              <w:right w:val="single" w:sz="4" w:space="0" w:color="A6A6A6"/>
            </w:tcBorders>
            <w:vAlign w:val="center"/>
          </w:tcPr>
          <w:p w14:paraId="7D2D56B4"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Calibri" w:hAnsi="Calibri" w:cs="Arial"/>
                <w:sz w:val="18"/>
                <w:szCs w:val="18"/>
              </w:rPr>
              <w:t>29,07</w:t>
            </w:r>
          </w:p>
        </w:tc>
        <w:tc>
          <w:tcPr>
            <w:tcW w:w="631" w:type="dxa"/>
            <w:tcBorders>
              <w:top w:val="nil"/>
              <w:left w:val="nil"/>
              <w:bottom w:val="single" w:sz="4" w:space="0" w:color="A6A6A6"/>
              <w:right w:val="single" w:sz="4" w:space="0" w:color="A6A6A6"/>
            </w:tcBorders>
            <w:vAlign w:val="center"/>
          </w:tcPr>
          <w:p w14:paraId="4F6435F2"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49</w:t>
            </w:r>
          </w:p>
        </w:tc>
        <w:tc>
          <w:tcPr>
            <w:tcW w:w="834" w:type="dxa"/>
            <w:tcBorders>
              <w:top w:val="nil"/>
              <w:left w:val="nil"/>
              <w:bottom w:val="single" w:sz="4" w:space="0" w:color="A6A6A6"/>
              <w:right w:val="single" w:sz="4" w:space="0" w:color="A6A6A6"/>
            </w:tcBorders>
            <w:vAlign w:val="center"/>
          </w:tcPr>
          <w:p w14:paraId="527656CF"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13</w:t>
            </w:r>
          </w:p>
        </w:tc>
      </w:tr>
      <w:tr w:rsidR="00162229" w:rsidRPr="00AD01C5" w14:paraId="28BF3D19" w14:textId="77777777" w:rsidTr="002A21C0">
        <w:trPr>
          <w:trHeight w:val="300"/>
          <w:jc w:val="center"/>
        </w:trPr>
        <w:tc>
          <w:tcPr>
            <w:tcW w:w="2571" w:type="dxa"/>
            <w:gridSpan w:val="2"/>
            <w:tcBorders>
              <w:top w:val="double" w:sz="4" w:space="0" w:color="A6A6A6"/>
              <w:left w:val="single" w:sz="4" w:space="0" w:color="A6A6A6"/>
              <w:bottom w:val="single" w:sz="4" w:space="0" w:color="A6A6A6"/>
              <w:right w:val="single" w:sz="4" w:space="0" w:color="A6A6A6"/>
            </w:tcBorders>
            <w:vAlign w:val="center"/>
            <w:hideMark/>
          </w:tcPr>
          <w:p w14:paraId="46909700" w14:textId="77777777" w:rsidR="00162229" w:rsidRPr="00AD01C5" w:rsidRDefault="00162229" w:rsidP="002A21C0">
            <w:pPr>
              <w:spacing w:after="0" w:line="240" w:lineRule="auto"/>
              <w:jc w:val="center"/>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Totale intero bacino</w:t>
            </w:r>
          </w:p>
        </w:tc>
        <w:tc>
          <w:tcPr>
            <w:tcW w:w="1032" w:type="dxa"/>
            <w:tcBorders>
              <w:top w:val="double" w:sz="4" w:space="0" w:color="A6A6A6"/>
              <w:left w:val="nil"/>
              <w:bottom w:val="single" w:sz="4" w:space="0" w:color="A6A6A6"/>
              <w:right w:val="single" w:sz="4" w:space="0" w:color="A6A6A6"/>
            </w:tcBorders>
            <w:vAlign w:val="center"/>
          </w:tcPr>
          <w:p w14:paraId="33FDA7E1" w14:textId="77777777" w:rsidR="00162229" w:rsidRPr="00AD01C5" w:rsidRDefault="00162229" w:rsidP="002A21C0">
            <w:pPr>
              <w:spacing w:after="0" w:line="240" w:lineRule="auto"/>
              <w:jc w:val="righ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 xml:space="preserve">11.054.283 </w:t>
            </w:r>
          </w:p>
        </w:tc>
        <w:tc>
          <w:tcPr>
            <w:tcW w:w="970" w:type="dxa"/>
            <w:tcBorders>
              <w:top w:val="double" w:sz="4" w:space="0" w:color="A6A6A6"/>
              <w:left w:val="nil"/>
              <w:bottom w:val="single" w:sz="4" w:space="0" w:color="A6A6A6"/>
              <w:right w:val="single" w:sz="4" w:space="0" w:color="A6A6A6"/>
            </w:tcBorders>
            <w:vAlign w:val="center"/>
          </w:tcPr>
          <w:p w14:paraId="251E2427" w14:textId="77777777" w:rsidR="00162229" w:rsidRPr="00AD01C5" w:rsidRDefault="00162229" w:rsidP="002A21C0">
            <w:pPr>
              <w:spacing w:after="0" w:line="240" w:lineRule="auto"/>
              <w:jc w:val="righ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3.090.505</w:t>
            </w:r>
          </w:p>
        </w:tc>
        <w:tc>
          <w:tcPr>
            <w:tcW w:w="1025" w:type="dxa"/>
            <w:tcBorders>
              <w:top w:val="double" w:sz="4" w:space="0" w:color="A6A6A6"/>
              <w:left w:val="nil"/>
              <w:bottom w:val="single" w:sz="4" w:space="0" w:color="A6A6A6"/>
              <w:right w:val="single" w:sz="4" w:space="0" w:color="A6A6A6"/>
            </w:tcBorders>
            <w:vAlign w:val="center"/>
          </w:tcPr>
          <w:p w14:paraId="105DB59A" w14:textId="77777777" w:rsidR="00162229" w:rsidRPr="00AD01C5" w:rsidRDefault="00162229" w:rsidP="002A21C0">
            <w:pPr>
              <w:spacing w:after="0"/>
              <w:jc w:val="right"/>
              <w:rPr>
                <w:rFonts w:ascii="Calibri" w:eastAsia="Calibri" w:hAnsi="Calibri" w:cs="Calibri"/>
                <w:b/>
                <w:bCs/>
                <w:color w:val="000000"/>
                <w:sz w:val="20"/>
                <w:szCs w:val="20"/>
              </w:rPr>
            </w:pPr>
            <w:r w:rsidRPr="00AD01C5">
              <w:rPr>
                <w:rFonts w:ascii="Calibri" w:eastAsia="Calibri" w:hAnsi="Calibri" w:cs="Calibri"/>
                <w:b/>
                <w:bCs/>
                <w:color w:val="000000"/>
                <w:sz w:val="18"/>
                <w:szCs w:val="18"/>
              </w:rPr>
              <w:t>14.144.788</w:t>
            </w:r>
          </w:p>
        </w:tc>
        <w:tc>
          <w:tcPr>
            <w:tcW w:w="674" w:type="dxa"/>
            <w:tcBorders>
              <w:top w:val="nil"/>
              <w:left w:val="nil"/>
              <w:bottom w:val="nil"/>
              <w:right w:val="nil"/>
            </w:tcBorders>
            <w:hideMark/>
          </w:tcPr>
          <w:p w14:paraId="760C88B8" w14:textId="77777777" w:rsidR="00162229" w:rsidRPr="00AD01C5" w:rsidRDefault="00162229" w:rsidP="002A21C0">
            <w:pPr>
              <w:spacing w:after="0" w:line="240" w:lineRule="auto"/>
              <w:jc w:val="center"/>
              <w:rPr>
                <w:rFonts w:ascii="Calibri" w:eastAsia="Times New Roman" w:hAnsi="Calibri" w:cs="Calibri"/>
                <w:b/>
                <w:bCs/>
                <w:i/>
                <w:iCs/>
                <w:color w:val="000000"/>
                <w:sz w:val="18"/>
                <w:szCs w:val="18"/>
              </w:rPr>
            </w:pPr>
            <w:r w:rsidRPr="00AD01C5">
              <w:rPr>
                <w:rFonts w:ascii="Calibri" w:eastAsia="Calibri" w:hAnsi="Calibri" w:cs="Calibri"/>
                <w:b/>
                <w:bCs/>
                <w:i/>
                <w:iCs/>
                <w:sz w:val="18"/>
                <w:szCs w:val="18"/>
              </w:rPr>
              <w:t xml:space="preserve"> </w:t>
            </w:r>
          </w:p>
        </w:tc>
        <w:tc>
          <w:tcPr>
            <w:tcW w:w="559" w:type="dxa"/>
            <w:tcBorders>
              <w:top w:val="nil"/>
              <w:left w:val="nil"/>
              <w:bottom w:val="nil"/>
              <w:right w:val="nil"/>
            </w:tcBorders>
            <w:vAlign w:val="center"/>
            <w:hideMark/>
          </w:tcPr>
          <w:p w14:paraId="59E5E863" w14:textId="77777777" w:rsidR="00162229" w:rsidRPr="00AD01C5" w:rsidRDefault="00162229" w:rsidP="002A21C0">
            <w:pPr>
              <w:spacing w:after="0" w:line="240" w:lineRule="auto"/>
              <w:jc w:val="lef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 </w:t>
            </w:r>
          </w:p>
        </w:tc>
        <w:tc>
          <w:tcPr>
            <w:tcW w:w="630" w:type="dxa"/>
            <w:tcBorders>
              <w:top w:val="nil"/>
              <w:left w:val="nil"/>
              <w:bottom w:val="nil"/>
              <w:right w:val="nil"/>
            </w:tcBorders>
            <w:vAlign w:val="center"/>
            <w:hideMark/>
          </w:tcPr>
          <w:p w14:paraId="64110D62" w14:textId="77777777" w:rsidR="00162229" w:rsidRPr="00AD01C5" w:rsidRDefault="00162229" w:rsidP="002A21C0">
            <w:pPr>
              <w:spacing w:after="0" w:line="240" w:lineRule="auto"/>
              <w:jc w:val="lef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 </w:t>
            </w:r>
          </w:p>
        </w:tc>
        <w:tc>
          <w:tcPr>
            <w:tcW w:w="631" w:type="dxa"/>
            <w:tcBorders>
              <w:top w:val="nil"/>
              <w:left w:val="nil"/>
              <w:bottom w:val="nil"/>
              <w:right w:val="nil"/>
            </w:tcBorders>
            <w:vAlign w:val="center"/>
            <w:hideMark/>
          </w:tcPr>
          <w:p w14:paraId="7D3B4642" w14:textId="77777777" w:rsidR="00162229" w:rsidRPr="00AD01C5" w:rsidRDefault="00162229" w:rsidP="002A21C0">
            <w:pPr>
              <w:spacing w:after="0" w:line="240" w:lineRule="auto"/>
              <w:jc w:val="lef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 </w:t>
            </w:r>
          </w:p>
        </w:tc>
        <w:tc>
          <w:tcPr>
            <w:tcW w:w="834" w:type="dxa"/>
            <w:tcBorders>
              <w:top w:val="nil"/>
              <w:left w:val="nil"/>
              <w:bottom w:val="nil"/>
              <w:right w:val="nil"/>
            </w:tcBorders>
            <w:vAlign w:val="center"/>
            <w:hideMark/>
          </w:tcPr>
          <w:p w14:paraId="66035420" w14:textId="77777777" w:rsidR="00162229" w:rsidRPr="00AD01C5" w:rsidRDefault="00162229" w:rsidP="002A21C0">
            <w:pPr>
              <w:spacing w:after="0" w:line="240" w:lineRule="auto"/>
              <w:jc w:val="left"/>
              <w:rPr>
                <w:rFonts w:ascii="Calibri" w:eastAsia="Times New Roman" w:hAnsi="Calibri" w:cs="Calibri"/>
                <w:b/>
                <w:bCs/>
                <w:i/>
                <w:iCs/>
                <w:color w:val="000000"/>
                <w:sz w:val="18"/>
                <w:szCs w:val="18"/>
              </w:rPr>
            </w:pPr>
            <w:r w:rsidRPr="00AD01C5">
              <w:rPr>
                <w:rFonts w:ascii="Calibri" w:eastAsia="Times New Roman" w:hAnsi="Calibri" w:cs="Calibri"/>
                <w:b/>
                <w:bCs/>
                <w:i/>
                <w:iCs/>
                <w:color w:val="000000"/>
                <w:sz w:val="18"/>
                <w:szCs w:val="18"/>
              </w:rPr>
              <w:t> </w:t>
            </w:r>
          </w:p>
        </w:tc>
      </w:tr>
    </w:tbl>
    <w:p w14:paraId="4B97AA05" w14:textId="7DBD95A7" w:rsidR="00162229" w:rsidRPr="00AD01C5" w:rsidRDefault="00162229" w:rsidP="00162229">
      <w:pPr>
        <w:spacing w:after="200" w:line="240" w:lineRule="auto"/>
        <w:jc w:val="center"/>
        <w:rPr>
          <w:rFonts w:ascii="Calibri" w:eastAsia="Calibri" w:hAnsi="Calibri" w:cs="Calibri"/>
          <w:iCs/>
          <w:color w:val="17406D"/>
          <w:sz w:val="18"/>
          <w:szCs w:val="18"/>
        </w:rPr>
      </w:pPr>
      <w:bookmarkStart w:id="399" w:name="_Ref193809631"/>
      <w:r w:rsidRPr="00AD01C5">
        <w:rPr>
          <w:rFonts w:ascii="Calibri" w:eastAsia="Calibri" w:hAnsi="Calibri" w:cs="Calibri"/>
          <w:i/>
          <w:iCs/>
          <w:color w:val="17406D"/>
          <w:sz w:val="18"/>
          <w:szCs w:val="18"/>
        </w:rPr>
        <w:t xml:space="preserve">Tabella </w:t>
      </w:r>
      <w:r w:rsidRPr="00AD01C5">
        <w:rPr>
          <w:rFonts w:ascii="Calibri" w:eastAsia="Calibri" w:hAnsi="Calibri" w:cs="Calibri"/>
          <w:i/>
          <w:iCs/>
          <w:color w:val="17406D"/>
          <w:sz w:val="18"/>
          <w:szCs w:val="18"/>
        </w:rPr>
        <w:fldChar w:fldCharType="begin"/>
      </w:r>
      <w:r w:rsidRPr="00AD01C5">
        <w:rPr>
          <w:rFonts w:ascii="Calibri" w:eastAsia="Calibri" w:hAnsi="Calibri" w:cs="Calibri"/>
          <w:i/>
          <w:iCs/>
          <w:color w:val="17406D"/>
          <w:sz w:val="18"/>
          <w:szCs w:val="18"/>
        </w:rPr>
        <w:instrText xml:space="preserve"> SEQ Tabella \* ARABIC </w:instrText>
      </w:r>
      <w:r w:rsidRPr="00AD01C5">
        <w:rPr>
          <w:rFonts w:ascii="Calibri" w:eastAsia="Calibri" w:hAnsi="Calibri" w:cs="Calibri"/>
          <w:i/>
          <w:iCs/>
          <w:color w:val="17406D"/>
          <w:sz w:val="18"/>
          <w:szCs w:val="18"/>
        </w:rPr>
        <w:fldChar w:fldCharType="separate"/>
      </w:r>
      <w:r w:rsidR="00670903">
        <w:rPr>
          <w:rFonts w:ascii="Calibri" w:eastAsia="Calibri" w:hAnsi="Calibri" w:cs="Calibri"/>
          <w:i/>
          <w:iCs/>
          <w:noProof/>
          <w:color w:val="17406D"/>
          <w:sz w:val="18"/>
          <w:szCs w:val="18"/>
        </w:rPr>
        <w:t>52</w:t>
      </w:r>
      <w:r w:rsidRPr="00AD01C5">
        <w:rPr>
          <w:rFonts w:ascii="Calibri" w:eastAsia="Calibri" w:hAnsi="Calibri" w:cs="Calibri"/>
          <w:i/>
          <w:iCs/>
          <w:color w:val="17406D"/>
          <w:sz w:val="18"/>
          <w:szCs w:val="18"/>
        </w:rPr>
        <w:fldChar w:fldCharType="end"/>
      </w:r>
      <w:bookmarkEnd w:id="399"/>
      <w:r w:rsidRPr="00AD01C5">
        <w:rPr>
          <w:rFonts w:ascii="Calibri" w:eastAsia="Calibri" w:hAnsi="Calibri" w:cs="Calibri"/>
          <w:iCs/>
          <w:color w:val="17406D"/>
          <w:sz w:val="18"/>
          <w:szCs w:val="18"/>
        </w:rPr>
        <w:t xml:space="preserve"> – </w:t>
      </w:r>
      <w:r w:rsidRPr="00AD01C5">
        <w:rPr>
          <w:rFonts w:ascii="Calibri" w:eastAsia="Calibri" w:hAnsi="Calibri" w:cs="Calibri"/>
          <w:i/>
          <w:color w:val="17406D"/>
          <w:sz w:val="18"/>
          <w:szCs w:val="18"/>
        </w:rPr>
        <w:t>Unità di rete: descrizione dei parametri principali</w:t>
      </w:r>
    </w:p>
    <w:p w14:paraId="146255AA"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Nella figura seguente si possono vedere dal punto di vista territoriale come sono distribuiti gli accorpamenti delle differenti localizzazioni in unità di rete e dei servizi ad esse assegnati.</w:t>
      </w:r>
    </w:p>
    <w:p w14:paraId="1B7D180D" w14:textId="77777777" w:rsidR="00162229" w:rsidRPr="00AD01C5" w:rsidRDefault="00162229" w:rsidP="00162229">
      <w:pPr>
        <w:spacing w:before="120" w:after="0" w:line="240" w:lineRule="auto"/>
        <w:jc w:val="center"/>
        <w:rPr>
          <w:rFonts w:ascii="Calibri" w:eastAsia="Calibri" w:hAnsi="Calibri" w:cs="Arial"/>
        </w:rPr>
      </w:pPr>
      <w:r w:rsidRPr="00AD01C5">
        <w:rPr>
          <w:rFonts w:ascii="Calibri" w:eastAsia="Calibri" w:hAnsi="Calibri" w:cs="Arial"/>
          <w:noProof/>
        </w:rPr>
        <w:lastRenderedPageBreak/>
        <mc:AlternateContent>
          <mc:Choice Requires="wps">
            <w:drawing>
              <wp:anchor distT="0" distB="0" distL="114300" distR="114300" simplePos="0" relativeHeight="251665412" behindDoc="0" locked="0" layoutInCell="1" allowOverlap="1" wp14:anchorId="0FCC8506" wp14:editId="3417FB11">
                <wp:simplePos x="0" y="0"/>
                <wp:positionH relativeFrom="margin">
                  <wp:posOffset>1935064</wp:posOffset>
                </wp:positionH>
                <wp:positionV relativeFrom="paragraph">
                  <wp:posOffset>1783859</wp:posOffset>
                </wp:positionV>
                <wp:extent cx="2915634" cy="1457395"/>
                <wp:effectExtent l="0" t="228600" r="0" b="219075"/>
                <wp:wrapNone/>
                <wp:docPr id="964786052" name="Ovale 3"/>
                <wp:cNvGraphicFramePr/>
                <a:graphic xmlns:a="http://schemas.openxmlformats.org/drawingml/2006/main">
                  <a:graphicData uri="http://schemas.microsoft.com/office/word/2010/wordprocessingShape">
                    <wps:wsp>
                      <wps:cNvSpPr/>
                      <wps:spPr>
                        <a:xfrm rot="19940075">
                          <a:off x="0" y="0"/>
                          <a:ext cx="2915634" cy="1457395"/>
                        </a:xfrm>
                        <a:prstGeom prst="ellipse">
                          <a:avLst/>
                        </a:prstGeom>
                        <a:noFill/>
                        <a:ln w="12700" cap="rnd"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BD0BBD" id="Ovale 3" o:spid="_x0000_s1026" style="position:absolute;margin-left:152.35pt;margin-top:140.45pt;width:229.6pt;height:114.75pt;rotation:-1813081fd;z-index:2516654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" filled="f" strokecolor="#ffc000" strokeweight="1pt">
                <v:stroke endcap="round"/>
                <w10:wrap anchorx="margin"/>
              </v:oval>
            </w:pict>
          </mc:Fallback>
        </mc:AlternateContent>
      </w:r>
      <w:r w:rsidRPr="00AD01C5">
        <w:rPr>
          <w:rFonts w:ascii="Calibri" w:eastAsia="Calibri" w:hAnsi="Calibri" w:cs="Arial"/>
          <w:noProof/>
        </w:rPr>
        <mc:AlternateContent>
          <mc:Choice Requires="wps">
            <w:drawing>
              <wp:anchor distT="0" distB="0" distL="114300" distR="114300" simplePos="0" relativeHeight="251664388" behindDoc="0" locked="0" layoutInCell="1" allowOverlap="1" wp14:anchorId="17078462" wp14:editId="166E68D7">
                <wp:simplePos x="0" y="0"/>
                <wp:positionH relativeFrom="margin">
                  <wp:posOffset>1584063</wp:posOffset>
                </wp:positionH>
                <wp:positionV relativeFrom="paragraph">
                  <wp:posOffset>195964</wp:posOffset>
                </wp:positionV>
                <wp:extent cx="2514600" cy="1686675"/>
                <wp:effectExtent l="0" t="57150" r="0" b="46990"/>
                <wp:wrapNone/>
                <wp:docPr id="445351593" name="Ovale 3"/>
                <wp:cNvGraphicFramePr/>
                <a:graphic xmlns:a="http://schemas.openxmlformats.org/drawingml/2006/main">
                  <a:graphicData uri="http://schemas.microsoft.com/office/word/2010/wordprocessingShape">
                    <wps:wsp>
                      <wps:cNvSpPr/>
                      <wps:spPr>
                        <a:xfrm rot="918458">
                          <a:off x="0" y="0"/>
                          <a:ext cx="2514600" cy="1686675"/>
                        </a:xfrm>
                        <a:prstGeom prst="ellipse">
                          <a:avLst/>
                        </a:prstGeom>
                        <a:noFill/>
                        <a:ln w="12700" cap="rnd"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4DD69D" id="Ovale 3" o:spid="_x0000_s1026" style="position:absolute;margin-left:124.75pt;margin-top:15.45pt;width:198pt;height:132.8pt;rotation:1003201fd;z-index:2516643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" filled="f" strokecolor="#7030a0" strokeweight="1pt">
                <v:stroke endcap="round"/>
                <w10:wrap anchorx="margin"/>
              </v:oval>
            </w:pict>
          </mc:Fallback>
        </mc:AlternateContent>
      </w:r>
      <w:r w:rsidRPr="00AD01C5">
        <w:rPr>
          <w:rFonts w:ascii="Calibri" w:eastAsia="Calibri" w:hAnsi="Calibri" w:cs="Arial"/>
          <w:noProof/>
        </w:rPr>
        <mc:AlternateContent>
          <mc:Choice Requires="wps">
            <w:drawing>
              <wp:anchor distT="0" distB="0" distL="114300" distR="114300" simplePos="0" relativeHeight="251663364" behindDoc="0" locked="0" layoutInCell="1" allowOverlap="1" wp14:anchorId="24B8AD4A" wp14:editId="5BDCB7AA">
                <wp:simplePos x="0" y="0"/>
                <wp:positionH relativeFrom="margin">
                  <wp:posOffset>52330</wp:posOffset>
                </wp:positionH>
                <wp:positionV relativeFrom="paragraph">
                  <wp:posOffset>1154658</wp:posOffset>
                </wp:positionV>
                <wp:extent cx="2886419" cy="1193275"/>
                <wp:effectExtent l="0" t="438150" r="0" b="426085"/>
                <wp:wrapNone/>
                <wp:docPr id="1873360395" name="Ovale 3"/>
                <wp:cNvGraphicFramePr/>
                <a:graphic xmlns:a="http://schemas.openxmlformats.org/drawingml/2006/main">
                  <a:graphicData uri="http://schemas.microsoft.com/office/word/2010/wordprocessingShape">
                    <wps:wsp>
                      <wps:cNvSpPr/>
                      <wps:spPr>
                        <a:xfrm rot="2312097">
                          <a:off x="0" y="0"/>
                          <a:ext cx="2886419" cy="1193275"/>
                        </a:xfrm>
                        <a:prstGeom prst="ellipse">
                          <a:avLst/>
                        </a:prstGeom>
                        <a:noFill/>
                        <a:ln w="12700" cap="rnd" cmpd="sng" algn="ctr">
                          <a:solidFill>
                            <a:srgbClr val="009DD9">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63D501" id="Ovale 3" o:spid="_x0000_s1026" style="position:absolute;margin-left:4.1pt;margin-top:90.9pt;width:227.3pt;height:93.95pt;rotation:2525426fd;z-index:2516633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" filled="f" strokecolor="#8adfff" strokeweight="1pt">
                <v:stroke endcap="round"/>
                <w10:wrap anchorx="margin"/>
              </v:oval>
            </w:pict>
          </mc:Fallback>
        </mc:AlternateContent>
      </w:r>
      <w:r w:rsidRPr="00AD01C5">
        <w:rPr>
          <w:rFonts w:ascii="Calibri" w:eastAsia="Calibri" w:hAnsi="Calibri" w:cs="Arial"/>
          <w:noProof/>
        </w:rPr>
        <w:drawing>
          <wp:inline distT="0" distB="0" distL="0" distR="0" wp14:anchorId="3D7ECF0C" wp14:editId="44D9D47A">
            <wp:extent cx="5759450" cy="4076065"/>
            <wp:effectExtent l="0" t="0" r="0" b="635"/>
            <wp:docPr id="615538647" name="Immagine 2"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38647" name="Immagine 2" descr="Immagine che contiene testo, mappa, diagramma, atlante&#10;&#10;Descrizione generata automaticament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59450" cy="4076065"/>
                    </a:xfrm>
                    <a:prstGeom prst="rect">
                      <a:avLst/>
                    </a:prstGeom>
                    <a:noFill/>
                    <a:ln>
                      <a:noFill/>
                    </a:ln>
                  </pic:spPr>
                </pic:pic>
              </a:graphicData>
            </a:graphic>
          </wp:inline>
        </w:drawing>
      </w:r>
    </w:p>
    <w:p w14:paraId="29107487" w14:textId="7BAD477A" w:rsidR="00162229" w:rsidRPr="00AD01C5" w:rsidRDefault="00162229" w:rsidP="00162229">
      <w:pPr>
        <w:spacing w:after="200" w:line="240" w:lineRule="auto"/>
        <w:jc w:val="center"/>
        <w:rPr>
          <w:rFonts w:ascii="Calibri" w:eastAsia="Calibri" w:hAnsi="Calibri" w:cs="Times New Roman"/>
          <w:i/>
          <w:iCs/>
          <w:color w:val="17406D"/>
          <w:sz w:val="18"/>
        </w:rPr>
      </w:pPr>
      <w:bookmarkStart w:id="400" w:name="_Hlk190683514"/>
      <w:r w:rsidRPr="00AD01C5">
        <w:rPr>
          <w:rFonts w:ascii="Calibri" w:eastAsia="Calibri" w:hAnsi="Calibri" w:cs="Arial"/>
          <w:i/>
          <w:iCs/>
          <w:color w:val="17406D"/>
          <w:sz w:val="18"/>
          <w:szCs w:val="18"/>
        </w:rPr>
        <w:t xml:space="preserve">Figura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Figura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29</w:t>
      </w:r>
      <w:r w:rsidRPr="00AD01C5">
        <w:rPr>
          <w:rFonts w:ascii="Calibri" w:eastAsia="Calibri" w:hAnsi="Calibri" w:cs="Arial"/>
          <w:i/>
          <w:iCs/>
          <w:color w:val="17406D"/>
          <w:sz w:val="18"/>
          <w:szCs w:val="18"/>
        </w:rPr>
        <w:fldChar w:fldCharType="end"/>
      </w:r>
      <w:r w:rsidRPr="00AD01C5">
        <w:rPr>
          <w:rFonts w:ascii="Calibri" w:eastAsia="Calibri" w:hAnsi="Calibri" w:cs="Arial"/>
          <w:i/>
          <w:iCs/>
          <w:color w:val="17406D"/>
          <w:sz w:val="18"/>
          <w:szCs w:val="18"/>
        </w:rPr>
        <w:t xml:space="preserve"> – Configurazione territoriale unità di rete  </w:t>
      </w:r>
    </w:p>
    <w:p w14:paraId="775335A8" w14:textId="31BAA8F0" w:rsidR="00162229" w:rsidRDefault="00162229" w:rsidP="00162229">
      <w:pPr>
        <w:spacing w:before="120" w:after="0" w:line="240" w:lineRule="auto"/>
        <w:rPr>
          <w:rFonts w:ascii="Calibri" w:eastAsia="Calibri" w:hAnsi="Calibri" w:cs="Arial"/>
        </w:rPr>
      </w:pPr>
      <w:bookmarkStart w:id="401" w:name="_Ref192579067"/>
      <w:bookmarkStart w:id="402" w:name="_Ref192580318"/>
      <w:bookmarkStart w:id="403" w:name="_Ref192580336"/>
      <w:bookmarkStart w:id="404" w:name="_Toc193195796"/>
      <w:bookmarkStart w:id="405" w:name="_Toc35482313"/>
      <w:bookmarkStart w:id="406" w:name="_Toc197695724"/>
      <w:bookmarkStart w:id="407" w:name="_Toc204616533"/>
      <w:bookmarkEnd w:id="400"/>
      <w:r w:rsidRPr="00AD01C5">
        <w:rPr>
          <w:rFonts w:ascii="Calibri" w:eastAsia="Calibri" w:hAnsi="Calibri" w:cs="Arial"/>
        </w:rPr>
        <w:t>Con i parametri calcolati per ciascuna unità di rete (</w:t>
      </w:r>
      <w:r w:rsidRPr="00AD01C5">
        <w:rPr>
          <w:rFonts w:ascii="Calibri" w:eastAsia="Calibri" w:hAnsi="Calibri" w:cs="Arial"/>
        </w:rPr>
        <w:fldChar w:fldCharType="begin"/>
      </w:r>
      <w:r w:rsidRPr="00AD01C5">
        <w:rPr>
          <w:rFonts w:ascii="Calibri" w:eastAsia="Calibri" w:hAnsi="Calibri" w:cs="Arial"/>
        </w:rPr>
        <w:instrText xml:space="preserve"> REF _Ref193809631 \h </w:instrText>
      </w:r>
      <w:r>
        <w:rPr>
          <w:rFonts w:ascii="Calibri" w:eastAsia="Calibri" w:hAnsi="Calibri" w:cs="Arial"/>
        </w:rPr>
        <w:instrText xml:space="preserve"> \* MERGEFORMAT </w:instrText>
      </w:r>
      <w:r w:rsidRPr="00AD01C5">
        <w:rPr>
          <w:rFonts w:ascii="Calibri" w:eastAsia="Calibri" w:hAnsi="Calibri" w:cs="Arial"/>
        </w:rPr>
      </w:r>
      <w:r w:rsidRPr="00AD01C5">
        <w:rPr>
          <w:rFonts w:ascii="Calibri" w:eastAsia="Calibri" w:hAnsi="Calibri" w:cs="Arial"/>
        </w:rPr>
        <w:fldChar w:fldCharType="separate"/>
      </w:r>
      <w:r w:rsidR="00670903" w:rsidRPr="00670903">
        <w:rPr>
          <w:rFonts w:ascii="Calibri" w:eastAsia="Calibri" w:hAnsi="Calibri" w:cs="Arial"/>
        </w:rPr>
        <w:t>Tabella 52</w:t>
      </w:r>
      <w:r w:rsidRPr="00AD01C5">
        <w:rPr>
          <w:rFonts w:ascii="Calibri" w:eastAsia="Calibri" w:hAnsi="Calibri" w:cs="Arial"/>
        </w:rPr>
        <w:fldChar w:fldCharType="end"/>
      </w:r>
      <w:r w:rsidRPr="00AD01C5">
        <w:rPr>
          <w:rFonts w:ascii="Calibri" w:eastAsia="Calibri" w:hAnsi="Calibri" w:cs="Arial"/>
        </w:rPr>
        <w:t>), dimensionata su una produzione più prossima possibile al valore ottimale di 4 milioni di veicoli-km annui, è stato dunque possibile ricavare il costo standard per ciascuna di esse.</w:t>
      </w:r>
    </w:p>
    <w:p w14:paraId="3E778949" w14:textId="77777777" w:rsidR="002E267F" w:rsidRDefault="002E267F" w:rsidP="00162229">
      <w:pPr>
        <w:spacing w:before="120" w:after="0" w:line="240" w:lineRule="auto"/>
        <w:rPr>
          <w:rFonts w:ascii="Calibri" w:eastAsia="Calibri" w:hAnsi="Calibri" w:cs="Arial"/>
        </w:rPr>
      </w:pPr>
    </w:p>
    <w:tbl>
      <w:tblPr>
        <w:tblW w:w="5000" w:type="pct"/>
        <w:tblCellMar>
          <w:left w:w="70" w:type="dxa"/>
          <w:right w:w="70" w:type="dxa"/>
        </w:tblCellMar>
        <w:tblLook w:val="04A0" w:firstRow="1" w:lastRow="0" w:firstColumn="1" w:lastColumn="0" w:noHBand="0" w:noVBand="1"/>
      </w:tblPr>
      <w:tblGrid>
        <w:gridCol w:w="2056"/>
        <w:gridCol w:w="1548"/>
        <w:gridCol w:w="1317"/>
        <w:gridCol w:w="1787"/>
        <w:gridCol w:w="1398"/>
        <w:gridCol w:w="954"/>
      </w:tblGrid>
      <w:tr w:rsidR="002E267F" w:rsidRPr="002E267F" w14:paraId="1FB6EC69" w14:textId="77777777" w:rsidTr="002E267F">
        <w:trPr>
          <w:trHeight w:val="900"/>
        </w:trPr>
        <w:tc>
          <w:tcPr>
            <w:tcW w:w="1099" w:type="pct"/>
            <w:tcBorders>
              <w:top w:val="single" w:sz="4" w:space="0" w:color="D9D9D9"/>
              <w:left w:val="single" w:sz="4" w:space="0" w:color="D9D9D9"/>
              <w:bottom w:val="single" w:sz="4" w:space="0" w:color="D9D9D9"/>
              <w:right w:val="single" w:sz="4" w:space="0" w:color="D9D9D9"/>
            </w:tcBorders>
            <w:shd w:val="clear" w:color="000000" w:fill="A5C34C"/>
            <w:vAlign w:val="center"/>
            <w:hideMark/>
          </w:tcPr>
          <w:p w14:paraId="3503E3CE"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Lotti</w:t>
            </w:r>
          </w:p>
        </w:tc>
        <w:tc>
          <w:tcPr>
            <w:tcW w:w="818" w:type="pct"/>
            <w:tcBorders>
              <w:top w:val="single" w:sz="4" w:space="0" w:color="D9D9D9"/>
              <w:left w:val="nil"/>
              <w:bottom w:val="single" w:sz="4" w:space="0" w:color="D9D9D9"/>
              <w:right w:val="single" w:sz="4" w:space="0" w:color="D9D9D9"/>
            </w:tcBorders>
            <w:shd w:val="clear" w:color="000000" w:fill="A5C34C"/>
            <w:vAlign w:val="center"/>
            <w:hideMark/>
          </w:tcPr>
          <w:p w14:paraId="71471A05"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Produzione</w:t>
            </w:r>
          </w:p>
        </w:tc>
        <w:tc>
          <w:tcPr>
            <w:tcW w:w="847" w:type="pct"/>
            <w:tcBorders>
              <w:top w:val="single" w:sz="4" w:space="0" w:color="D9D9D9"/>
              <w:left w:val="nil"/>
              <w:bottom w:val="single" w:sz="4" w:space="0" w:color="D9D9D9"/>
              <w:right w:val="single" w:sz="4" w:space="0" w:color="D9D9D9"/>
            </w:tcBorders>
            <w:shd w:val="clear" w:color="000000" w:fill="A5C34C"/>
            <w:vAlign w:val="center"/>
            <w:hideMark/>
          </w:tcPr>
          <w:p w14:paraId="4FBE16E5"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Costo standard unitario</w:t>
            </w:r>
          </w:p>
        </w:tc>
        <w:tc>
          <w:tcPr>
            <w:tcW w:w="931" w:type="pct"/>
            <w:tcBorders>
              <w:top w:val="single" w:sz="4" w:space="0" w:color="D9D9D9"/>
              <w:left w:val="nil"/>
              <w:bottom w:val="single" w:sz="4" w:space="0" w:color="D9D9D9"/>
              <w:right w:val="single" w:sz="4" w:space="0" w:color="D9D9D9"/>
            </w:tcBorders>
            <w:shd w:val="clear" w:color="000000" w:fill="A5C34C"/>
            <w:vAlign w:val="center"/>
            <w:hideMark/>
          </w:tcPr>
          <w:p w14:paraId="4A812A61"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Costo standard totale</w:t>
            </w:r>
          </w:p>
        </w:tc>
        <w:tc>
          <w:tcPr>
            <w:tcW w:w="776" w:type="pct"/>
            <w:tcBorders>
              <w:top w:val="single" w:sz="4" w:space="0" w:color="D9D9D9"/>
              <w:left w:val="nil"/>
              <w:bottom w:val="single" w:sz="4" w:space="0" w:color="D9D9D9"/>
              <w:right w:val="single" w:sz="4" w:space="0" w:color="D9D9D9"/>
            </w:tcBorders>
            <w:shd w:val="clear" w:color="000000" w:fill="A5C34C"/>
            <w:vAlign w:val="center"/>
            <w:hideMark/>
          </w:tcPr>
          <w:p w14:paraId="5843A740"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Velocità programmata</w:t>
            </w:r>
          </w:p>
        </w:tc>
        <w:tc>
          <w:tcPr>
            <w:tcW w:w="530" w:type="pct"/>
            <w:tcBorders>
              <w:top w:val="single" w:sz="4" w:space="0" w:color="D9D9D9"/>
              <w:left w:val="nil"/>
              <w:bottom w:val="single" w:sz="4" w:space="0" w:color="D9D9D9"/>
              <w:right w:val="single" w:sz="4" w:space="0" w:color="D9D9D9"/>
            </w:tcBorders>
            <w:shd w:val="clear" w:color="000000" w:fill="A5C34C"/>
            <w:vAlign w:val="center"/>
            <w:hideMark/>
          </w:tcPr>
          <w:p w14:paraId="36741E30"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Velocità standard</w:t>
            </w:r>
          </w:p>
        </w:tc>
      </w:tr>
      <w:tr w:rsidR="002E267F" w:rsidRPr="002E267F" w14:paraId="5BEBF93A"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000000" w:fill="A5C34C"/>
            <w:vAlign w:val="center"/>
            <w:hideMark/>
          </w:tcPr>
          <w:p w14:paraId="47982ADF"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 </w:t>
            </w:r>
          </w:p>
        </w:tc>
        <w:tc>
          <w:tcPr>
            <w:tcW w:w="818" w:type="pct"/>
            <w:tcBorders>
              <w:top w:val="nil"/>
              <w:left w:val="nil"/>
              <w:bottom w:val="single" w:sz="4" w:space="0" w:color="D9D9D9"/>
              <w:right w:val="single" w:sz="4" w:space="0" w:color="D9D9D9"/>
            </w:tcBorders>
            <w:shd w:val="clear" w:color="000000" w:fill="A5C34C"/>
            <w:noWrap/>
            <w:vAlign w:val="center"/>
            <w:hideMark/>
          </w:tcPr>
          <w:p w14:paraId="33B185BA"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(veic-km/anno)</w:t>
            </w:r>
          </w:p>
        </w:tc>
        <w:tc>
          <w:tcPr>
            <w:tcW w:w="847" w:type="pct"/>
            <w:tcBorders>
              <w:top w:val="nil"/>
              <w:left w:val="nil"/>
              <w:bottom w:val="single" w:sz="4" w:space="0" w:color="D9D9D9"/>
              <w:right w:val="single" w:sz="4" w:space="0" w:color="D9D9D9"/>
            </w:tcBorders>
            <w:shd w:val="clear" w:color="000000" w:fill="A5C34C"/>
            <w:vAlign w:val="center"/>
            <w:hideMark/>
          </w:tcPr>
          <w:p w14:paraId="3C640CCF"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(€/km)</w:t>
            </w:r>
          </w:p>
        </w:tc>
        <w:tc>
          <w:tcPr>
            <w:tcW w:w="931" w:type="pct"/>
            <w:tcBorders>
              <w:top w:val="nil"/>
              <w:left w:val="nil"/>
              <w:bottom w:val="single" w:sz="4" w:space="0" w:color="D9D9D9"/>
              <w:right w:val="single" w:sz="4" w:space="0" w:color="D9D9D9"/>
            </w:tcBorders>
            <w:shd w:val="clear" w:color="000000" w:fill="A5C34C"/>
            <w:vAlign w:val="center"/>
            <w:hideMark/>
          </w:tcPr>
          <w:p w14:paraId="654C2BAD"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w:t>
            </w:r>
          </w:p>
        </w:tc>
        <w:tc>
          <w:tcPr>
            <w:tcW w:w="776" w:type="pct"/>
            <w:tcBorders>
              <w:top w:val="nil"/>
              <w:left w:val="nil"/>
              <w:bottom w:val="single" w:sz="4" w:space="0" w:color="D9D9D9"/>
              <w:right w:val="single" w:sz="4" w:space="0" w:color="D9D9D9"/>
            </w:tcBorders>
            <w:shd w:val="clear" w:color="000000" w:fill="A5C34C"/>
            <w:vAlign w:val="center"/>
            <w:hideMark/>
          </w:tcPr>
          <w:p w14:paraId="36347AD1"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(km/h)</w:t>
            </w:r>
          </w:p>
        </w:tc>
        <w:tc>
          <w:tcPr>
            <w:tcW w:w="530" w:type="pct"/>
            <w:tcBorders>
              <w:top w:val="nil"/>
              <w:left w:val="nil"/>
              <w:bottom w:val="single" w:sz="4" w:space="0" w:color="D9D9D9"/>
              <w:right w:val="single" w:sz="4" w:space="0" w:color="D9D9D9"/>
            </w:tcBorders>
            <w:shd w:val="clear" w:color="000000" w:fill="A5C34C"/>
            <w:vAlign w:val="center"/>
            <w:hideMark/>
          </w:tcPr>
          <w:p w14:paraId="16587E24" w14:textId="77777777" w:rsidR="002E267F" w:rsidRPr="002E267F" w:rsidRDefault="002E267F" w:rsidP="002E267F">
            <w:pPr>
              <w:spacing w:after="0" w:line="240" w:lineRule="auto"/>
              <w:jc w:val="center"/>
              <w:rPr>
                <w:rFonts w:ascii="Calibri" w:eastAsia="Times New Roman" w:hAnsi="Calibri" w:cs="Calibri"/>
                <w:b/>
                <w:bCs/>
                <w:color w:val="000000"/>
              </w:rPr>
            </w:pPr>
            <w:r w:rsidRPr="002E267F">
              <w:rPr>
                <w:rFonts w:ascii="Calibri" w:eastAsia="Times New Roman" w:hAnsi="Calibri" w:cs="Calibri"/>
                <w:b/>
                <w:bCs/>
                <w:color w:val="000000"/>
              </w:rPr>
              <w:t>(km/h)</w:t>
            </w:r>
          </w:p>
        </w:tc>
      </w:tr>
      <w:tr w:rsidR="002E267F" w:rsidRPr="002E267F" w14:paraId="14C3B9AF"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auto" w:fill="auto"/>
            <w:noWrap/>
            <w:vAlign w:val="bottom"/>
            <w:hideMark/>
          </w:tcPr>
          <w:p w14:paraId="06C51139" w14:textId="77777777" w:rsidR="002E267F" w:rsidRPr="002E267F" w:rsidRDefault="002E267F" w:rsidP="002E267F">
            <w:pPr>
              <w:spacing w:after="0" w:line="240" w:lineRule="auto"/>
              <w:jc w:val="left"/>
              <w:rPr>
                <w:rFonts w:ascii="Calibri" w:eastAsia="Times New Roman" w:hAnsi="Calibri" w:cs="Calibri"/>
                <w:color w:val="000000"/>
              </w:rPr>
            </w:pPr>
            <w:r w:rsidRPr="002E267F">
              <w:rPr>
                <w:rFonts w:ascii="Calibri" w:eastAsia="Times New Roman" w:hAnsi="Calibri" w:cs="Calibri"/>
                <w:color w:val="000000"/>
              </w:rPr>
              <w:t>UR1</w:t>
            </w:r>
          </w:p>
        </w:tc>
        <w:tc>
          <w:tcPr>
            <w:tcW w:w="818" w:type="pct"/>
            <w:tcBorders>
              <w:top w:val="nil"/>
              <w:left w:val="nil"/>
              <w:bottom w:val="single" w:sz="4" w:space="0" w:color="D9D9D9"/>
              <w:right w:val="single" w:sz="4" w:space="0" w:color="D9D9D9"/>
            </w:tcBorders>
            <w:shd w:val="clear" w:color="auto" w:fill="auto"/>
            <w:noWrap/>
            <w:vAlign w:val="bottom"/>
            <w:hideMark/>
          </w:tcPr>
          <w:p w14:paraId="51326171"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5.144.088</w:t>
            </w:r>
          </w:p>
        </w:tc>
        <w:tc>
          <w:tcPr>
            <w:tcW w:w="847" w:type="pct"/>
            <w:tcBorders>
              <w:top w:val="nil"/>
              <w:left w:val="nil"/>
              <w:bottom w:val="single" w:sz="4" w:space="0" w:color="D9D9D9"/>
              <w:right w:val="single" w:sz="4" w:space="0" w:color="D9D9D9"/>
            </w:tcBorders>
            <w:shd w:val="clear" w:color="auto" w:fill="auto"/>
            <w:noWrap/>
            <w:vAlign w:val="bottom"/>
            <w:hideMark/>
          </w:tcPr>
          <w:p w14:paraId="14D10C90" w14:textId="0B0471C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3,15 €</w:t>
            </w:r>
          </w:p>
        </w:tc>
        <w:tc>
          <w:tcPr>
            <w:tcW w:w="931" w:type="pct"/>
            <w:tcBorders>
              <w:top w:val="nil"/>
              <w:left w:val="nil"/>
              <w:bottom w:val="single" w:sz="4" w:space="0" w:color="D9D9D9"/>
              <w:right w:val="single" w:sz="4" w:space="0" w:color="D9D9D9"/>
            </w:tcBorders>
            <w:shd w:val="clear" w:color="auto" w:fill="auto"/>
            <w:noWrap/>
            <w:vAlign w:val="bottom"/>
            <w:hideMark/>
          </w:tcPr>
          <w:p w14:paraId="32DBA1FE" w14:textId="6E7ED4CF"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16.180.078,44 €</w:t>
            </w:r>
          </w:p>
        </w:tc>
        <w:tc>
          <w:tcPr>
            <w:tcW w:w="776" w:type="pct"/>
            <w:tcBorders>
              <w:top w:val="nil"/>
              <w:left w:val="nil"/>
              <w:bottom w:val="single" w:sz="4" w:space="0" w:color="D9D9D9"/>
              <w:right w:val="single" w:sz="4" w:space="0" w:color="D9D9D9"/>
            </w:tcBorders>
            <w:shd w:val="clear" w:color="auto" w:fill="auto"/>
            <w:noWrap/>
            <w:vAlign w:val="bottom"/>
            <w:hideMark/>
          </w:tcPr>
          <w:p w14:paraId="2EE25129"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31,40</w:t>
            </w:r>
          </w:p>
        </w:tc>
        <w:tc>
          <w:tcPr>
            <w:tcW w:w="530" w:type="pct"/>
            <w:tcBorders>
              <w:top w:val="nil"/>
              <w:left w:val="nil"/>
              <w:bottom w:val="single" w:sz="4" w:space="0" w:color="D9D9D9"/>
              <w:right w:val="single" w:sz="4" w:space="0" w:color="D9D9D9"/>
            </w:tcBorders>
            <w:shd w:val="clear" w:color="auto" w:fill="auto"/>
            <w:noWrap/>
            <w:vAlign w:val="bottom"/>
            <w:hideMark/>
          </w:tcPr>
          <w:p w14:paraId="3B505B1A"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27,69</w:t>
            </w:r>
          </w:p>
        </w:tc>
      </w:tr>
      <w:tr w:rsidR="002E267F" w:rsidRPr="002E267F" w14:paraId="2E51F58C"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auto" w:fill="auto"/>
            <w:noWrap/>
            <w:vAlign w:val="bottom"/>
            <w:hideMark/>
          </w:tcPr>
          <w:p w14:paraId="33B71BC2" w14:textId="77777777" w:rsidR="002E267F" w:rsidRPr="002E267F" w:rsidRDefault="002E267F" w:rsidP="002E267F">
            <w:pPr>
              <w:spacing w:after="0" w:line="240" w:lineRule="auto"/>
              <w:jc w:val="left"/>
              <w:rPr>
                <w:rFonts w:ascii="Calibri" w:eastAsia="Times New Roman" w:hAnsi="Calibri" w:cs="Calibri"/>
                <w:color w:val="000000"/>
              </w:rPr>
            </w:pPr>
            <w:r w:rsidRPr="002E267F">
              <w:rPr>
                <w:rFonts w:ascii="Calibri" w:eastAsia="Times New Roman" w:hAnsi="Calibri" w:cs="Calibri"/>
                <w:color w:val="000000"/>
              </w:rPr>
              <w:t>UR2</w:t>
            </w:r>
          </w:p>
        </w:tc>
        <w:tc>
          <w:tcPr>
            <w:tcW w:w="818" w:type="pct"/>
            <w:tcBorders>
              <w:top w:val="nil"/>
              <w:left w:val="nil"/>
              <w:bottom w:val="single" w:sz="4" w:space="0" w:color="D9D9D9"/>
              <w:right w:val="single" w:sz="4" w:space="0" w:color="D9D9D9"/>
            </w:tcBorders>
            <w:shd w:val="clear" w:color="auto" w:fill="auto"/>
            <w:noWrap/>
            <w:vAlign w:val="bottom"/>
            <w:hideMark/>
          </w:tcPr>
          <w:p w14:paraId="12B0A943"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5.340.528</w:t>
            </w:r>
          </w:p>
        </w:tc>
        <w:tc>
          <w:tcPr>
            <w:tcW w:w="847" w:type="pct"/>
            <w:tcBorders>
              <w:top w:val="nil"/>
              <w:left w:val="nil"/>
              <w:bottom w:val="single" w:sz="4" w:space="0" w:color="D9D9D9"/>
              <w:right w:val="single" w:sz="4" w:space="0" w:color="D9D9D9"/>
            </w:tcBorders>
            <w:shd w:val="clear" w:color="auto" w:fill="auto"/>
            <w:noWrap/>
            <w:vAlign w:val="bottom"/>
            <w:hideMark/>
          </w:tcPr>
          <w:p w14:paraId="1E5A2344" w14:textId="448D9C96"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3,30 €</w:t>
            </w:r>
          </w:p>
        </w:tc>
        <w:tc>
          <w:tcPr>
            <w:tcW w:w="931" w:type="pct"/>
            <w:tcBorders>
              <w:top w:val="nil"/>
              <w:left w:val="nil"/>
              <w:bottom w:val="single" w:sz="4" w:space="0" w:color="D9D9D9"/>
              <w:right w:val="single" w:sz="4" w:space="0" w:color="D9D9D9"/>
            </w:tcBorders>
            <w:shd w:val="clear" w:color="auto" w:fill="auto"/>
            <w:noWrap/>
            <w:vAlign w:val="bottom"/>
            <w:hideMark/>
          </w:tcPr>
          <w:p w14:paraId="0307BCD3" w14:textId="12B70B5A"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17.635.971,33 €</w:t>
            </w:r>
          </w:p>
        </w:tc>
        <w:tc>
          <w:tcPr>
            <w:tcW w:w="776" w:type="pct"/>
            <w:tcBorders>
              <w:top w:val="nil"/>
              <w:left w:val="nil"/>
              <w:bottom w:val="single" w:sz="4" w:space="0" w:color="D9D9D9"/>
              <w:right w:val="single" w:sz="4" w:space="0" w:color="D9D9D9"/>
            </w:tcBorders>
            <w:shd w:val="clear" w:color="auto" w:fill="auto"/>
            <w:noWrap/>
            <w:vAlign w:val="bottom"/>
            <w:hideMark/>
          </w:tcPr>
          <w:p w14:paraId="5AE3AB50"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29,27</w:t>
            </w:r>
          </w:p>
        </w:tc>
        <w:tc>
          <w:tcPr>
            <w:tcW w:w="530" w:type="pct"/>
            <w:tcBorders>
              <w:top w:val="nil"/>
              <w:left w:val="nil"/>
              <w:bottom w:val="single" w:sz="4" w:space="0" w:color="D9D9D9"/>
              <w:right w:val="single" w:sz="4" w:space="0" w:color="D9D9D9"/>
            </w:tcBorders>
            <w:shd w:val="clear" w:color="auto" w:fill="auto"/>
            <w:noWrap/>
            <w:vAlign w:val="bottom"/>
            <w:hideMark/>
          </w:tcPr>
          <w:p w14:paraId="6B3012E6"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26,07</w:t>
            </w:r>
          </w:p>
        </w:tc>
      </w:tr>
      <w:tr w:rsidR="002E267F" w:rsidRPr="002E267F" w14:paraId="1D3A2152"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auto" w:fill="auto"/>
            <w:noWrap/>
            <w:vAlign w:val="bottom"/>
            <w:hideMark/>
          </w:tcPr>
          <w:p w14:paraId="1945B63B" w14:textId="77777777" w:rsidR="002E267F" w:rsidRPr="002E267F" w:rsidRDefault="002E267F" w:rsidP="002E267F">
            <w:pPr>
              <w:spacing w:after="0" w:line="240" w:lineRule="auto"/>
              <w:jc w:val="left"/>
              <w:rPr>
                <w:rFonts w:ascii="Calibri" w:eastAsia="Times New Roman" w:hAnsi="Calibri" w:cs="Calibri"/>
                <w:color w:val="000000"/>
              </w:rPr>
            </w:pPr>
            <w:r w:rsidRPr="002E267F">
              <w:rPr>
                <w:rFonts w:ascii="Calibri" w:eastAsia="Times New Roman" w:hAnsi="Calibri" w:cs="Calibri"/>
                <w:color w:val="000000"/>
              </w:rPr>
              <w:t>UR3</w:t>
            </w:r>
          </w:p>
        </w:tc>
        <w:tc>
          <w:tcPr>
            <w:tcW w:w="818" w:type="pct"/>
            <w:tcBorders>
              <w:top w:val="nil"/>
              <w:left w:val="nil"/>
              <w:bottom w:val="single" w:sz="4" w:space="0" w:color="D9D9D9"/>
              <w:right w:val="single" w:sz="4" w:space="0" w:color="D9D9D9"/>
            </w:tcBorders>
            <w:shd w:val="clear" w:color="auto" w:fill="auto"/>
            <w:noWrap/>
            <w:vAlign w:val="bottom"/>
            <w:hideMark/>
          </w:tcPr>
          <w:p w14:paraId="226CBC05"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3.660.172</w:t>
            </w:r>
          </w:p>
        </w:tc>
        <w:tc>
          <w:tcPr>
            <w:tcW w:w="847" w:type="pct"/>
            <w:tcBorders>
              <w:top w:val="nil"/>
              <w:left w:val="nil"/>
              <w:bottom w:val="single" w:sz="4" w:space="0" w:color="D9D9D9"/>
              <w:right w:val="single" w:sz="4" w:space="0" w:color="D9D9D9"/>
            </w:tcBorders>
            <w:shd w:val="clear" w:color="auto" w:fill="auto"/>
            <w:noWrap/>
            <w:vAlign w:val="bottom"/>
            <w:hideMark/>
          </w:tcPr>
          <w:p w14:paraId="4075C357" w14:textId="07BCF04D"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3,01 €</w:t>
            </w:r>
          </w:p>
        </w:tc>
        <w:tc>
          <w:tcPr>
            <w:tcW w:w="931" w:type="pct"/>
            <w:tcBorders>
              <w:top w:val="nil"/>
              <w:left w:val="nil"/>
              <w:bottom w:val="single" w:sz="4" w:space="0" w:color="D9D9D9"/>
              <w:right w:val="single" w:sz="4" w:space="0" w:color="D9D9D9"/>
            </w:tcBorders>
            <w:shd w:val="clear" w:color="auto" w:fill="auto"/>
            <w:noWrap/>
            <w:vAlign w:val="bottom"/>
            <w:hideMark/>
          </w:tcPr>
          <w:p w14:paraId="00D3AAF0" w14:textId="133B42CE"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11.000.862,35 €</w:t>
            </w:r>
          </w:p>
        </w:tc>
        <w:tc>
          <w:tcPr>
            <w:tcW w:w="776" w:type="pct"/>
            <w:tcBorders>
              <w:top w:val="nil"/>
              <w:left w:val="nil"/>
              <w:bottom w:val="single" w:sz="4" w:space="0" w:color="D9D9D9"/>
              <w:right w:val="single" w:sz="4" w:space="0" w:color="D9D9D9"/>
            </w:tcBorders>
            <w:shd w:val="clear" w:color="auto" w:fill="auto"/>
            <w:noWrap/>
            <w:vAlign w:val="bottom"/>
            <w:hideMark/>
          </w:tcPr>
          <w:p w14:paraId="535173DB"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33,53</w:t>
            </w:r>
          </w:p>
        </w:tc>
        <w:tc>
          <w:tcPr>
            <w:tcW w:w="530" w:type="pct"/>
            <w:tcBorders>
              <w:top w:val="nil"/>
              <w:left w:val="nil"/>
              <w:bottom w:val="single" w:sz="4" w:space="0" w:color="D9D9D9"/>
              <w:right w:val="single" w:sz="4" w:space="0" w:color="D9D9D9"/>
            </w:tcBorders>
            <w:shd w:val="clear" w:color="auto" w:fill="auto"/>
            <w:noWrap/>
            <w:vAlign w:val="bottom"/>
            <w:hideMark/>
          </w:tcPr>
          <w:p w14:paraId="76D67B03"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29,07</w:t>
            </w:r>
          </w:p>
        </w:tc>
      </w:tr>
      <w:tr w:rsidR="002E267F" w:rsidRPr="002E267F" w14:paraId="7F27DADD"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auto" w:fill="auto"/>
            <w:noWrap/>
            <w:vAlign w:val="bottom"/>
            <w:hideMark/>
          </w:tcPr>
          <w:p w14:paraId="5A1D0ABF" w14:textId="77777777" w:rsidR="002E267F" w:rsidRPr="002E267F" w:rsidRDefault="002E267F" w:rsidP="002E267F">
            <w:pPr>
              <w:spacing w:after="0" w:line="240" w:lineRule="auto"/>
              <w:jc w:val="left"/>
              <w:rPr>
                <w:rFonts w:ascii="Calibri" w:eastAsia="Times New Roman" w:hAnsi="Calibri" w:cs="Calibri"/>
                <w:b/>
                <w:bCs/>
                <w:color w:val="000000"/>
              </w:rPr>
            </w:pPr>
            <w:r w:rsidRPr="002E267F">
              <w:rPr>
                <w:rFonts w:ascii="Calibri" w:eastAsia="Times New Roman" w:hAnsi="Calibri" w:cs="Calibri"/>
                <w:b/>
                <w:bCs/>
                <w:color w:val="000000"/>
              </w:rPr>
              <w:t>Valore totale</w:t>
            </w:r>
          </w:p>
        </w:tc>
        <w:tc>
          <w:tcPr>
            <w:tcW w:w="818" w:type="pct"/>
            <w:tcBorders>
              <w:top w:val="nil"/>
              <w:left w:val="nil"/>
              <w:bottom w:val="single" w:sz="4" w:space="0" w:color="D9D9D9"/>
              <w:right w:val="single" w:sz="4" w:space="0" w:color="D9D9D9"/>
            </w:tcBorders>
            <w:shd w:val="clear" w:color="auto" w:fill="auto"/>
            <w:noWrap/>
            <w:vAlign w:val="bottom"/>
            <w:hideMark/>
          </w:tcPr>
          <w:p w14:paraId="273237ED" w14:textId="77777777"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14.144.788</w:t>
            </w:r>
          </w:p>
        </w:tc>
        <w:tc>
          <w:tcPr>
            <w:tcW w:w="847" w:type="pct"/>
            <w:tcBorders>
              <w:top w:val="nil"/>
              <w:left w:val="nil"/>
              <w:bottom w:val="single" w:sz="4" w:space="0" w:color="D9D9D9"/>
              <w:right w:val="single" w:sz="4" w:space="0" w:color="D9D9D9"/>
            </w:tcBorders>
            <w:shd w:val="clear" w:color="auto" w:fill="auto"/>
            <w:noWrap/>
            <w:vAlign w:val="bottom"/>
            <w:hideMark/>
          </w:tcPr>
          <w:p w14:paraId="4C984036" w14:textId="77777777"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 </w:t>
            </w:r>
          </w:p>
        </w:tc>
        <w:tc>
          <w:tcPr>
            <w:tcW w:w="931" w:type="pct"/>
            <w:tcBorders>
              <w:top w:val="nil"/>
              <w:left w:val="nil"/>
              <w:bottom w:val="single" w:sz="4" w:space="0" w:color="D9D9D9"/>
              <w:right w:val="single" w:sz="4" w:space="0" w:color="D9D9D9"/>
            </w:tcBorders>
            <w:shd w:val="clear" w:color="auto" w:fill="auto"/>
            <w:noWrap/>
            <w:vAlign w:val="bottom"/>
            <w:hideMark/>
          </w:tcPr>
          <w:p w14:paraId="07E42B8A" w14:textId="637E9AC5"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44.816.912,12 €</w:t>
            </w:r>
          </w:p>
        </w:tc>
        <w:tc>
          <w:tcPr>
            <w:tcW w:w="776" w:type="pct"/>
            <w:tcBorders>
              <w:top w:val="nil"/>
              <w:left w:val="single" w:sz="4" w:space="0" w:color="D9D9D9"/>
              <w:bottom w:val="nil"/>
              <w:right w:val="nil"/>
            </w:tcBorders>
            <w:shd w:val="clear" w:color="auto" w:fill="auto"/>
            <w:noWrap/>
            <w:vAlign w:val="bottom"/>
            <w:hideMark/>
          </w:tcPr>
          <w:p w14:paraId="57671164" w14:textId="77777777"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 </w:t>
            </w:r>
          </w:p>
        </w:tc>
        <w:tc>
          <w:tcPr>
            <w:tcW w:w="530" w:type="pct"/>
            <w:tcBorders>
              <w:top w:val="nil"/>
              <w:left w:val="nil"/>
              <w:bottom w:val="nil"/>
              <w:right w:val="nil"/>
            </w:tcBorders>
            <w:shd w:val="clear" w:color="auto" w:fill="auto"/>
            <w:noWrap/>
            <w:vAlign w:val="bottom"/>
            <w:hideMark/>
          </w:tcPr>
          <w:p w14:paraId="28131560" w14:textId="77777777"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 </w:t>
            </w:r>
          </w:p>
        </w:tc>
      </w:tr>
      <w:tr w:rsidR="002E267F" w:rsidRPr="002E267F" w14:paraId="1BCD2B58" w14:textId="77777777" w:rsidTr="002E267F">
        <w:trPr>
          <w:trHeight w:val="300"/>
        </w:trPr>
        <w:tc>
          <w:tcPr>
            <w:tcW w:w="1099" w:type="pct"/>
            <w:tcBorders>
              <w:top w:val="nil"/>
              <w:left w:val="single" w:sz="4" w:space="0" w:color="D9D9D9"/>
              <w:bottom w:val="single" w:sz="4" w:space="0" w:color="D9D9D9"/>
              <w:right w:val="single" w:sz="4" w:space="0" w:color="D9D9D9"/>
            </w:tcBorders>
            <w:shd w:val="clear" w:color="000000" w:fill="A5C34C"/>
            <w:noWrap/>
            <w:vAlign w:val="bottom"/>
            <w:hideMark/>
          </w:tcPr>
          <w:p w14:paraId="37044C11" w14:textId="77777777" w:rsidR="002E267F" w:rsidRPr="002E267F" w:rsidRDefault="002E267F" w:rsidP="002E267F">
            <w:pPr>
              <w:spacing w:after="0" w:line="240" w:lineRule="auto"/>
              <w:jc w:val="left"/>
              <w:rPr>
                <w:rFonts w:ascii="Calibri" w:eastAsia="Times New Roman" w:hAnsi="Calibri" w:cs="Calibri"/>
                <w:b/>
                <w:bCs/>
                <w:color w:val="000000"/>
              </w:rPr>
            </w:pPr>
            <w:r w:rsidRPr="002E267F">
              <w:rPr>
                <w:rFonts w:ascii="Calibri" w:eastAsia="Times New Roman" w:hAnsi="Calibri" w:cs="Calibri"/>
                <w:b/>
                <w:bCs/>
                <w:color w:val="000000"/>
              </w:rPr>
              <w:t>Valore unitario €/km</w:t>
            </w:r>
          </w:p>
        </w:tc>
        <w:tc>
          <w:tcPr>
            <w:tcW w:w="818" w:type="pct"/>
            <w:tcBorders>
              <w:top w:val="nil"/>
              <w:left w:val="nil"/>
              <w:bottom w:val="nil"/>
              <w:right w:val="nil"/>
            </w:tcBorders>
            <w:shd w:val="clear" w:color="auto" w:fill="auto"/>
            <w:noWrap/>
            <w:vAlign w:val="bottom"/>
            <w:hideMark/>
          </w:tcPr>
          <w:p w14:paraId="3AE704B6" w14:textId="77777777" w:rsidR="002E267F" w:rsidRPr="002E267F" w:rsidRDefault="002E267F" w:rsidP="002E267F">
            <w:pPr>
              <w:spacing w:after="0" w:line="240" w:lineRule="auto"/>
              <w:jc w:val="left"/>
              <w:rPr>
                <w:rFonts w:ascii="Calibri" w:eastAsia="Times New Roman" w:hAnsi="Calibri" w:cs="Calibri"/>
                <w:color w:val="000000"/>
              </w:rPr>
            </w:pPr>
            <w:r w:rsidRPr="002E267F">
              <w:rPr>
                <w:rFonts w:ascii="Calibri" w:eastAsia="Times New Roman" w:hAnsi="Calibri" w:cs="Calibri"/>
                <w:color w:val="000000"/>
              </w:rPr>
              <w:t> </w:t>
            </w:r>
          </w:p>
        </w:tc>
        <w:tc>
          <w:tcPr>
            <w:tcW w:w="847" w:type="pct"/>
            <w:tcBorders>
              <w:top w:val="nil"/>
              <w:left w:val="nil"/>
              <w:bottom w:val="nil"/>
              <w:right w:val="single" w:sz="4" w:space="0" w:color="D9D9D9"/>
            </w:tcBorders>
            <w:shd w:val="clear" w:color="auto" w:fill="auto"/>
            <w:noWrap/>
            <w:vAlign w:val="bottom"/>
            <w:hideMark/>
          </w:tcPr>
          <w:p w14:paraId="4BACA078"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 </w:t>
            </w:r>
          </w:p>
        </w:tc>
        <w:tc>
          <w:tcPr>
            <w:tcW w:w="931" w:type="pct"/>
            <w:tcBorders>
              <w:top w:val="nil"/>
              <w:left w:val="nil"/>
              <w:bottom w:val="single" w:sz="4" w:space="0" w:color="D9D9D9"/>
              <w:right w:val="single" w:sz="4" w:space="0" w:color="D9D9D9"/>
            </w:tcBorders>
            <w:shd w:val="clear" w:color="000000" w:fill="A5C34C"/>
            <w:noWrap/>
            <w:vAlign w:val="bottom"/>
            <w:hideMark/>
          </w:tcPr>
          <w:p w14:paraId="3894FA14" w14:textId="77777777" w:rsidR="002E267F" w:rsidRPr="002E267F" w:rsidRDefault="002E267F" w:rsidP="002E267F">
            <w:pPr>
              <w:spacing w:after="0" w:line="240" w:lineRule="auto"/>
              <w:jc w:val="right"/>
              <w:rPr>
                <w:rFonts w:ascii="Calibri" w:eastAsia="Times New Roman" w:hAnsi="Calibri" w:cs="Calibri"/>
                <w:b/>
                <w:bCs/>
                <w:color w:val="000000"/>
              </w:rPr>
            </w:pPr>
            <w:r w:rsidRPr="002E267F">
              <w:rPr>
                <w:rFonts w:ascii="Calibri" w:eastAsia="Times New Roman" w:hAnsi="Calibri" w:cs="Calibri"/>
                <w:b/>
                <w:bCs/>
                <w:color w:val="000000"/>
              </w:rPr>
              <w:t xml:space="preserve">                      3,17 € </w:t>
            </w:r>
          </w:p>
        </w:tc>
        <w:tc>
          <w:tcPr>
            <w:tcW w:w="776" w:type="pct"/>
            <w:tcBorders>
              <w:top w:val="nil"/>
              <w:left w:val="single" w:sz="4" w:space="0" w:color="D9D9D9"/>
              <w:bottom w:val="nil"/>
              <w:right w:val="nil"/>
            </w:tcBorders>
            <w:shd w:val="clear" w:color="auto" w:fill="auto"/>
            <w:noWrap/>
            <w:vAlign w:val="bottom"/>
            <w:hideMark/>
          </w:tcPr>
          <w:p w14:paraId="464AACFA" w14:textId="77777777" w:rsidR="002E267F" w:rsidRPr="002E267F" w:rsidRDefault="002E267F" w:rsidP="002E267F">
            <w:pPr>
              <w:spacing w:after="0" w:line="240" w:lineRule="auto"/>
              <w:jc w:val="right"/>
              <w:rPr>
                <w:rFonts w:ascii="Calibri" w:eastAsia="Times New Roman" w:hAnsi="Calibri" w:cs="Calibri"/>
                <w:color w:val="000000"/>
              </w:rPr>
            </w:pPr>
            <w:r w:rsidRPr="002E267F">
              <w:rPr>
                <w:rFonts w:ascii="Calibri" w:eastAsia="Times New Roman" w:hAnsi="Calibri" w:cs="Calibri"/>
                <w:color w:val="000000"/>
              </w:rPr>
              <w:t> </w:t>
            </w:r>
          </w:p>
        </w:tc>
        <w:tc>
          <w:tcPr>
            <w:tcW w:w="530" w:type="pct"/>
            <w:tcBorders>
              <w:top w:val="nil"/>
              <w:left w:val="nil"/>
              <w:bottom w:val="nil"/>
              <w:right w:val="nil"/>
            </w:tcBorders>
            <w:shd w:val="clear" w:color="auto" w:fill="auto"/>
            <w:noWrap/>
            <w:vAlign w:val="bottom"/>
            <w:hideMark/>
          </w:tcPr>
          <w:p w14:paraId="39DAD93F" w14:textId="77777777" w:rsidR="002E267F" w:rsidRPr="002E267F" w:rsidRDefault="002E267F" w:rsidP="002E267F">
            <w:pPr>
              <w:spacing w:after="0" w:line="240" w:lineRule="auto"/>
              <w:jc w:val="right"/>
              <w:rPr>
                <w:rFonts w:ascii="Calibri" w:eastAsia="Times New Roman" w:hAnsi="Calibri" w:cs="Calibri"/>
                <w:color w:val="000000"/>
              </w:rPr>
            </w:pPr>
          </w:p>
        </w:tc>
      </w:tr>
    </w:tbl>
    <w:p w14:paraId="7E67934B" w14:textId="668FB318" w:rsidR="00162229" w:rsidRPr="00AD01C5" w:rsidRDefault="00162229" w:rsidP="00162229">
      <w:pPr>
        <w:spacing w:after="200" w:line="240" w:lineRule="auto"/>
        <w:jc w:val="center"/>
        <w:rPr>
          <w:rFonts w:ascii="Calibri" w:eastAsia="Calibri" w:hAnsi="Calibri" w:cs="Arial"/>
          <w:iCs/>
          <w:color w:val="17406D"/>
          <w:sz w:val="18"/>
          <w:szCs w:val="18"/>
        </w:rPr>
      </w:pPr>
      <w:r w:rsidRPr="00AD01C5">
        <w:rPr>
          <w:rFonts w:ascii="Calibri" w:eastAsia="Calibri" w:hAnsi="Calibri" w:cs="Arial"/>
          <w:i/>
          <w:iCs/>
          <w:color w:val="17406D"/>
          <w:sz w:val="18"/>
          <w:szCs w:val="18"/>
        </w:rPr>
        <w:t xml:space="preserve">Tabella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Tabella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53</w:t>
      </w:r>
      <w:r w:rsidRPr="00AD01C5">
        <w:rPr>
          <w:rFonts w:ascii="Calibri" w:eastAsia="Calibri" w:hAnsi="Calibri" w:cs="Arial"/>
          <w:i/>
          <w:iCs/>
          <w:color w:val="17406D"/>
          <w:sz w:val="18"/>
          <w:szCs w:val="18"/>
        </w:rPr>
        <w:fldChar w:fldCharType="end"/>
      </w:r>
      <w:r w:rsidRPr="00AD01C5">
        <w:rPr>
          <w:rFonts w:ascii="Calibri" w:eastAsia="Calibri" w:hAnsi="Calibri" w:cs="Arial"/>
          <w:iCs/>
          <w:color w:val="17406D"/>
          <w:sz w:val="18"/>
          <w:szCs w:val="18"/>
        </w:rPr>
        <w:t xml:space="preserve"> – </w:t>
      </w:r>
      <w:r w:rsidRPr="00AD01C5">
        <w:rPr>
          <w:rFonts w:ascii="Calibri" w:eastAsia="Calibri" w:hAnsi="Calibri" w:cs="Arial"/>
          <w:i/>
          <w:color w:val="17406D"/>
          <w:sz w:val="18"/>
          <w:szCs w:val="18"/>
        </w:rPr>
        <w:t xml:space="preserve">Valutazione dei costi </w:t>
      </w:r>
      <w:r w:rsidRPr="0062443B">
        <w:rPr>
          <w:rFonts w:ascii="Calibri" w:eastAsia="Calibri" w:hAnsi="Calibri" w:cs="Arial"/>
          <w:i/>
          <w:color w:val="17406D"/>
          <w:sz w:val="18"/>
          <w:szCs w:val="18"/>
        </w:rPr>
        <w:t>standard</w:t>
      </w:r>
      <w:r w:rsidRPr="00AD01C5">
        <w:rPr>
          <w:rFonts w:ascii="Calibri" w:eastAsia="Calibri" w:hAnsi="Calibri" w:cs="Arial"/>
          <w:i/>
          <w:color w:val="17406D"/>
          <w:sz w:val="18"/>
          <w:szCs w:val="18"/>
        </w:rPr>
        <w:t xml:space="preserve"> delle singole unità di rete</w:t>
      </w:r>
    </w:p>
    <w:p w14:paraId="668A9277" w14:textId="77777777" w:rsidR="00162229" w:rsidRPr="00852B3F" w:rsidRDefault="00162229" w:rsidP="00162229">
      <w:pPr>
        <w:pStyle w:val="Titolo2"/>
        <w:ind w:left="567"/>
      </w:pPr>
      <w:bookmarkStart w:id="408" w:name="_Toc204328764"/>
      <w:bookmarkStart w:id="409" w:name="_Toc205213764"/>
      <w:bookmarkEnd w:id="401"/>
      <w:bookmarkEnd w:id="402"/>
      <w:bookmarkEnd w:id="403"/>
      <w:bookmarkEnd w:id="404"/>
      <w:bookmarkEnd w:id="405"/>
      <w:bookmarkEnd w:id="406"/>
      <w:bookmarkEnd w:id="407"/>
      <w:r w:rsidRPr="00852B3F">
        <w:t>Valutazioni sulla contendibilità dei lotti</w:t>
      </w:r>
      <w:bookmarkEnd w:id="408"/>
      <w:bookmarkEnd w:id="409"/>
    </w:p>
    <w:p w14:paraId="6D21C08F" w14:textId="77777777" w:rsidR="00162229" w:rsidRPr="00852B3F" w:rsidRDefault="00162229" w:rsidP="00162229">
      <w:pPr>
        <w:pStyle w:val="Titolo3"/>
        <w:ind w:left="720"/>
      </w:pPr>
      <w:bookmarkStart w:id="410" w:name="_Toc193195797"/>
      <w:bookmarkStart w:id="411" w:name="_Toc559924692"/>
      <w:bookmarkStart w:id="412" w:name="_Toc197695725"/>
      <w:bookmarkStart w:id="413" w:name="_Toc204328765"/>
      <w:bookmarkStart w:id="414" w:name="_Toc205213765"/>
      <w:r w:rsidRPr="00852B3F">
        <w:t>Valutazioni sugli operatori di mercato</w:t>
      </w:r>
      <w:bookmarkEnd w:id="410"/>
      <w:bookmarkEnd w:id="411"/>
      <w:bookmarkEnd w:id="412"/>
      <w:bookmarkEnd w:id="413"/>
      <w:bookmarkEnd w:id="414"/>
    </w:p>
    <w:p w14:paraId="42E52C47" w14:textId="77777777" w:rsidR="00162229" w:rsidRPr="00852B3F" w:rsidRDefault="00162229" w:rsidP="00162229">
      <w:pPr>
        <w:spacing w:before="120" w:after="0" w:line="240" w:lineRule="auto"/>
        <w:rPr>
          <w:rFonts w:ascii="Calibri" w:eastAsia="Calibri" w:hAnsi="Calibri" w:cs="Arial"/>
        </w:rPr>
      </w:pPr>
      <w:r w:rsidRPr="00852B3F">
        <w:rPr>
          <w:rFonts w:ascii="Calibri" w:eastAsia="Calibri" w:hAnsi="Calibri" w:cs="Arial"/>
        </w:rPr>
        <w:t xml:space="preserve">Attualmente il servizio di TPL all’interno del Bacino Sud Est è affidato attraverso 5 contratti che vedono la presenza sul territorio di 19 aziende (includendo gli operatori degli AdP): A.M.C.-Azienda Multiservizi Casalese </w:t>
      </w:r>
      <w:r w:rsidRPr="00852B3F">
        <w:rPr>
          <w:rFonts w:ascii="Calibri" w:eastAsia="Times New Roman" w:hAnsi="Calibri" w:cs="Calibri"/>
        </w:rPr>
        <w:t>SpA</w:t>
      </w:r>
      <w:r w:rsidRPr="00852B3F">
        <w:rPr>
          <w:rFonts w:ascii="Calibri" w:eastAsia="Calibri" w:hAnsi="Calibri" w:cs="Arial"/>
        </w:rPr>
        <w:t xml:space="preserve">, AMAG Mobilità SpA, ASP-Azienda Servizi Pubblici SpA, Autolinee Acquesi Srl, Autolinee </w:t>
      </w:r>
      <w:r w:rsidRPr="00852B3F">
        <w:rPr>
          <w:rFonts w:ascii="Calibri" w:eastAsia="Calibri" w:hAnsi="Calibri" w:cs="Arial"/>
        </w:rPr>
        <w:lastRenderedPageBreak/>
        <w:t xml:space="preserve">Giachino Srl, Autolinee Val Borbera Rrl, Autonoleggio Bianchi , Autoservizi Squillari Srl, Aviosibus Snc, Bus Company S.r.l., Gruppo Torinese Trasporti S.p.a., Hollibus Snc, Maestri Autoservizi Sas, Marletti Autolinee Srl, Ratti Tours Srl, S.T.A.C.-Società Trasporti Automobilistici Casalesi Srl, </w:t>
      </w:r>
      <w:r w:rsidRPr="00852B3F">
        <w:rPr>
          <w:rFonts w:ascii="Calibri" w:eastAsia="Times New Roman" w:hAnsi="Calibri" w:cs="Calibri"/>
        </w:rPr>
        <w:t xml:space="preserve">Trotta Bus Services SpA. </w:t>
      </w:r>
      <w:r w:rsidRPr="00852B3F">
        <w:rPr>
          <w:rFonts w:ascii="Calibri" w:eastAsia="Calibri" w:hAnsi="Calibri" w:cs="Arial"/>
        </w:rPr>
        <w:t>Casetta Tours, Seia Piero.</w:t>
      </w:r>
    </w:p>
    <w:p w14:paraId="6CE08338" w14:textId="77777777" w:rsidR="00162229" w:rsidRPr="00852B3F" w:rsidRDefault="00162229" w:rsidP="00162229">
      <w:pPr>
        <w:spacing w:before="120" w:after="0" w:line="240" w:lineRule="auto"/>
        <w:rPr>
          <w:rFonts w:ascii="Calibri" w:eastAsia="Calibri" w:hAnsi="Calibri" w:cs="Arial"/>
        </w:rPr>
      </w:pPr>
      <w:r w:rsidRPr="00852B3F">
        <w:rPr>
          <w:rFonts w:ascii="Calibri" w:eastAsia="Calibri" w:hAnsi="Calibri" w:cs="Arial"/>
        </w:rPr>
        <w:t>Le linee a scavalco con gli altri bacini sono già operate da aziende presenti nei contratti del Bacino Sud Est.</w:t>
      </w:r>
    </w:p>
    <w:p w14:paraId="7C16FCF7" w14:textId="7776D4A0" w:rsidR="00162229" w:rsidRPr="00852B3F" w:rsidRDefault="00162229" w:rsidP="00162229">
      <w:pPr>
        <w:spacing w:before="120" w:after="0" w:line="240" w:lineRule="auto"/>
        <w:rPr>
          <w:rFonts w:ascii="Calibri" w:eastAsia="Calibri" w:hAnsi="Calibri" w:cs="Arial"/>
        </w:rPr>
      </w:pPr>
      <w:r w:rsidRPr="00852B3F">
        <w:rPr>
          <w:rFonts w:ascii="Calibri" w:eastAsia="Calibri" w:hAnsi="Calibri" w:cs="Arial"/>
        </w:rPr>
        <w:t xml:space="preserve">Complessivamente le linee urbane descritte nel paragrafo </w:t>
      </w:r>
      <w:r w:rsidR="006010DC">
        <w:rPr>
          <w:rFonts w:ascii="Calibri" w:eastAsia="Calibri" w:hAnsi="Calibri" w:cs="Arial"/>
        </w:rPr>
        <w:fldChar w:fldCharType="begin"/>
      </w:r>
      <w:r w:rsidR="006010DC">
        <w:rPr>
          <w:rFonts w:ascii="Calibri" w:eastAsia="Calibri" w:hAnsi="Calibri" w:cs="Arial"/>
        </w:rPr>
        <w:instrText xml:space="preserve"> REF _Ref205204887 \r \h </w:instrText>
      </w:r>
      <w:r w:rsidR="006010DC">
        <w:rPr>
          <w:rFonts w:ascii="Calibri" w:eastAsia="Calibri" w:hAnsi="Calibri" w:cs="Arial"/>
        </w:rPr>
      </w:r>
      <w:r w:rsidR="006010DC">
        <w:rPr>
          <w:rFonts w:ascii="Calibri" w:eastAsia="Calibri" w:hAnsi="Calibri" w:cs="Arial"/>
        </w:rPr>
        <w:fldChar w:fldCharType="separate"/>
      </w:r>
      <w:r w:rsidR="00670903">
        <w:rPr>
          <w:rFonts w:ascii="Calibri" w:eastAsia="Calibri" w:hAnsi="Calibri" w:cs="Arial"/>
        </w:rPr>
        <w:t>4.1.2</w:t>
      </w:r>
      <w:r w:rsidR="006010DC">
        <w:rPr>
          <w:rFonts w:ascii="Calibri" w:eastAsia="Calibri" w:hAnsi="Calibri" w:cs="Arial"/>
        </w:rPr>
        <w:fldChar w:fldCharType="end"/>
      </w:r>
      <w:r w:rsidR="006010DC">
        <w:rPr>
          <w:rFonts w:ascii="Calibri" w:eastAsia="Calibri" w:hAnsi="Calibri" w:cs="Arial"/>
        </w:rPr>
        <w:t xml:space="preserve"> sono gestite dalle seguenti aziende: A.M.C., AMAG Mobilità, ASP, Bus Company e Trotta Bus. A</w:t>
      </w:r>
      <w:r w:rsidRPr="00852B3F">
        <w:rPr>
          <w:rFonts w:ascii="Calibri" w:eastAsia="Calibri" w:hAnsi="Calibri" w:cs="Arial"/>
        </w:rPr>
        <w:t>d eccezione di A.M.C., questi operatori svolgono anche servizi extraurbani.</w:t>
      </w:r>
    </w:p>
    <w:p w14:paraId="18F3993A" w14:textId="27916CF9" w:rsidR="00162229" w:rsidRDefault="00162229" w:rsidP="00162229">
      <w:pPr>
        <w:spacing w:before="120" w:after="0" w:line="240" w:lineRule="auto"/>
        <w:rPr>
          <w:rFonts w:ascii="Calibri" w:eastAsia="Calibri" w:hAnsi="Calibri" w:cs="Arial"/>
        </w:rPr>
      </w:pPr>
      <w:r w:rsidRPr="00852B3F">
        <w:rPr>
          <w:rFonts w:ascii="Calibri" w:eastAsia="Calibri" w:hAnsi="Calibri" w:cs="Arial"/>
        </w:rPr>
        <w:t xml:space="preserve">Nella tabella seguente è descritto l’impegno chilometrico sviluppato dalle principali aziende presenti nel Bacino all’interno dei 5 contratti gestiti dall’Agenzia, oltre a quelli erogati attraverso affidamenti diretti gestiti dagli Enti Locali in virtù degli accordi di programma (paragrafo </w:t>
      </w:r>
      <w:r w:rsidRPr="00852B3F">
        <w:rPr>
          <w:rFonts w:ascii="Calibri" w:eastAsia="Calibri" w:hAnsi="Calibri" w:cs="Arial"/>
        </w:rPr>
        <w:fldChar w:fldCharType="begin"/>
      </w:r>
      <w:r w:rsidRPr="00852B3F">
        <w:rPr>
          <w:rFonts w:ascii="Calibri" w:eastAsia="Calibri" w:hAnsi="Calibri" w:cs="Arial"/>
        </w:rPr>
        <w:instrText xml:space="preserve"> REF _Ref204164723 \r \h </w:instrText>
      </w:r>
      <w:r w:rsidRPr="00852B3F">
        <w:rPr>
          <w:rFonts w:ascii="Calibri" w:eastAsia="Calibri" w:hAnsi="Calibri" w:cs="Arial"/>
        </w:rPr>
      </w:r>
      <w:r w:rsidRPr="00852B3F">
        <w:rPr>
          <w:rFonts w:ascii="Calibri" w:eastAsia="Calibri" w:hAnsi="Calibri" w:cs="Arial"/>
        </w:rPr>
        <w:fldChar w:fldCharType="separate"/>
      </w:r>
      <w:r w:rsidR="00670903">
        <w:rPr>
          <w:rFonts w:ascii="Calibri" w:eastAsia="Calibri" w:hAnsi="Calibri" w:cs="Arial"/>
        </w:rPr>
        <w:t>2.2</w:t>
      </w:r>
      <w:r w:rsidRPr="00852B3F">
        <w:rPr>
          <w:rFonts w:ascii="Calibri" w:eastAsia="Calibri" w:hAnsi="Calibri" w:cs="Arial"/>
        </w:rPr>
        <w:fldChar w:fldCharType="end"/>
      </w:r>
      <w:r w:rsidRPr="00852B3F">
        <w:rPr>
          <w:rFonts w:ascii="Calibri" w:eastAsia="Calibri" w:hAnsi="Calibri" w:cs="Arial"/>
        </w:rPr>
        <w:t>).</w:t>
      </w:r>
    </w:p>
    <w:p w14:paraId="544A0589" w14:textId="77777777" w:rsidR="00162229" w:rsidRPr="00852B3F" w:rsidRDefault="00162229" w:rsidP="00162229">
      <w:pPr>
        <w:spacing w:before="120" w:after="0" w:line="240" w:lineRule="auto"/>
        <w:rPr>
          <w:rFonts w:ascii="Calibri" w:eastAsia="Calibri" w:hAnsi="Calibri" w:cs="Arial"/>
        </w:rPr>
      </w:pPr>
    </w:p>
    <w:tbl>
      <w:tblPr>
        <w:tblW w:w="8964"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5550"/>
        <w:gridCol w:w="1210"/>
        <w:gridCol w:w="1054"/>
        <w:gridCol w:w="1150"/>
      </w:tblGrid>
      <w:tr w:rsidR="00162229" w:rsidRPr="00852B3F" w14:paraId="222C9CA6" w14:textId="77777777" w:rsidTr="00AC598A">
        <w:trPr>
          <w:trHeight w:val="876"/>
        </w:trPr>
        <w:tc>
          <w:tcPr>
            <w:tcW w:w="5550" w:type="dxa"/>
            <w:shd w:val="clear" w:color="000000" w:fill="A5C34C"/>
            <w:vAlign w:val="center"/>
            <w:hideMark/>
          </w:tcPr>
          <w:p w14:paraId="36C32CD7" w14:textId="77777777" w:rsidR="00162229" w:rsidRPr="00852B3F" w:rsidRDefault="00162229" w:rsidP="002A21C0">
            <w:pPr>
              <w:spacing w:after="0" w:line="240" w:lineRule="auto"/>
              <w:jc w:val="center"/>
              <w:rPr>
                <w:rFonts w:ascii="Calibri" w:eastAsia="Times New Roman" w:hAnsi="Calibri" w:cs="Calibri"/>
                <w:b/>
                <w:bCs/>
              </w:rPr>
            </w:pPr>
            <w:r w:rsidRPr="00852B3F">
              <w:rPr>
                <w:rFonts w:ascii="Calibri" w:eastAsia="Times New Roman" w:hAnsi="Calibri" w:cs="Calibri"/>
                <w:b/>
                <w:bCs/>
              </w:rPr>
              <w:t>Operatore TPL</w:t>
            </w:r>
          </w:p>
        </w:tc>
        <w:tc>
          <w:tcPr>
            <w:tcW w:w="1210" w:type="dxa"/>
            <w:shd w:val="clear" w:color="000000" w:fill="A5C34C"/>
            <w:vAlign w:val="center"/>
            <w:hideMark/>
          </w:tcPr>
          <w:p w14:paraId="789C064C" w14:textId="77777777" w:rsidR="00162229" w:rsidRPr="00852B3F" w:rsidRDefault="00162229" w:rsidP="002A21C0">
            <w:pPr>
              <w:spacing w:after="0" w:line="240" w:lineRule="auto"/>
              <w:jc w:val="center"/>
              <w:rPr>
                <w:rFonts w:ascii="Calibri" w:eastAsia="Times New Roman" w:hAnsi="Calibri" w:cs="Calibri"/>
                <w:b/>
                <w:bCs/>
              </w:rPr>
            </w:pPr>
            <w:r w:rsidRPr="00852B3F">
              <w:rPr>
                <w:rFonts w:ascii="Calibri" w:eastAsia="Times New Roman" w:hAnsi="Calibri" w:cs="Calibri"/>
                <w:b/>
                <w:bCs/>
              </w:rPr>
              <w:t>km servizi extraurbani</w:t>
            </w:r>
          </w:p>
        </w:tc>
        <w:tc>
          <w:tcPr>
            <w:tcW w:w="1054" w:type="dxa"/>
            <w:shd w:val="clear" w:color="000000" w:fill="A5C34C"/>
            <w:vAlign w:val="center"/>
            <w:hideMark/>
          </w:tcPr>
          <w:p w14:paraId="14AA9BC8" w14:textId="77777777" w:rsidR="00162229" w:rsidRPr="00852B3F" w:rsidRDefault="00162229" w:rsidP="002A21C0">
            <w:pPr>
              <w:spacing w:after="0" w:line="240" w:lineRule="auto"/>
              <w:jc w:val="center"/>
              <w:rPr>
                <w:rFonts w:ascii="Calibri" w:eastAsia="Times New Roman" w:hAnsi="Calibri" w:cs="Calibri"/>
                <w:b/>
                <w:bCs/>
              </w:rPr>
            </w:pPr>
            <w:r w:rsidRPr="00852B3F">
              <w:rPr>
                <w:rFonts w:ascii="Calibri" w:eastAsia="Times New Roman" w:hAnsi="Calibri" w:cs="Calibri"/>
                <w:b/>
                <w:bCs/>
              </w:rPr>
              <w:t>km servizi urbani</w:t>
            </w:r>
          </w:p>
        </w:tc>
        <w:tc>
          <w:tcPr>
            <w:tcW w:w="1150" w:type="dxa"/>
            <w:shd w:val="clear" w:color="000000" w:fill="A5C34C"/>
            <w:vAlign w:val="center"/>
            <w:hideMark/>
          </w:tcPr>
          <w:p w14:paraId="7026F908" w14:textId="77777777" w:rsidR="00162229" w:rsidRPr="00852B3F" w:rsidRDefault="00162229" w:rsidP="002A21C0">
            <w:pPr>
              <w:spacing w:after="0" w:line="240" w:lineRule="auto"/>
              <w:jc w:val="center"/>
              <w:rPr>
                <w:rFonts w:ascii="Calibri" w:eastAsia="Times New Roman" w:hAnsi="Calibri" w:cs="Calibri"/>
                <w:b/>
                <w:bCs/>
              </w:rPr>
            </w:pPr>
            <w:r w:rsidRPr="00852B3F">
              <w:rPr>
                <w:rFonts w:ascii="Calibri" w:eastAsia="Times New Roman" w:hAnsi="Calibri" w:cs="Calibri"/>
                <w:b/>
                <w:bCs/>
              </w:rPr>
              <w:t xml:space="preserve">Totale </w:t>
            </w:r>
          </w:p>
        </w:tc>
      </w:tr>
      <w:tr w:rsidR="00162229" w:rsidRPr="00852B3F" w14:paraId="7353D8FA" w14:textId="77777777" w:rsidTr="00AC598A">
        <w:trPr>
          <w:trHeight w:val="300"/>
        </w:trPr>
        <w:tc>
          <w:tcPr>
            <w:tcW w:w="5550" w:type="dxa"/>
            <w:shd w:val="clear" w:color="000000" w:fill="FFFFFF"/>
            <w:noWrap/>
            <w:vAlign w:val="center"/>
            <w:hideMark/>
          </w:tcPr>
          <w:p w14:paraId="24823FC8"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A.M.C. - AZIENDA MULTISERVIZI CASALESE SpA</w:t>
            </w:r>
          </w:p>
        </w:tc>
        <w:tc>
          <w:tcPr>
            <w:tcW w:w="1210" w:type="dxa"/>
            <w:noWrap/>
            <w:vAlign w:val="center"/>
            <w:hideMark/>
          </w:tcPr>
          <w:p w14:paraId="33D5AD54"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054" w:type="dxa"/>
            <w:noWrap/>
            <w:vAlign w:val="center"/>
            <w:hideMark/>
          </w:tcPr>
          <w:p w14:paraId="276748E8"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231.704</w:t>
            </w:r>
          </w:p>
        </w:tc>
        <w:tc>
          <w:tcPr>
            <w:tcW w:w="1150" w:type="dxa"/>
            <w:noWrap/>
            <w:vAlign w:val="center"/>
            <w:hideMark/>
          </w:tcPr>
          <w:p w14:paraId="4064BA82"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231.704</w:t>
            </w:r>
          </w:p>
        </w:tc>
      </w:tr>
      <w:tr w:rsidR="00162229" w:rsidRPr="00852B3F" w14:paraId="680D43C7" w14:textId="77777777" w:rsidTr="00AC598A">
        <w:trPr>
          <w:trHeight w:val="300"/>
        </w:trPr>
        <w:tc>
          <w:tcPr>
            <w:tcW w:w="5550" w:type="dxa"/>
            <w:shd w:val="clear" w:color="000000" w:fill="FFFFFF"/>
            <w:noWrap/>
            <w:vAlign w:val="center"/>
            <w:hideMark/>
          </w:tcPr>
          <w:p w14:paraId="72B7E128"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AMAG MOBILITA' SpA</w:t>
            </w:r>
          </w:p>
        </w:tc>
        <w:tc>
          <w:tcPr>
            <w:tcW w:w="1210" w:type="dxa"/>
            <w:noWrap/>
            <w:vAlign w:val="center"/>
            <w:hideMark/>
          </w:tcPr>
          <w:p w14:paraId="1345C2EE"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163.152</w:t>
            </w:r>
          </w:p>
        </w:tc>
        <w:tc>
          <w:tcPr>
            <w:tcW w:w="1054" w:type="dxa"/>
            <w:noWrap/>
            <w:vAlign w:val="center"/>
            <w:hideMark/>
          </w:tcPr>
          <w:p w14:paraId="7653E0A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1.495.025</w:t>
            </w:r>
          </w:p>
        </w:tc>
        <w:tc>
          <w:tcPr>
            <w:tcW w:w="1150" w:type="dxa"/>
            <w:noWrap/>
            <w:vAlign w:val="center"/>
            <w:hideMark/>
          </w:tcPr>
          <w:p w14:paraId="0ADD54DC"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1.658.177</w:t>
            </w:r>
          </w:p>
        </w:tc>
      </w:tr>
      <w:tr w:rsidR="00162229" w:rsidRPr="00852B3F" w14:paraId="6A5AD4FC" w14:textId="77777777" w:rsidTr="00AC598A">
        <w:trPr>
          <w:trHeight w:val="300"/>
        </w:trPr>
        <w:tc>
          <w:tcPr>
            <w:tcW w:w="5550" w:type="dxa"/>
            <w:shd w:val="clear" w:color="000000" w:fill="FFFFFF"/>
            <w:noWrap/>
            <w:vAlign w:val="center"/>
            <w:hideMark/>
          </w:tcPr>
          <w:p w14:paraId="5FEE0A8C"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ASP - AZIENDA SERVIZI PUBBLICI SpA</w:t>
            </w:r>
          </w:p>
        </w:tc>
        <w:tc>
          <w:tcPr>
            <w:tcW w:w="1210" w:type="dxa"/>
            <w:noWrap/>
            <w:vAlign w:val="center"/>
            <w:hideMark/>
          </w:tcPr>
          <w:p w14:paraId="4A179438"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101.823</w:t>
            </w:r>
          </w:p>
        </w:tc>
        <w:tc>
          <w:tcPr>
            <w:tcW w:w="1054" w:type="dxa"/>
            <w:noWrap/>
            <w:vAlign w:val="center"/>
            <w:hideMark/>
          </w:tcPr>
          <w:p w14:paraId="059E0FC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1.037.468</w:t>
            </w:r>
          </w:p>
        </w:tc>
        <w:tc>
          <w:tcPr>
            <w:tcW w:w="1150" w:type="dxa"/>
            <w:noWrap/>
            <w:vAlign w:val="center"/>
            <w:hideMark/>
          </w:tcPr>
          <w:p w14:paraId="1BCEDF57"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1.139.291</w:t>
            </w:r>
          </w:p>
        </w:tc>
      </w:tr>
      <w:tr w:rsidR="00162229" w:rsidRPr="00852B3F" w14:paraId="43281F58" w14:textId="77777777" w:rsidTr="00AC598A">
        <w:trPr>
          <w:trHeight w:val="300"/>
        </w:trPr>
        <w:tc>
          <w:tcPr>
            <w:tcW w:w="5550" w:type="dxa"/>
            <w:shd w:val="clear" w:color="000000" w:fill="FFFFFF"/>
            <w:noWrap/>
            <w:vAlign w:val="center"/>
            <w:hideMark/>
          </w:tcPr>
          <w:p w14:paraId="39A9B338"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AUTOLINEE ACQUESI  Srl</w:t>
            </w:r>
          </w:p>
        </w:tc>
        <w:tc>
          <w:tcPr>
            <w:tcW w:w="1210" w:type="dxa"/>
            <w:noWrap/>
            <w:vAlign w:val="center"/>
            <w:hideMark/>
          </w:tcPr>
          <w:p w14:paraId="3E4D45DC"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53.482</w:t>
            </w:r>
          </w:p>
        </w:tc>
        <w:tc>
          <w:tcPr>
            <w:tcW w:w="1054" w:type="dxa"/>
            <w:noWrap/>
            <w:vAlign w:val="center"/>
            <w:hideMark/>
          </w:tcPr>
          <w:p w14:paraId="357DCC95"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361E4ACB"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53.482</w:t>
            </w:r>
          </w:p>
        </w:tc>
      </w:tr>
      <w:tr w:rsidR="00162229" w:rsidRPr="00852B3F" w14:paraId="56E46D0E" w14:textId="77777777" w:rsidTr="00AC598A">
        <w:trPr>
          <w:trHeight w:val="300"/>
        </w:trPr>
        <w:tc>
          <w:tcPr>
            <w:tcW w:w="5550" w:type="dxa"/>
            <w:shd w:val="clear" w:color="000000" w:fill="FFFFFF"/>
            <w:noWrap/>
            <w:vAlign w:val="center"/>
            <w:hideMark/>
          </w:tcPr>
          <w:p w14:paraId="75474563"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AUTOLINEE GIACHINO Srl</w:t>
            </w:r>
          </w:p>
        </w:tc>
        <w:tc>
          <w:tcPr>
            <w:tcW w:w="1210" w:type="dxa"/>
            <w:noWrap/>
            <w:vAlign w:val="center"/>
            <w:hideMark/>
          </w:tcPr>
          <w:p w14:paraId="4A3DDFAD"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2.091.602</w:t>
            </w:r>
          </w:p>
        </w:tc>
        <w:tc>
          <w:tcPr>
            <w:tcW w:w="1054" w:type="dxa"/>
            <w:noWrap/>
            <w:vAlign w:val="center"/>
            <w:hideMark/>
          </w:tcPr>
          <w:p w14:paraId="42BABB4D"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10B04F71"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2.091.602</w:t>
            </w:r>
          </w:p>
        </w:tc>
      </w:tr>
      <w:tr w:rsidR="00162229" w:rsidRPr="00852B3F" w14:paraId="33BE579C" w14:textId="77777777" w:rsidTr="00AC598A">
        <w:trPr>
          <w:trHeight w:val="300"/>
        </w:trPr>
        <w:tc>
          <w:tcPr>
            <w:tcW w:w="5550" w:type="dxa"/>
            <w:shd w:val="clear" w:color="000000" w:fill="FFFFFF"/>
            <w:noWrap/>
            <w:vAlign w:val="center"/>
            <w:hideMark/>
          </w:tcPr>
          <w:p w14:paraId="1438851C"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AUTOLINEE VAL BORBERA Srl</w:t>
            </w:r>
          </w:p>
        </w:tc>
        <w:tc>
          <w:tcPr>
            <w:tcW w:w="1210" w:type="dxa"/>
            <w:noWrap/>
            <w:vAlign w:val="center"/>
            <w:hideMark/>
          </w:tcPr>
          <w:p w14:paraId="57574089"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274.502</w:t>
            </w:r>
          </w:p>
        </w:tc>
        <w:tc>
          <w:tcPr>
            <w:tcW w:w="1054" w:type="dxa"/>
            <w:noWrap/>
            <w:vAlign w:val="center"/>
            <w:hideMark/>
          </w:tcPr>
          <w:p w14:paraId="4953BEE8"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2CCF9CC7"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274.502</w:t>
            </w:r>
          </w:p>
        </w:tc>
      </w:tr>
      <w:tr w:rsidR="00162229" w:rsidRPr="00852B3F" w14:paraId="1B9CB023" w14:textId="77777777" w:rsidTr="00AC598A">
        <w:trPr>
          <w:trHeight w:val="300"/>
        </w:trPr>
        <w:tc>
          <w:tcPr>
            <w:tcW w:w="5550" w:type="dxa"/>
            <w:shd w:val="clear" w:color="000000" w:fill="FFFFFF"/>
            <w:noWrap/>
            <w:vAlign w:val="center"/>
            <w:hideMark/>
          </w:tcPr>
          <w:p w14:paraId="2833C2EE"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 xml:space="preserve">AUTONOLEGGIO BIANCHI STEFANO </w:t>
            </w:r>
          </w:p>
        </w:tc>
        <w:tc>
          <w:tcPr>
            <w:tcW w:w="1210" w:type="dxa"/>
            <w:noWrap/>
            <w:vAlign w:val="center"/>
            <w:hideMark/>
          </w:tcPr>
          <w:p w14:paraId="64C9F455"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41.736</w:t>
            </w:r>
          </w:p>
        </w:tc>
        <w:tc>
          <w:tcPr>
            <w:tcW w:w="1054" w:type="dxa"/>
            <w:noWrap/>
            <w:vAlign w:val="center"/>
            <w:hideMark/>
          </w:tcPr>
          <w:p w14:paraId="32AF52D9"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0B0A0CE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41.736</w:t>
            </w:r>
          </w:p>
        </w:tc>
      </w:tr>
      <w:tr w:rsidR="00162229" w:rsidRPr="00852B3F" w14:paraId="532647BD" w14:textId="77777777" w:rsidTr="00AC598A">
        <w:trPr>
          <w:trHeight w:val="300"/>
        </w:trPr>
        <w:tc>
          <w:tcPr>
            <w:tcW w:w="5550" w:type="dxa"/>
            <w:shd w:val="clear" w:color="000000" w:fill="FFFFFF"/>
            <w:noWrap/>
            <w:vAlign w:val="center"/>
            <w:hideMark/>
          </w:tcPr>
          <w:p w14:paraId="651E027C"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AUTOSERVIZI SQUILLARI Srl</w:t>
            </w:r>
          </w:p>
        </w:tc>
        <w:tc>
          <w:tcPr>
            <w:tcW w:w="1210" w:type="dxa"/>
            <w:noWrap/>
            <w:vAlign w:val="center"/>
            <w:hideMark/>
          </w:tcPr>
          <w:p w14:paraId="4B522BBC"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57.564</w:t>
            </w:r>
          </w:p>
        </w:tc>
        <w:tc>
          <w:tcPr>
            <w:tcW w:w="1054" w:type="dxa"/>
            <w:noWrap/>
            <w:vAlign w:val="center"/>
            <w:hideMark/>
          </w:tcPr>
          <w:p w14:paraId="2A649939"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7056F5F2"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57.564</w:t>
            </w:r>
          </w:p>
        </w:tc>
      </w:tr>
      <w:tr w:rsidR="00162229" w:rsidRPr="00852B3F" w14:paraId="5AB9A206" w14:textId="77777777" w:rsidTr="00AC598A">
        <w:trPr>
          <w:trHeight w:val="300"/>
        </w:trPr>
        <w:tc>
          <w:tcPr>
            <w:tcW w:w="5550" w:type="dxa"/>
            <w:shd w:val="clear" w:color="000000" w:fill="FFFFFF"/>
            <w:noWrap/>
            <w:vAlign w:val="center"/>
            <w:hideMark/>
          </w:tcPr>
          <w:p w14:paraId="7E9AFD31"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AVIOSIBUS di PONGOLI ABRAMO e AVIOSI STEFANIA Snc</w:t>
            </w:r>
          </w:p>
        </w:tc>
        <w:tc>
          <w:tcPr>
            <w:tcW w:w="1210" w:type="dxa"/>
            <w:noWrap/>
            <w:vAlign w:val="center"/>
            <w:hideMark/>
          </w:tcPr>
          <w:p w14:paraId="1AF03158"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71.890</w:t>
            </w:r>
          </w:p>
        </w:tc>
        <w:tc>
          <w:tcPr>
            <w:tcW w:w="1054" w:type="dxa"/>
            <w:noWrap/>
            <w:vAlign w:val="center"/>
            <w:hideMark/>
          </w:tcPr>
          <w:p w14:paraId="0BA1D038"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59BDA04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71.890</w:t>
            </w:r>
          </w:p>
        </w:tc>
      </w:tr>
      <w:tr w:rsidR="00162229" w:rsidRPr="00852B3F" w14:paraId="009D3C28" w14:textId="77777777" w:rsidTr="00AC598A">
        <w:trPr>
          <w:trHeight w:val="300"/>
        </w:trPr>
        <w:tc>
          <w:tcPr>
            <w:tcW w:w="5550" w:type="dxa"/>
            <w:shd w:val="clear" w:color="000000" w:fill="FFFFFF"/>
            <w:noWrap/>
            <w:vAlign w:val="center"/>
            <w:hideMark/>
          </w:tcPr>
          <w:p w14:paraId="1E8993CD"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BUS COMPANY Srl</w:t>
            </w:r>
          </w:p>
        </w:tc>
        <w:tc>
          <w:tcPr>
            <w:tcW w:w="1210" w:type="dxa"/>
            <w:noWrap/>
            <w:vAlign w:val="center"/>
            <w:hideMark/>
          </w:tcPr>
          <w:p w14:paraId="1EF7EE3A"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5.316.159</w:t>
            </w:r>
          </w:p>
        </w:tc>
        <w:tc>
          <w:tcPr>
            <w:tcW w:w="1054" w:type="dxa"/>
            <w:noWrap/>
            <w:vAlign w:val="center"/>
            <w:hideMark/>
          </w:tcPr>
          <w:p w14:paraId="287AD6E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189.068</w:t>
            </w:r>
          </w:p>
        </w:tc>
        <w:tc>
          <w:tcPr>
            <w:tcW w:w="1150" w:type="dxa"/>
            <w:noWrap/>
            <w:vAlign w:val="center"/>
            <w:hideMark/>
          </w:tcPr>
          <w:p w14:paraId="0B9224DF"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5.505.227</w:t>
            </w:r>
          </w:p>
        </w:tc>
      </w:tr>
      <w:tr w:rsidR="00162229" w:rsidRPr="00852B3F" w14:paraId="08ADB3D7" w14:textId="77777777" w:rsidTr="00AC598A">
        <w:trPr>
          <w:trHeight w:val="300"/>
        </w:trPr>
        <w:tc>
          <w:tcPr>
            <w:tcW w:w="5550" w:type="dxa"/>
            <w:shd w:val="clear" w:color="000000" w:fill="FFFFFF"/>
            <w:noWrap/>
            <w:vAlign w:val="center"/>
            <w:hideMark/>
          </w:tcPr>
          <w:p w14:paraId="2B198667"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GTT SpA</w:t>
            </w:r>
          </w:p>
        </w:tc>
        <w:tc>
          <w:tcPr>
            <w:tcW w:w="1210" w:type="dxa"/>
            <w:noWrap/>
            <w:vAlign w:val="center"/>
            <w:hideMark/>
          </w:tcPr>
          <w:p w14:paraId="0D45D5EB"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590.431</w:t>
            </w:r>
          </w:p>
        </w:tc>
        <w:tc>
          <w:tcPr>
            <w:tcW w:w="1054" w:type="dxa"/>
            <w:noWrap/>
            <w:vAlign w:val="center"/>
            <w:hideMark/>
          </w:tcPr>
          <w:p w14:paraId="4B2C55B3"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7EE0947E"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590.431</w:t>
            </w:r>
          </w:p>
        </w:tc>
      </w:tr>
      <w:tr w:rsidR="00162229" w:rsidRPr="00852B3F" w14:paraId="07D48F25" w14:textId="77777777" w:rsidTr="00AC598A">
        <w:trPr>
          <w:trHeight w:val="300"/>
        </w:trPr>
        <w:tc>
          <w:tcPr>
            <w:tcW w:w="5550" w:type="dxa"/>
            <w:shd w:val="clear" w:color="000000" w:fill="FFFFFF"/>
            <w:noWrap/>
            <w:vAlign w:val="center"/>
            <w:hideMark/>
          </w:tcPr>
          <w:p w14:paraId="0AD90192"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HOLLIBUS AUTOSERVIZI di OLLINO SERGIO &amp; C. Snc</w:t>
            </w:r>
          </w:p>
        </w:tc>
        <w:tc>
          <w:tcPr>
            <w:tcW w:w="1210" w:type="dxa"/>
            <w:noWrap/>
            <w:vAlign w:val="center"/>
            <w:hideMark/>
          </w:tcPr>
          <w:p w14:paraId="421DF5F0"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67.513</w:t>
            </w:r>
          </w:p>
        </w:tc>
        <w:tc>
          <w:tcPr>
            <w:tcW w:w="1054" w:type="dxa"/>
            <w:noWrap/>
            <w:vAlign w:val="center"/>
            <w:hideMark/>
          </w:tcPr>
          <w:p w14:paraId="1270BEFF"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0A5C0911"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67.513</w:t>
            </w:r>
          </w:p>
        </w:tc>
      </w:tr>
      <w:tr w:rsidR="00162229" w:rsidRPr="00852B3F" w14:paraId="58AEAAAB" w14:textId="77777777" w:rsidTr="00AC598A">
        <w:trPr>
          <w:trHeight w:val="300"/>
        </w:trPr>
        <w:tc>
          <w:tcPr>
            <w:tcW w:w="5550" w:type="dxa"/>
            <w:shd w:val="clear" w:color="000000" w:fill="FFFFFF"/>
            <w:noWrap/>
            <w:vAlign w:val="center"/>
            <w:hideMark/>
          </w:tcPr>
          <w:p w14:paraId="00843A3D"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MAESTRI AUTOSERVIZI Sas</w:t>
            </w:r>
          </w:p>
        </w:tc>
        <w:tc>
          <w:tcPr>
            <w:tcW w:w="1210" w:type="dxa"/>
            <w:noWrap/>
            <w:vAlign w:val="center"/>
            <w:hideMark/>
          </w:tcPr>
          <w:p w14:paraId="6BBAE7AF"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144.304</w:t>
            </w:r>
          </w:p>
        </w:tc>
        <w:tc>
          <w:tcPr>
            <w:tcW w:w="1054" w:type="dxa"/>
            <w:noWrap/>
            <w:vAlign w:val="center"/>
            <w:hideMark/>
          </w:tcPr>
          <w:p w14:paraId="7C57273F"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36899F3D"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144.304</w:t>
            </w:r>
          </w:p>
        </w:tc>
      </w:tr>
      <w:tr w:rsidR="00162229" w:rsidRPr="00852B3F" w14:paraId="33D6BFE3" w14:textId="77777777" w:rsidTr="00AC598A">
        <w:trPr>
          <w:trHeight w:val="300"/>
        </w:trPr>
        <w:tc>
          <w:tcPr>
            <w:tcW w:w="5550" w:type="dxa"/>
            <w:shd w:val="clear" w:color="000000" w:fill="FFFFFF"/>
            <w:noWrap/>
            <w:vAlign w:val="center"/>
            <w:hideMark/>
          </w:tcPr>
          <w:p w14:paraId="3FD65536"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MARLETTI AUTOLINEE Srl</w:t>
            </w:r>
          </w:p>
        </w:tc>
        <w:tc>
          <w:tcPr>
            <w:tcW w:w="1210" w:type="dxa"/>
            <w:noWrap/>
            <w:vAlign w:val="center"/>
            <w:hideMark/>
          </w:tcPr>
          <w:p w14:paraId="1C8FD275"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113.056</w:t>
            </w:r>
          </w:p>
        </w:tc>
        <w:tc>
          <w:tcPr>
            <w:tcW w:w="1054" w:type="dxa"/>
            <w:noWrap/>
            <w:vAlign w:val="center"/>
            <w:hideMark/>
          </w:tcPr>
          <w:p w14:paraId="5489A42D"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3F6C2BBD"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113.056</w:t>
            </w:r>
          </w:p>
        </w:tc>
      </w:tr>
      <w:tr w:rsidR="00162229" w:rsidRPr="00852B3F" w14:paraId="13BDD802" w14:textId="77777777" w:rsidTr="00AC598A">
        <w:trPr>
          <w:trHeight w:val="300"/>
        </w:trPr>
        <w:tc>
          <w:tcPr>
            <w:tcW w:w="5550" w:type="dxa"/>
            <w:shd w:val="clear" w:color="000000" w:fill="FFFFFF"/>
            <w:noWrap/>
            <w:vAlign w:val="center"/>
            <w:hideMark/>
          </w:tcPr>
          <w:p w14:paraId="508C3337"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RATTI TOURS di RATTI LUIGI &amp; C. Srl</w:t>
            </w:r>
          </w:p>
        </w:tc>
        <w:tc>
          <w:tcPr>
            <w:tcW w:w="1210" w:type="dxa"/>
            <w:noWrap/>
            <w:vAlign w:val="center"/>
            <w:hideMark/>
          </w:tcPr>
          <w:p w14:paraId="2D95B753"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68.908</w:t>
            </w:r>
          </w:p>
        </w:tc>
        <w:tc>
          <w:tcPr>
            <w:tcW w:w="1054" w:type="dxa"/>
            <w:noWrap/>
            <w:vAlign w:val="center"/>
            <w:hideMark/>
          </w:tcPr>
          <w:p w14:paraId="63A6A5AB"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0B2E8C02"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68.908</w:t>
            </w:r>
          </w:p>
        </w:tc>
      </w:tr>
      <w:tr w:rsidR="00162229" w:rsidRPr="00852B3F" w14:paraId="0916C847" w14:textId="77777777" w:rsidTr="00AC598A">
        <w:trPr>
          <w:trHeight w:val="588"/>
        </w:trPr>
        <w:tc>
          <w:tcPr>
            <w:tcW w:w="5550" w:type="dxa"/>
            <w:shd w:val="clear" w:color="000000" w:fill="FFFFFF"/>
            <w:noWrap/>
            <w:vAlign w:val="center"/>
            <w:hideMark/>
          </w:tcPr>
          <w:p w14:paraId="75148FCD" w14:textId="77777777" w:rsidR="00162229" w:rsidRPr="00852B3F" w:rsidRDefault="00162229" w:rsidP="002A21C0">
            <w:pPr>
              <w:spacing w:after="0" w:line="240" w:lineRule="auto"/>
              <w:rPr>
                <w:rFonts w:ascii="Calibri" w:eastAsia="Times New Roman" w:hAnsi="Calibri" w:cs="Calibri"/>
              </w:rPr>
            </w:pPr>
            <w:r w:rsidRPr="00852B3F">
              <w:rPr>
                <w:rFonts w:ascii="Calibri" w:eastAsia="Times New Roman" w:hAnsi="Calibri" w:cs="Calibri"/>
              </w:rPr>
              <w:t>S.T.A.C. - SOCIETA' TRASPORTI AUTOMOBILISTICI CASALESI Srl</w:t>
            </w:r>
          </w:p>
        </w:tc>
        <w:tc>
          <w:tcPr>
            <w:tcW w:w="1210" w:type="dxa"/>
            <w:noWrap/>
            <w:vAlign w:val="center"/>
            <w:hideMark/>
          </w:tcPr>
          <w:p w14:paraId="30DDABD3"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1.529.610</w:t>
            </w:r>
          </w:p>
        </w:tc>
        <w:tc>
          <w:tcPr>
            <w:tcW w:w="1054" w:type="dxa"/>
            <w:noWrap/>
            <w:vAlign w:val="center"/>
            <w:hideMark/>
          </w:tcPr>
          <w:p w14:paraId="43159D56"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2F41C45C"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1.529.610</w:t>
            </w:r>
          </w:p>
        </w:tc>
      </w:tr>
      <w:tr w:rsidR="00162229" w:rsidRPr="00852B3F" w14:paraId="503C2CBE" w14:textId="77777777" w:rsidTr="00AC598A">
        <w:trPr>
          <w:trHeight w:val="300"/>
        </w:trPr>
        <w:tc>
          <w:tcPr>
            <w:tcW w:w="5550" w:type="dxa"/>
            <w:shd w:val="clear" w:color="000000" w:fill="FFFFFF"/>
            <w:noWrap/>
            <w:vAlign w:val="center"/>
            <w:hideMark/>
          </w:tcPr>
          <w:p w14:paraId="4A0E10E0" w14:textId="77777777" w:rsidR="00162229" w:rsidRPr="00852B3F" w:rsidRDefault="00162229" w:rsidP="002A21C0">
            <w:pPr>
              <w:spacing w:after="0" w:line="240" w:lineRule="auto"/>
              <w:rPr>
                <w:rFonts w:ascii="Calibri" w:eastAsia="Times New Roman" w:hAnsi="Calibri" w:cs="Calibri"/>
                <w:lang w:val="en-US"/>
              </w:rPr>
            </w:pPr>
            <w:r w:rsidRPr="00852B3F">
              <w:rPr>
                <w:rFonts w:ascii="Calibri" w:eastAsia="Times New Roman" w:hAnsi="Calibri" w:cs="Calibri"/>
                <w:lang w:val="en-GB"/>
              </w:rPr>
              <w:t>TROTTA BUS SERVICES S.p.A</w:t>
            </w:r>
          </w:p>
        </w:tc>
        <w:tc>
          <w:tcPr>
            <w:tcW w:w="1210" w:type="dxa"/>
            <w:noWrap/>
            <w:vAlign w:val="center"/>
            <w:hideMark/>
          </w:tcPr>
          <w:p w14:paraId="18AA4D59"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368.563</w:t>
            </w:r>
          </w:p>
        </w:tc>
        <w:tc>
          <w:tcPr>
            <w:tcW w:w="1054" w:type="dxa"/>
            <w:noWrap/>
            <w:vAlign w:val="center"/>
            <w:hideMark/>
          </w:tcPr>
          <w:p w14:paraId="58661F5B"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35.404</w:t>
            </w:r>
          </w:p>
        </w:tc>
        <w:tc>
          <w:tcPr>
            <w:tcW w:w="1150" w:type="dxa"/>
            <w:noWrap/>
            <w:vAlign w:val="center"/>
            <w:hideMark/>
          </w:tcPr>
          <w:p w14:paraId="60CDBF99"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403.967</w:t>
            </w:r>
          </w:p>
        </w:tc>
      </w:tr>
      <w:tr w:rsidR="00162229" w:rsidRPr="00852B3F" w14:paraId="5A00A516" w14:textId="77777777" w:rsidTr="00AC598A">
        <w:trPr>
          <w:trHeight w:val="300"/>
        </w:trPr>
        <w:tc>
          <w:tcPr>
            <w:tcW w:w="5550" w:type="dxa"/>
            <w:noWrap/>
            <w:vAlign w:val="center"/>
            <w:hideMark/>
          </w:tcPr>
          <w:p w14:paraId="2F8D5EE6"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CASETTA TOURS di Casetta E &amp; C snc</w:t>
            </w:r>
          </w:p>
        </w:tc>
        <w:tc>
          <w:tcPr>
            <w:tcW w:w="1210" w:type="dxa"/>
            <w:noWrap/>
            <w:vAlign w:val="center"/>
            <w:hideMark/>
          </w:tcPr>
          <w:p w14:paraId="5D7E6A48"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8.550</w:t>
            </w:r>
          </w:p>
        </w:tc>
        <w:tc>
          <w:tcPr>
            <w:tcW w:w="1054" w:type="dxa"/>
            <w:noWrap/>
            <w:vAlign w:val="center"/>
            <w:hideMark/>
          </w:tcPr>
          <w:p w14:paraId="55C025FF"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477E794F"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8.550</w:t>
            </w:r>
          </w:p>
        </w:tc>
      </w:tr>
      <w:tr w:rsidR="00162229" w:rsidRPr="00852B3F" w14:paraId="04ECFC67" w14:textId="77777777" w:rsidTr="00AC598A">
        <w:trPr>
          <w:trHeight w:val="300"/>
        </w:trPr>
        <w:tc>
          <w:tcPr>
            <w:tcW w:w="5550" w:type="dxa"/>
            <w:noWrap/>
            <w:vAlign w:val="center"/>
            <w:hideMark/>
          </w:tcPr>
          <w:p w14:paraId="65CA3194"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SEIA PIERO</w:t>
            </w:r>
          </w:p>
        </w:tc>
        <w:tc>
          <w:tcPr>
            <w:tcW w:w="1210" w:type="dxa"/>
            <w:noWrap/>
            <w:vAlign w:val="center"/>
            <w:hideMark/>
          </w:tcPr>
          <w:p w14:paraId="18DCECE2"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10.480</w:t>
            </w:r>
          </w:p>
        </w:tc>
        <w:tc>
          <w:tcPr>
            <w:tcW w:w="1054" w:type="dxa"/>
            <w:noWrap/>
            <w:vAlign w:val="center"/>
            <w:hideMark/>
          </w:tcPr>
          <w:p w14:paraId="6E786614" w14:textId="77777777" w:rsidR="00162229" w:rsidRPr="00852B3F" w:rsidRDefault="00162229" w:rsidP="002A21C0">
            <w:pPr>
              <w:spacing w:after="0" w:line="240" w:lineRule="auto"/>
              <w:jc w:val="left"/>
              <w:rPr>
                <w:rFonts w:ascii="Calibri" w:eastAsia="Times New Roman" w:hAnsi="Calibri" w:cs="Calibri"/>
              </w:rPr>
            </w:pPr>
            <w:r w:rsidRPr="00852B3F">
              <w:rPr>
                <w:rFonts w:ascii="Calibri" w:eastAsia="Times New Roman" w:hAnsi="Calibri" w:cs="Calibri"/>
              </w:rPr>
              <w:t> </w:t>
            </w:r>
          </w:p>
        </w:tc>
        <w:tc>
          <w:tcPr>
            <w:tcW w:w="1150" w:type="dxa"/>
            <w:noWrap/>
            <w:vAlign w:val="center"/>
            <w:hideMark/>
          </w:tcPr>
          <w:p w14:paraId="1BF0EE27" w14:textId="77777777" w:rsidR="00162229" w:rsidRPr="00852B3F" w:rsidRDefault="00162229" w:rsidP="002A21C0">
            <w:pPr>
              <w:spacing w:after="0" w:line="240" w:lineRule="auto"/>
              <w:jc w:val="right"/>
              <w:rPr>
                <w:rFonts w:ascii="Calibri" w:eastAsia="Times New Roman" w:hAnsi="Calibri" w:cs="Calibri"/>
              </w:rPr>
            </w:pPr>
            <w:r w:rsidRPr="00852B3F">
              <w:rPr>
                <w:rFonts w:ascii="Calibri" w:eastAsia="Times New Roman" w:hAnsi="Calibri" w:cs="Calibri"/>
              </w:rPr>
              <w:t>10.480</w:t>
            </w:r>
          </w:p>
        </w:tc>
      </w:tr>
      <w:tr w:rsidR="00162229" w:rsidRPr="00852B3F" w14:paraId="31311B0D" w14:textId="77777777" w:rsidTr="00AC598A">
        <w:trPr>
          <w:trHeight w:val="300"/>
        </w:trPr>
        <w:tc>
          <w:tcPr>
            <w:tcW w:w="5550" w:type="dxa"/>
            <w:shd w:val="clear" w:color="000000" w:fill="FFFFFF"/>
            <w:vAlign w:val="center"/>
            <w:hideMark/>
          </w:tcPr>
          <w:p w14:paraId="129BB1AB" w14:textId="77777777" w:rsidR="00162229" w:rsidRPr="00852B3F" w:rsidRDefault="00162229" w:rsidP="002A21C0">
            <w:pPr>
              <w:spacing w:after="0" w:line="240" w:lineRule="auto"/>
              <w:rPr>
                <w:rFonts w:ascii="Calibri" w:eastAsia="Times New Roman" w:hAnsi="Calibri" w:cs="Calibri"/>
                <w:b/>
                <w:bCs/>
              </w:rPr>
            </w:pPr>
            <w:r w:rsidRPr="00852B3F">
              <w:rPr>
                <w:rFonts w:ascii="Calibri" w:eastAsia="Times New Roman" w:hAnsi="Calibri" w:cs="Calibri"/>
                <w:b/>
                <w:bCs/>
              </w:rPr>
              <w:t>Totale</w:t>
            </w:r>
          </w:p>
        </w:tc>
        <w:tc>
          <w:tcPr>
            <w:tcW w:w="1210" w:type="dxa"/>
            <w:noWrap/>
            <w:vAlign w:val="center"/>
            <w:hideMark/>
          </w:tcPr>
          <w:p w14:paraId="79FBB413" w14:textId="77777777" w:rsidR="00162229" w:rsidRPr="00852B3F" w:rsidRDefault="00162229" w:rsidP="002A21C0">
            <w:pPr>
              <w:spacing w:after="0" w:line="240" w:lineRule="auto"/>
              <w:jc w:val="right"/>
              <w:rPr>
                <w:rFonts w:ascii="Calibri" w:eastAsia="Times New Roman" w:hAnsi="Calibri" w:cs="Calibri"/>
                <w:b/>
                <w:bCs/>
              </w:rPr>
            </w:pPr>
            <w:r w:rsidRPr="00852B3F">
              <w:rPr>
                <w:rFonts w:ascii="Calibri" w:eastAsia="Times New Roman" w:hAnsi="Calibri" w:cs="Calibri"/>
                <w:b/>
                <w:bCs/>
              </w:rPr>
              <w:t>11.073.325</w:t>
            </w:r>
          </w:p>
        </w:tc>
        <w:tc>
          <w:tcPr>
            <w:tcW w:w="1054" w:type="dxa"/>
            <w:noWrap/>
            <w:vAlign w:val="center"/>
            <w:hideMark/>
          </w:tcPr>
          <w:p w14:paraId="48383DA1" w14:textId="77777777" w:rsidR="00162229" w:rsidRPr="00852B3F" w:rsidRDefault="00162229" w:rsidP="002A21C0">
            <w:pPr>
              <w:spacing w:after="0" w:line="240" w:lineRule="auto"/>
              <w:jc w:val="right"/>
              <w:rPr>
                <w:rFonts w:ascii="Calibri" w:eastAsia="Times New Roman" w:hAnsi="Calibri" w:cs="Calibri"/>
                <w:b/>
                <w:bCs/>
              </w:rPr>
            </w:pPr>
            <w:r w:rsidRPr="00852B3F">
              <w:rPr>
                <w:rFonts w:ascii="Calibri" w:eastAsia="Times New Roman" w:hAnsi="Calibri" w:cs="Calibri"/>
                <w:b/>
                <w:bCs/>
              </w:rPr>
              <w:t>2.988.669</w:t>
            </w:r>
          </w:p>
        </w:tc>
        <w:tc>
          <w:tcPr>
            <w:tcW w:w="1150" w:type="dxa"/>
            <w:noWrap/>
            <w:vAlign w:val="center"/>
            <w:hideMark/>
          </w:tcPr>
          <w:p w14:paraId="30A125BA" w14:textId="77777777" w:rsidR="00162229" w:rsidRPr="00852B3F" w:rsidRDefault="00162229" w:rsidP="002A21C0">
            <w:pPr>
              <w:spacing w:after="0" w:line="240" w:lineRule="auto"/>
              <w:jc w:val="right"/>
              <w:rPr>
                <w:rFonts w:ascii="Calibri" w:eastAsia="Times New Roman" w:hAnsi="Calibri" w:cs="Calibri"/>
                <w:b/>
                <w:bCs/>
              </w:rPr>
            </w:pPr>
            <w:r w:rsidRPr="00852B3F">
              <w:rPr>
                <w:rFonts w:ascii="Calibri" w:eastAsia="Times New Roman" w:hAnsi="Calibri" w:cs="Calibri"/>
                <w:b/>
                <w:bCs/>
              </w:rPr>
              <w:t>14.061.994</w:t>
            </w:r>
          </w:p>
        </w:tc>
      </w:tr>
    </w:tbl>
    <w:p w14:paraId="43E78A54" w14:textId="54FF8D5A" w:rsidR="00162229" w:rsidRPr="0062443B" w:rsidRDefault="00162229" w:rsidP="00162229">
      <w:pPr>
        <w:spacing w:after="200" w:line="240" w:lineRule="auto"/>
        <w:jc w:val="center"/>
        <w:rPr>
          <w:rFonts w:ascii="Calibri" w:eastAsia="Calibri" w:hAnsi="Calibri" w:cs="Arial"/>
          <w:iCs/>
          <w:color w:val="003398"/>
          <w:sz w:val="18"/>
          <w:szCs w:val="18"/>
        </w:rPr>
      </w:pPr>
      <w:r w:rsidRPr="0062443B">
        <w:rPr>
          <w:rFonts w:ascii="Calibri" w:eastAsia="Calibri" w:hAnsi="Calibri" w:cs="Arial"/>
          <w:i/>
          <w:iCs/>
          <w:color w:val="003398"/>
          <w:sz w:val="18"/>
          <w:szCs w:val="18"/>
        </w:rPr>
        <w:t xml:space="preserve">Tabella </w:t>
      </w:r>
      <w:r w:rsidRPr="0062443B">
        <w:rPr>
          <w:rFonts w:ascii="Calibri" w:eastAsia="Calibri" w:hAnsi="Calibri" w:cs="Arial"/>
          <w:i/>
          <w:iCs/>
          <w:color w:val="003398"/>
          <w:sz w:val="18"/>
          <w:szCs w:val="18"/>
        </w:rPr>
        <w:fldChar w:fldCharType="begin"/>
      </w:r>
      <w:r w:rsidRPr="0062443B">
        <w:rPr>
          <w:rFonts w:ascii="Calibri" w:eastAsia="Calibri" w:hAnsi="Calibri" w:cs="Arial"/>
          <w:i/>
          <w:iCs/>
          <w:color w:val="003398"/>
          <w:sz w:val="18"/>
          <w:szCs w:val="18"/>
        </w:rPr>
        <w:instrText xml:space="preserve"> SEQ Tabella \* ARABIC </w:instrText>
      </w:r>
      <w:r w:rsidRPr="0062443B">
        <w:rPr>
          <w:rFonts w:ascii="Calibri" w:eastAsia="Calibri" w:hAnsi="Calibri" w:cs="Arial"/>
          <w:i/>
          <w:iCs/>
          <w:color w:val="003398"/>
          <w:sz w:val="18"/>
          <w:szCs w:val="18"/>
        </w:rPr>
        <w:fldChar w:fldCharType="separate"/>
      </w:r>
      <w:r w:rsidR="00670903">
        <w:rPr>
          <w:rFonts w:ascii="Calibri" w:eastAsia="Calibri" w:hAnsi="Calibri" w:cs="Arial"/>
          <w:i/>
          <w:iCs/>
          <w:noProof/>
          <w:color w:val="003398"/>
          <w:sz w:val="18"/>
          <w:szCs w:val="18"/>
        </w:rPr>
        <w:t>54</w:t>
      </w:r>
      <w:r w:rsidRPr="0062443B">
        <w:rPr>
          <w:rFonts w:ascii="Calibri" w:eastAsia="Calibri" w:hAnsi="Calibri" w:cs="Arial"/>
          <w:i/>
          <w:iCs/>
          <w:color w:val="003398"/>
          <w:sz w:val="18"/>
          <w:szCs w:val="18"/>
        </w:rPr>
        <w:fldChar w:fldCharType="end"/>
      </w:r>
      <w:r w:rsidRPr="0062443B">
        <w:rPr>
          <w:rFonts w:ascii="Calibri" w:eastAsia="Calibri" w:hAnsi="Calibri" w:cs="Arial"/>
          <w:iCs/>
          <w:color w:val="003398"/>
          <w:sz w:val="18"/>
          <w:szCs w:val="18"/>
        </w:rPr>
        <w:t xml:space="preserve"> – </w:t>
      </w:r>
      <w:r w:rsidRPr="0062443B">
        <w:rPr>
          <w:rFonts w:ascii="Calibri" w:eastAsia="Calibri" w:hAnsi="Calibri" w:cs="Arial"/>
          <w:i/>
          <w:color w:val="003398"/>
          <w:sz w:val="18"/>
          <w:szCs w:val="18"/>
        </w:rPr>
        <w:t>Ripartizione dei servizi fra le aziende attualmente operanti sul territorio</w:t>
      </w:r>
    </w:p>
    <w:p w14:paraId="24B292BB" w14:textId="77777777" w:rsidR="00162229" w:rsidRPr="00AD01C5" w:rsidRDefault="00162229" w:rsidP="00162229">
      <w:pPr>
        <w:spacing w:before="120" w:after="0" w:line="240" w:lineRule="auto"/>
        <w:rPr>
          <w:rFonts w:ascii="Calibri" w:eastAsia="Calibri" w:hAnsi="Calibri" w:cs="Arial"/>
        </w:rPr>
      </w:pPr>
      <w:r w:rsidRPr="006010DC">
        <w:rPr>
          <w:rFonts w:ascii="Calibri" w:eastAsia="Calibri" w:hAnsi="Calibri" w:cs="Arial"/>
        </w:rPr>
        <w:t>Sono inclusi i servizi</w:t>
      </w:r>
      <w:r w:rsidRPr="00AD01C5">
        <w:rPr>
          <w:rFonts w:ascii="Calibri" w:eastAsia="Calibri" w:hAnsi="Calibri" w:cs="Arial"/>
        </w:rPr>
        <w:t xml:space="preserve"> riferibili agli accordi di programma che l’Agenzia ha sottoscritto con Enti locali, e sono gestiti in economia o attraverso affidamenti diretti a piccoli operatori locali. </w:t>
      </w:r>
    </w:p>
    <w:p w14:paraId="71B3DE1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Tra novembre e dicembre 2024, 13 operatori hanno partecipato agli incontri collettivi e individuali per il Bacino </w:t>
      </w:r>
      <w:r>
        <w:rPr>
          <w:rFonts w:ascii="Calibri" w:eastAsia="Calibri" w:hAnsi="Calibri" w:cs="Arial"/>
        </w:rPr>
        <w:t>Sud Est</w:t>
      </w:r>
      <w:r w:rsidRPr="00AD01C5">
        <w:rPr>
          <w:rFonts w:ascii="Calibri" w:eastAsia="Calibri" w:hAnsi="Calibri" w:cs="Arial"/>
        </w:rPr>
        <w:t xml:space="preserve"> del Piemonte. Questi incontri sono stati espletati ai sensi delle Delibere ART 64/2024, </w:t>
      </w:r>
      <w:r w:rsidRPr="00AD01C5">
        <w:rPr>
          <w:rFonts w:ascii="Calibri" w:eastAsia="Calibri" w:hAnsi="Calibri" w:cs="Arial"/>
        </w:rPr>
        <w:lastRenderedPageBreak/>
        <w:t>e della Delibera 48/2017. Gli operatori hanno manifestato un interesse concreto a partecipare ai futuri affidamenti dei servizi del bacino (si veda allegato 3).</w:t>
      </w:r>
    </w:p>
    <w:p w14:paraId="1C5BB6C7"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Di seguito il dettaglio dei partecipanti</w:t>
      </w:r>
      <w:r>
        <w:rPr>
          <w:rFonts w:ascii="Calibri" w:eastAsia="Calibri" w:hAnsi="Calibri" w:cs="Arial"/>
        </w:rPr>
        <w:t xml:space="preserve"> agli incontri del Bacino Sud Est</w:t>
      </w:r>
      <w:r w:rsidRPr="00AD01C5">
        <w:rPr>
          <w:rFonts w:ascii="Calibri" w:eastAsia="Calibri" w:hAnsi="Calibri" w:cs="Arial"/>
        </w:rPr>
        <w:t xml:space="preserve">, dei quali possiamo fornire alcuni </w:t>
      </w:r>
      <w:r>
        <w:rPr>
          <w:rFonts w:ascii="Calibri" w:eastAsia="Calibri" w:hAnsi="Calibri" w:cs="Arial"/>
        </w:rPr>
        <w:t>elementi derivati dal Sistema di qualificazione degli operatori di TPL dell’Agenzia</w:t>
      </w:r>
      <w:r w:rsidRPr="00AD01C5">
        <w:rPr>
          <w:rFonts w:ascii="Calibri" w:eastAsia="Calibri" w:hAnsi="Calibri" w:cs="Arial"/>
        </w:rPr>
        <w:t>.</w:t>
      </w:r>
    </w:p>
    <w:p w14:paraId="057FC08C" w14:textId="77777777" w:rsidR="00162229" w:rsidRPr="00AD01C5" w:rsidRDefault="00162229" w:rsidP="00162229">
      <w:pPr>
        <w:spacing w:before="120" w:after="0" w:line="240" w:lineRule="auto"/>
        <w:rPr>
          <w:rFonts w:ascii="Calibri" w:eastAsia="Calibri" w:hAnsi="Calibri" w:cs="Arial"/>
        </w:rPr>
      </w:pPr>
    </w:p>
    <w:tbl>
      <w:tblPr>
        <w:tblW w:w="8100" w:type="dxa"/>
        <w:jc w:val="center"/>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2217"/>
        <w:gridCol w:w="1345"/>
        <w:gridCol w:w="1325"/>
        <w:gridCol w:w="941"/>
        <w:gridCol w:w="1176"/>
        <w:gridCol w:w="950"/>
        <w:gridCol w:w="146"/>
      </w:tblGrid>
      <w:tr w:rsidR="00162229" w:rsidRPr="00AD01C5" w14:paraId="37F5CA0A" w14:textId="77777777" w:rsidTr="00AC598A">
        <w:trPr>
          <w:gridAfter w:val="1"/>
          <w:wAfter w:w="146" w:type="dxa"/>
          <w:trHeight w:val="450"/>
          <w:jc w:val="center"/>
        </w:trPr>
        <w:tc>
          <w:tcPr>
            <w:tcW w:w="2217" w:type="dxa"/>
            <w:vMerge w:val="restart"/>
            <w:shd w:val="clear" w:color="auto" w:fill="A5C34C" w:themeFill="accent6" w:themeFillShade="BF"/>
            <w:vAlign w:val="center"/>
            <w:hideMark/>
          </w:tcPr>
          <w:p w14:paraId="110A5C95"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OPERATORI ECONOMICI</w:t>
            </w:r>
          </w:p>
        </w:tc>
        <w:tc>
          <w:tcPr>
            <w:tcW w:w="1345" w:type="dxa"/>
            <w:vMerge w:val="restart"/>
            <w:shd w:val="clear" w:color="auto" w:fill="A5C34C" w:themeFill="accent6" w:themeFillShade="BF"/>
            <w:vAlign w:val="center"/>
            <w:hideMark/>
          </w:tcPr>
          <w:p w14:paraId="558E6990"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N° incontri</w:t>
            </w:r>
          </w:p>
        </w:tc>
        <w:tc>
          <w:tcPr>
            <w:tcW w:w="1325" w:type="dxa"/>
            <w:vMerge w:val="restart"/>
            <w:shd w:val="clear" w:color="auto" w:fill="A5C34C" w:themeFill="accent6" w:themeFillShade="BF"/>
            <w:vAlign w:val="center"/>
            <w:hideMark/>
          </w:tcPr>
          <w:p w14:paraId="5374A44F"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Tipologia servizi erogati</w:t>
            </w:r>
          </w:p>
        </w:tc>
        <w:tc>
          <w:tcPr>
            <w:tcW w:w="941" w:type="dxa"/>
            <w:vMerge w:val="restart"/>
            <w:shd w:val="clear" w:color="auto" w:fill="A5C34C" w:themeFill="accent6" w:themeFillShade="BF"/>
            <w:vAlign w:val="center"/>
            <w:hideMark/>
          </w:tcPr>
          <w:p w14:paraId="3CD0533A"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Operanti in Piemonte</w:t>
            </w:r>
          </w:p>
        </w:tc>
        <w:tc>
          <w:tcPr>
            <w:tcW w:w="1176" w:type="dxa"/>
            <w:vMerge w:val="restart"/>
            <w:shd w:val="clear" w:color="auto" w:fill="A5C34C" w:themeFill="accent6" w:themeFillShade="BF"/>
            <w:vAlign w:val="center"/>
            <w:hideMark/>
          </w:tcPr>
          <w:p w14:paraId="1F159A76"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Sistema di qualificazione</w:t>
            </w:r>
          </w:p>
        </w:tc>
        <w:tc>
          <w:tcPr>
            <w:tcW w:w="950" w:type="dxa"/>
            <w:vMerge w:val="restart"/>
            <w:shd w:val="clear" w:color="auto" w:fill="A5C34C" w:themeFill="accent6" w:themeFillShade="BF"/>
            <w:vAlign w:val="center"/>
            <w:hideMark/>
          </w:tcPr>
          <w:p w14:paraId="1AD351CC"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r w:rsidRPr="00AD01C5">
              <w:rPr>
                <w:rFonts w:ascii="Calibri" w:eastAsia="Times New Roman" w:hAnsi="Calibri" w:cs="Calibri"/>
                <w:b/>
                <w:bCs/>
                <w:color w:val="000000"/>
                <w:sz w:val="18"/>
                <w:szCs w:val="18"/>
              </w:rPr>
              <w:t>Categoria Classe</w:t>
            </w:r>
          </w:p>
        </w:tc>
      </w:tr>
      <w:tr w:rsidR="00162229" w:rsidRPr="00AD01C5" w14:paraId="770F6B0D" w14:textId="77777777" w:rsidTr="00AC598A">
        <w:trPr>
          <w:trHeight w:val="300"/>
          <w:jc w:val="center"/>
        </w:trPr>
        <w:tc>
          <w:tcPr>
            <w:tcW w:w="2217" w:type="dxa"/>
            <w:vMerge/>
            <w:shd w:val="clear" w:color="auto" w:fill="A5C34C" w:themeFill="accent6" w:themeFillShade="BF"/>
            <w:vAlign w:val="center"/>
            <w:hideMark/>
          </w:tcPr>
          <w:p w14:paraId="6B54ADAF"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1345" w:type="dxa"/>
            <w:vMerge/>
            <w:shd w:val="clear" w:color="auto" w:fill="A5C34C" w:themeFill="accent6" w:themeFillShade="BF"/>
            <w:vAlign w:val="center"/>
            <w:hideMark/>
          </w:tcPr>
          <w:p w14:paraId="2A97FA6D"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1325" w:type="dxa"/>
            <w:vMerge/>
            <w:shd w:val="clear" w:color="auto" w:fill="A5C34C" w:themeFill="accent6" w:themeFillShade="BF"/>
            <w:vAlign w:val="center"/>
            <w:hideMark/>
          </w:tcPr>
          <w:p w14:paraId="236EF826"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941" w:type="dxa"/>
            <w:vMerge/>
            <w:shd w:val="clear" w:color="auto" w:fill="A5C34C" w:themeFill="accent6" w:themeFillShade="BF"/>
            <w:vAlign w:val="center"/>
            <w:hideMark/>
          </w:tcPr>
          <w:p w14:paraId="73328765"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1176" w:type="dxa"/>
            <w:vMerge/>
            <w:shd w:val="clear" w:color="auto" w:fill="A5C34C" w:themeFill="accent6" w:themeFillShade="BF"/>
            <w:vAlign w:val="center"/>
            <w:hideMark/>
          </w:tcPr>
          <w:p w14:paraId="7481135E"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950" w:type="dxa"/>
            <w:vMerge/>
            <w:shd w:val="clear" w:color="auto" w:fill="A5C34C" w:themeFill="accent6" w:themeFillShade="BF"/>
            <w:vAlign w:val="center"/>
            <w:hideMark/>
          </w:tcPr>
          <w:p w14:paraId="16D0E9B9" w14:textId="77777777" w:rsidR="00162229" w:rsidRPr="00AD01C5" w:rsidRDefault="00162229" w:rsidP="002A21C0">
            <w:pPr>
              <w:spacing w:after="0" w:line="240" w:lineRule="auto"/>
              <w:jc w:val="left"/>
              <w:rPr>
                <w:rFonts w:ascii="Calibri" w:eastAsia="Times New Roman" w:hAnsi="Calibri" w:cs="Calibri"/>
                <w:b/>
                <w:bCs/>
                <w:color w:val="000000"/>
                <w:sz w:val="18"/>
                <w:szCs w:val="18"/>
              </w:rPr>
            </w:pPr>
          </w:p>
        </w:tc>
        <w:tc>
          <w:tcPr>
            <w:tcW w:w="146" w:type="dxa"/>
            <w:noWrap/>
            <w:vAlign w:val="bottom"/>
            <w:hideMark/>
          </w:tcPr>
          <w:p w14:paraId="67A31953" w14:textId="77777777" w:rsidR="00162229" w:rsidRPr="00AD01C5" w:rsidRDefault="00162229" w:rsidP="002A21C0">
            <w:pPr>
              <w:spacing w:after="0" w:line="240" w:lineRule="auto"/>
              <w:jc w:val="center"/>
              <w:rPr>
                <w:rFonts w:ascii="Calibri" w:eastAsia="Times New Roman" w:hAnsi="Calibri" w:cs="Calibri"/>
                <w:b/>
                <w:bCs/>
                <w:color w:val="000000"/>
                <w:sz w:val="18"/>
                <w:szCs w:val="18"/>
              </w:rPr>
            </w:pPr>
          </w:p>
        </w:tc>
      </w:tr>
      <w:tr w:rsidR="00162229" w:rsidRPr="00AD01C5" w14:paraId="5FF7680C" w14:textId="77777777" w:rsidTr="00AC598A">
        <w:trPr>
          <w:trHeight w:val="300"/>
          <w:jc w:val="center"/>
        </w:trPr>
        <w:tc>
          <w:tcPr>
            <w:tcW w:w="2217" w:type="dxa"/>
            <w:shd w:val="clear" w:color="000000" w:fill="FFFFFF"/>
            <w:vAlign w:val="center"/>
            <w:hideMark/>
          </w:tcPr>
          <w:p w14:paraId="258AD320"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AMAG MOBILITA' SPA</w:t>
            </w:r>
          </w:p>
        </w:tc>
        <w:tc>
          <w:tcPr>
            <w:tcW w:w="1345" w:type="dxa"/>
            <w:vAlign w:val="center"/>
            <w:hideMark/>
          </w:tcPr>
          <w:p w14:paraId="59D240C6"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8</w:t>
            </w:r>
          </w:p>
        </w:tc>
        <w:tc>
          <w:tcPr>
            <w:tcW w:w="1325" w:type="dxa"/>
            <w:vAlign w:val="center"/>
            <w:hideMark/>
          </w:tcPr>
          <w:p w14:paraId="720BD71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w:t>
            </w:r>
          </w:p>
        </w:tc>
        <w:tc>
          <w:tcPr>
            <w:tcW w:w="941" w:type="dxa"/>
            <w:vAlign w:val="center"/>
            <w:hideMark/>
          </w:tcPr>
          <w:p w14:paraId="4B46EA5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vAlign w:val="center"/>
            <w:hideMark/>
          </w:tcPr>
          <w:p w14:paraId="7A99D25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7A283F27"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A2</w:t>
            </w:r>
          </w:p>
        </w:tc>
        <w:tc>
          <w:tcPr>
            <w:tcW w:w="146" w:type="dxa"/>
            <w:vAlign w:val="center"/>
            <w:hideMark/>
          </w:tcPr>
          <w:p w14:paraId="750BC7A8"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63A9CAC0" w14:textId="77777777" w:rsidTr="00AC598A">
        <w:trPr>
          <w:trHeight w:val="480"/>
          <w:jc w:val="center"/>
        </w:trPr>
        <w:tc>
          <w:tcPr>
            <w:tcW w:w="2217" w:type="dxa"/>
            <w:shd w:val="clear" w:color="000000" w:fill="FFFFFF"/>
            <w:vAlign w:val="center"/>
            <w:hideMark/>
          </w:tcPr>
          <w:p w14:paraId="315F837B"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ARRIVA</w:t>
            </w:r>
          </w:p>
        </w:tc>
        <w:tc>
          <w:tcPr>
            <w:tcW w:w="1345" w:type="dxa"/>
            <w:vAlign w:val="center"/>
            <w:hideMark/>
          </w:tcPr>
          <w:p w14:paraId="3843C779"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7</w:t>
            </w:r>
          </w:p>
        </w:tc>
        <w:tc>
          <w:tcPr>
            <w:tcW w:w="1325" w:type="dxa"/>
            <w:vAlign w:val="center"/>
            <w:hideMark/>
          </w:tcPr>
          <w:p w14:paraId="1B4832D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extraurbano</w:t>
            </w:r>
          </w:p>
        </w:tc>
        <w:tc>
          <w:tcPr>
            <w:tcW w:w="941" w:type="dxa"/>
            <w:vAlign w:val="center"/>
            <w:hideMark/>
          </w:tcPr>
          <w:p w14:paraId="3BD4342F"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w:t>
            </w:r>
            <w:r w:rsidRPr="00AD01C5">
              <w:rPr>
                <w:rFonts w:ascii="Calibri" w:eastAsia="Times New Roman" w:hAnsi="Calibri" w:cs="Calibri"/>
                <w:color w:val="000000"/>
                <w:sz w:val="18"/>
                <w:szCs w:val="18"/>
              </w:rPr>
              <w:t>i</w:t>
            </w:r>
          </w:p>
        </w:tc>
        <w:tc>
          <w:tcPr>
            <w:tcW w:w="1176" w:type="dxa"/>
            <w:vAlign w:val="center"/>
            <w:hideMark/>
          </w:tcPr>
          <w:p w14:paraId="56E2B82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52BEA7A6"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77326717"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6A124B78" w14:textId="77777777" w:rsidTr="00AC598A">
        <w:trPr>
          <w:trHeight w:val="480"/>
          <w:jc w:val="center"/>
        </w:trPr>
        <w:tc>
          <w:tcPr>
            <w:tcW w:w="2217" w:type="dxa"/>
            <w:shd w:val="clear" w:color="000000" w:fill="FFFFFF"/>
            <w:vAlign w:val="center"/>
            <w:hideMark/>
          </w:tcPr>
          <w:p w14:paraId="03D40916"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ASTI SERVIZI PUBBLICI SPA</w:t>
            </w:r>
          </w:p>
        </w:tc>
        <w:tc>
          <w:tcPr>
            <w:tcW w:w="1345" w:type="dxa"/>
            <w:vAlign w:val="center"/>
            <w:hideMark/>
          </w:tcPr>
          <w:p w14:paraId="786D4297"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7</w:t>
            </w:r>
          </w:p>
        </w:tc>
        <w:tc>
          <w:tcPr>
            <w:tcW w:w="1325" w:type="dxa"/>
            <w:vAlign w:val="center"/>
            <w:hideMark/>
          </w:tcPr>
          <w:p w14:paraId="12A0A480"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extraurbano</w:t>
            </w:r>
          </w:p>
        </w:tc>
        <w:tc>
          <w:tcPr>
            <w:tcW w:w="941" w:type="dxa"/>
            <w:vAlign w:val="center"/>
            <w:hideMark/>
          </w:tcPr>
          <w:p w14:paraId="37D38FE7"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w:t>
            </w:r>
            <w:r w:rsidRPr="00AD01C5">
              <w:rPr>
                <w:rFonts w:ascii="Calibri" w:eastAsia="Times New Roman" w:hAnsi="Calibri" w:cs="Calibri"/>
                <w:color w:val="000000"/>
                <w:sz w:val="18"/>
                <w:szCs w:val="18"/>
              </w:rPr>
              <w:t>i</w:t>
            </w:r>
          </w:p>
        </w:tc>
        <w:tc>
          <w:tcPr>
            <w:tcW w:w="1176" w:type="dxa"/>
            <w:shd w:val="clear" w:color="000000" w:fill="FFFFFF"/>
            <w:vAlign w:val="center"/>
            <w:hideMark/>
          </w:tcPr>
          <w:p w14:paraId="4A445CBF"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950" w:type="dxa"/>
            <w:shd w:val="clear" w:color="000000" w:fill="FFFFFF"/>
            <w:vAlign w:val="center"/>
            <w:hideMark/>
          </w:tcPr>
          <w:p w14:paraId="3BA6DE5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146" w:type="dxa"/>
            <w:vAlign w:val="center"/>
            <w:hideMark/>
          </w:tcPr>
          <w:p w14:paraId="0BAC3FA5"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39A96110" w14:textId="77777777" w:rsidTr="00AC598A">
        <w:trPr>
          <w:trHeight w:val="480"/>
          <w:jc w:val="center"/>
        </w:trPr>
        <w:tc>
          <w:tcPr>
            <w:tcW w:w="2217" w:type="dxa"/>
            <w:shd w:val="clear" w:color="000000" w:fill="FFFFFF"/>
            <w:vAlign w:val="center"/>
            <w:hideMark/>
          </w:tcPr>
          <w:p w14:paraId="5AE63314"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AUTOGUIDOVIE SPA</w:t>
            </w:r>
          </w:p>
        </w:tc>
        <w:tc>
          <w:tcPr>
            <w:tcW w:w="1345" w:type="dxa"/>
            <w:vAlign w:val="center"/>
            <w:hideMark/>
          </w:tcPr>
          <w:p w14:paraId="4C42631A"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7</w:t>
            </w:r>
          </w:p>
        </w:tc>
        <w:tc>
          <w:tcPr>
            <w:tcW w:w="1325" w:type="dxa"/>
            <w:vAlign w:val="center"/>
            <w:hideMark/>
          </w:tcPr>
          <w:p w14:paraId="29E0B84F"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extraurbano</w:t>
            </w:r>
          </w:p>
        </w:tc>
        <w:tc>
          <w:tcPr>
            <w:tcW w:w="941" w:type="dxa"/>
            <w:vAlign w:val="center"/>
            <w:hideMark/>
          </w:tcPr>
          <w:p w14:paraId="2D0B7CB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no</w:t>
            </w:r>
          </w:p>
        </w:tc>
        <w:tc>
          <w:tcPr>
            <w:tcW w:w="1176" w:type="dxa"/>
            <w:vAlign w:val="center"/>
            <w:hideMark/>
          </w:tcPr>
          <w:p w14:paraId="2CBBBC3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39314880"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32B73642"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7B15B0B6" w14:textId="77777777" w:rsidTr="00AC598A">
        <w:trPr>
          <w:trHeight w:val="300"/>
          <w:jc w:val="center"/>
        </w:trPr>
        <w:tc>
          <w:tcPr>
            <w:tcW w:w="2217" w:type="dxa"/>
            <w:shd w:val="clear" w:color="000000" w:fill="FFFFFF"/>
            <w:vAlign w:val="center"/>
            <w:hideMark/>
          </w:tcPr>
          <w:p w14:paraId="31FD698C"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AUTOLINEE GIACHINO S.R.L.</w:t>
            </w:r>
          </w:p>
        </w:tc>
        <w:tc>
          <w:tcPr>
            <w:tcW w:w="1345" w:type="dxa"/>
            <w:vAlign w:val="center"/>
            <w:hideMark/>
          </w:tcPr>
          <w:p w14:paraId="61C6E55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9</w:t>
            </w:r>
          </w:p>
        </w:tc>
        <w:tc>
          <w:tcPr>
            <w:tcW w:w="1325" w:type="dxa"/>
            <w:vAlign w:val="center"/>
            <w:hideMark/>
          </w:tcPr>
          <w:p w14:paraId="26583CE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Extraurbano</w:t>
            </w:r>
          </w:p>
        </w:tc>
        <w:tc>
          <w:tcPr>
            <w:tcW w:w="941" w:type="dxa"/>
            <w:vAlign w:val="center"/>
            <w:hideMark/>
          </w:tcPr>
          <w:p w14:paraId="22243F29"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vAlign w:val="center"/>
            <w:hideMark/>
          </w:tcPr>
          <w:p w14:paraId="6397BCF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4F385A78"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A2</w:t>
            </w:r>
          </w:p>
        </w:tc>
        <w:tc>
          <w:tcPr>
            <w:tcW w:w="146" w:type="dxa"/>
            <w:vAlign w:val="center"/>
            <w:hideMark/>
          </w:tcPr>
          <w:p w14:paraId="3FF37D2B"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6BD5F0BE" w14:textId="77777777" w:rsidTr="00AC598A">
        <w:trPr>
          <w:trHeight w:val="480"/>
          <w:jc w:val="center"/>
        </w:trPr>
        <w:tc>
          <w:tcPr>
            <w:tcW w:w="2217" w:type="dxa"/>
            <w:shd w:val="clear" w:color="000000" w:fill="FFFFFF"/>
            <w:vAlign w:val="center"/>
            <w:hideMark/>
          </w:tcPr>
          <w:p w14:paraId="0A292B02" w14:textId="77777777" w:rsidR="00162229" w:rsidRPr="00AD01C5" w:rsidRDefault="00162229" w:rsidP="002A21C0">
            <w:pPr>
              <w:spacing w:after="0" w:line="240" w:lineRule="auto"/>
              <w:jc w:val="left"/>
              <w:rPr>
                <w:rFonts w:ascii="Calibri" w:eastAsia="Times New Roman" w:hAnsi="Calibri" w:cs="Calibri"/>
                <w:color w:val="000000"/>
                <w:sz w:val="18"/>
                <w:szCs w:val="18"/>
              </w:rPr>
            </w:pPr>
            <w:r w:rsidRPr="00AD01C5">
              <w:rPr>
                <w:rFonts w:ascii="Calibri" w:eastAsia="Times New Roman" w:hAnsi="Calibri" w:cs="Calibri"/>
                <w:color w:val="000000"/>
                <w:sz w:val="18"/>
                <w:szCs w:val="18"/>
              </w:rPr>
              <w:t>AZIENDA MULTISERVIZI CASALESE SPA</w:t>
            </w:r>
          </w:p>
        </w:tc>
        <w:tc>
          <w:tcPr>
            <w:tcW w:w="1345" w:type="dxa"/>
            <w:vAlign w:val="center"/>
            <w:hideMark/>
          </w:tcPr>
          <w:p w14:paraId="6863ACF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6</w:t>
            </w:r>
          </w:p>
        </w:tc>
        <w:tc>
          <w:tcPr>
            <w:tcW w:w="1325" w:type="dxa"/>
            <w:vAlign w:val="center"/>
            <w:hideMark/>
          </w:tcPr>
          <w:p w14:paraId="52F047C4"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w:t>
            </w:r>
          </w:p>
        </w:tc>
        <w:tc>
          <w:tcPr>
            <w:tcW w:w="941" w:type="dxa"/>
            <w:vAlign w:val="center"/>
            <w:hideMark/>
          </w:tcPr>
          <w:p w14:paraId="66FE0C9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w:t>
            </w:r>
            <w:r w:rsidRPr="00AD01C5">
              <w:rPr>
                <w:rFonts w:ascii="Calibri" w:eastAsia="Times New Roman" w:hAnsi="Calibri" w:cs="Calibri"/>
                <w:color w:val="000000"/>
                <w:sz w:val="18"/>
                <w:szCs w:val="18"/>
              </w:rPr>
              <w:t>i</w:t>
            </w:r>
          </w:p>
        </w:tc>
        <w:tc>
          <w:tcPr>
            <w:tcW w:w="1176" w:type="dxa"/>
            <w:vAlign w:val="center"/>
            <w:hideMark/>
          </w:tcPr>
          <w:p w14:paraId="3B359CE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12D2000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Ai</w:t>
            </w:r>
          </w:p>
        </w:tc>
        <w:tc>
          <w:tcPr>
            <w:tcW w:w="146" w:type="dxa"/>
            <w:vAlign w:val="center"/>
            <w:hideMark/>
          </w:tcPr>
          <w:p w14:paraId="1D589EEF"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343E499D" w14:textId="77777777" w:rsidTr="00AC598A">
        <w:trPr>
          <w:trHeight w:val="480"/>
          <w:jc w:val="center"/>
        </w:trPr>
        <w:tc>
          <w:tcPr>
            <w:tcW w:w="2217" w:type="dxa"/>
            <w:shd w:val="clear" w:color="000000" w:fill="FFFFFF"/>
            <w:vAlign w:val="center"/>
            <w:hideMark/>
          </w:tcPr>
          <w:p w14:paraId="09819287" w14:textId="77777777" w:rsidR="00162229" w:rsidRPr="00AD01C5" w:rsidRDefault="00162229" w:rsidP="002A21C0">
            <w:pPr>
              <w:spacing w:after="0" w:line="240" w:lineRule="auto"/>
              <w:jc w:val="left"/>
              <w:rPr>
                <w:rFonts w:ascii="Calibri" w:eastAsia="Times New Roman" w:hAnsi="Calibri" w:cs="Calibri"/>
                <w:color w:val="000000"/>
                <w:sz w:val="18"/>
                <w:szCs w:val="18"/>
              </w:rPr>
            </w:pPr>
            <w:r w:rsidRPr="00AD01C5">
              <w:rPr>
                <w:rFonts w:ascii="Calibri" w:eastAsia="Times New Roman" w:hAnsi="Calibri" w:cs="Calibri"/>
                <w:color w:val="000000"/>
                <w:sz w:val="18"/>
                <w:szCs w:val="18"/>
              </w:rPr>
              <w:t>AZIENDA TRASPORTI MILANESI SPA</w:t>
            </w:r>
          </w:p>
        </w:tc>
        <w:tc>
          <w:tcPr>
            <w:tcW w:w="1345" w:type="dxa"/>
            <w:vAlign w:val="center"/>
            <w:hideMark/>
          </w:tcPr>
          <w:p w14:paraId="4ADEEEE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6</w:t>
            </w:r>
          </w:p>
        </w:tc>
        <w:tc>
          <w:tcPr>
            <w:tcW w:w="1325" w:type="dxa"/>
            <w:vAlign w:val="center"/>
            <w:hideMark/>
          </w:tcPr>
          <w:p w14:paraId="6580E88A"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ed extraurbano</w:t>
            </w:r>
          </w:p>
        </w:tc>
        <w:tc>
          <w:tcPr>
            <w:tcW w:w="941" w:type="dxa"/>
            <w:vAlign w:val="center"/>
            <w:hideMark/>
          </w:tcPr>
          <w:p w14:paraId="1D65EC4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no</w:t>
            </w:r>
          </w:p>
        </w:tc>
        <w:tc>
          <w:tcPr>
            <w:tcW w:w="1176" w:type="dxa"/>
            <w:vAlign w:val="center"/>
            <w:hideMark/>
          </w:tcPr>
          <w:p w14:paraId="6A26E43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710F070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688E401B"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17C960C9" w14:textId="77777777" w:rsidTr="00AC598A">
        <w:trPr>
          <w:trHeight w:val="300"/>
          <w:jc w:val="center"/>
        </w:trPr>
        <w:tc>
          <w:tcPr>
            <w:tcW w:w="2217" w:type="dxa"/>
            <w:shd w:val="clear" w:color="000000" w:fill="FFFFFF"/>
            <w:vAlign w:val="center"/>
            <w:hideMark/>
          </w:tcPr>
          <w:p w14:paraId="549AE4E6"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BARANZELLI NATUR SRL</w:t>
            </w:r>
          </w:p>
        </w:tc>
        <w:tc>
          <w:tcPr>
            <w:tcW w:w="1345" w:type="dxa"/>
            <w:vAlign w:val="center"/>
            <w:hideMark/>
          </w:tcPr>
          <w:p w14:paraId="554C35BA"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3</w:t>
            </w:r>
          </w:p>
        </w:tc>
        <w:tc>
          <w:tcPr>
            <w:tcW w:w="1325" w:type="dxa"/>
            <w:vAlign w:val="center"/>
            <w:hideMark/>
          </w:tcPr>
          <w:p w14:paraId="67B6092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Extraurbano</w:t>
            </w:r>
          </w:p>
        </w:tc>
        <w:tc>
          <w:tcPr>
            <w:tcW w:w="941" w:type="dxa"/>
            <w:vAlign w:val="center"/>
            <w:hideMark/>
          </w:tcPr>
          <w:p w14:paraId="4D8AA657"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noWrap/>
            <w:vAlign w:val="bottom"/>
            <w:hideMark/>
          </w:tcPr>
          <w:p w14:paraId="5B1C2AC6"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950" w:type="dxa"/>
            <w:noWrap/>
            <w:vAlign w:val="bottom"/>
            <w:hideMark/>
          </w:tcPr>
          <w:p w14:paraId="62A1DF98" w14:textId="77777777" w:rsidR="00162229" w:rsidRPr="00AD01C5" w:rsidRDefault="00162229" w:rsidP="002A21C0">
            <w:pPr>
              <w:spacing w:after="0" w:line="240" w:lineRule="auto"/>
              <w:jc w:val="left"/>
              <w:rPr>
                <w:rFonts w:ascii="Calibri" w:eastAsia="Times New Roman" w:hAnsi="Calibri" w:cs="Calibri"/>
                <w:color w:val="000000"/>
              </w:rPr>
            </w:pPr>
            <w:r w:rsidRPr="00AD01C5">
              <w:rPr>
                <w:rFonts w:ascii="Calibri" w:eastAsia="Times New Roman" w:hAnsi="Calibri" w:cs="Calibri"/>
                <w:color w:val="000000"/>
              </w:rPr>
              <w:t> </w:t>
            </w:r>
          </w:p>
        </w:tc>
        <w:tc>
          <w:tcPr>
            <w:tcW w:w="146" w:type="dxa"/>
            <w:vAlign w:val="center"/>
            <w:hideMark/>
          </w:tcPr>
          <w:p w14:paraId="770BB91C"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3CB4E068" w14:textId="77777777" w:rsidTr="00AC598A">
        <w:trPr>
          <w:trHeight w:val="480"/>
          <w:jc w:val="center"/>
        </w:trPr>
        <w:tc>
          <w:tcPr>
            <w:tcW w:w="2217" w:type="dxa"/>
            <w:shd w:val="clear" w:color="000000" w:fill="FFFFFF"/>
            <w:vAlign w:val="center"/>
            <w:hideMark/>
          </w:tcPr>
          <w:p w14:paraId="2392AB01" w14:textId="77777777" w:rsidR="00162229" w:rsidRPr="00AD01C5" w:rsidRDefault="00162229" w:rsidP="002A21C0">
            <w:pPr>
              <w:spacing w:after="0" w:line="240" w:lineRule="auto"/>
              <w:rPr>
                <w:rFonts w:ascii="Calibri" w:eastAsia="Times New Roman" w:hAnsi="Calibri" w:cs="Calibri"/>
                <w:color w:val="000000"/>
                <w:sz w:val="18"/>
                <w:szCs w:val="18"/>
                <w:lang w:val="en-GB"/>
              </w:rPr>
            </w:pPr>
            <w:r w:rsidRPr="00AD01C5">
              <w:rPr>
                <w:rFonts w:ascii="Calibri" w:eastAsia="Times New Roman" w:hAnsi="Calibri" w:cs="Calibri"/>
                <w:color w:val="000000"/>
                <w:sz w:val="18"/>
                <w:szCs w:val="18"/>
                <w:lang w:val="en-GB"/>
              </w:rPr>
              <w:t>BUS COMPANY S.R.L.</w:t>
            </w:r>
          </w:p>
        </w:tc>
        <w:tc>
          <w:tcPr>
            <w:tcW w:w="1345" w:type="dxa"/>
            <w:vAlign w:val="center"/>
            <w:hideMark/>
          </w:tcPr>
          <w:p w14:paraId="4CB710B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9</w:t>
            </w:r>
          </w:p>
        </w:tc>
        <w:tc>
          <w:tcPr>
            <w:tcW w:w="1325" w:type="dxa"/>
            <w:vAlign w:val="center"/>
            <w:hideMark/>
          </w:tcPr>
          <w:p w14:paraId="260A1886"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ed extraurbano</w:t>
            </w:r>
          </w:p>
        </w:tc>
        <w:tc>
          <w:tcPr>
            <w:tcW w:w="941" w:type="dxa"/>
            <w:vAlign w:val="center"/>
            <w:hideMark/>
          </w:tcPr>
          <w:p w14:paraId="6C5B9BC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vAlign w:val="center"/>
            <w:hideMark/>
          </w:tcPr>
          <w:p w14:paraId="1175007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50A05602"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32107713"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79B23EC1" w14:textId="77777777" w:rsidTr="00AC598A">
        <w:trPr>
          <w:trHeight w:val="300"/>
          <w:jc w:val="center"/>
        </w:trPr>
        <w:tc>
          <w:tcPr>
            <w:tcW w:w="2217" w:type="dxa"/>
            <w:shd w:val="clear" w:color="000000" w:fill="FFFFFF"/>
            <w:vAlign w:val="center"/>
            <w:hideMark/>
          </w:tcPr>
          <w:p w14:paraId="0211BAB8"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GHERRA SRL</w:t>
            </w:r>
          </w:p>
        </w:tc>
        <w:tc>
          <w:tcPr>
            <w:tcW w:w="1345" w:type="dxa"/>
            <w:vAlign w:val="center"/>
            <w:hideMark/>
          </w:tcPr>
          <w:p w14:paraId="7D34DC8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1</w:t>
            </w:r>
          </w:p>
        </w:tc>
        <w:tc>
          <w:tcPr>
            <w:tcW w:w="1325" w:type="dxa"/>
            <w:vAlign w:val="center"/>
            <w:hideMark/>
          </w:tcPr>
          <w:p w14:paraId="6FFC8C38"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Extraurbano</w:t>
            </w:r>
          </w:p>
        </w:tc>
        <w:tc>
          <w:tcPr>
            <w:tcW w:w="941" w:type="dxa"/>
            <w:vAlign w:val="center"/>
            <w:hideMark/>
          </w:tcPr>
          <w:p w14:paraId="469C3036"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shd w:val="clear" w:color="000000" w:fill="FFFFFF"/>
            <w:vAlign w:val="center"/>
            <w:hideMark/>
          </w:tcPr>
          <w:p w14:paraId="70F268CC"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950" w:type="dxa"/>
            <w:shd w:val="clear" w:color="000000" w:fill="FFFFFF"/>
            <w:vAlign w:val="center"/>
            <w:hideMark/>
          </w:tcPr>
          <w:p w14:paraId="1EAB4A8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146" w:type="dxa"/>
            <w:vAlign w:val="center"/>
            <w:hideMark/>
          </w:tcPr>
          <w:p w14:paraId="2C55FC06"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12E7A983" w14:textId="77777777" w:rsidTr="00AC598A">
        <w:trPr>
          <w:trHeight w:val="480"/>
          <w:jc w:val="center"/>
        </w:trPr>
        <w:tc>
          <w:tcPr>
            <w:tcW w:w="2217" w:type="dxa"/>
            <w:shd w:val="clear" w:color="000000" w:fill="FFFFFF"/>
            <w:vAlign w:val="center"/>
            <w:hideMark/>
          </w:tcPr>
          <w:p w14:paraId="461E6461"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GTT S.P.A.</w:t>
            </w:r>
          </w:p>
        </w:tc>
        <w:tc>
          <w:tcPr>
            <w:tcW w:w="1345" w:type="dxa"/>
            <w:vAlign w:val="center"/>
            <w:hideMark/>
          </w:tcPr>
          <w:p w14:paraId="16FDB73B"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9</w:t>
            </w:r>
          </w:p>
        </w:tc>
        <w:tc>
          <w:tcPr>
            <w:tcW w:w="1325" w:type="dxa"/>
            <w:vAlign w:val="center"/>
            <w:hideMark/>
          </w:tcPr>
          <w:p w14:paraId="1E6B0BA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ed extraurbano</w:t>
            </w:r>
          </w:p>
        </w:tc>
        <w:tc>
          <w:tcPr>
            <w:tcW w:w="941" w:type="dxa"/>
            <w:vAlign w:val="center"/>
            <w:hideMark/>
          </w:tcPr>
          <w:p w14:paraId="0BABE35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vAlign w:val="center"/>
            <w:hideMark/>
          </w:tcPr>
          <w:p w14:paraId="5C3E0F6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53E180C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0D15A856"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5B6CD31F" w14:textId="77777777" w:rsidTr="00AC598A">
        <w:trPr>
          <w:trHeight w:val="300"/>
          <w:jc w:val="center"/>
        </w:trPr>
        <w:tc>
          <w:tcPr>
            <w:tcW w:w="2217" w:type="dxa"/>
            <w:shd w:val="clear" w:color="000000" w:fill="FFFFFF"/>
            <w:vAlign w:val="center"/>
            <w:hideMark/>
          </w:tcPr>
          <w:p w14:paraId="5C5EB7E4" w14:textId="77777777" w:rsidR="00162229" w:rsidRPr="00AD01C5" w:rsidRDefault="00162229" w:rsidP="002A21C0">
            <w:pPr>
              <w:spacing w:after="0" w:line="240" w:lineRule="auto"/>
              <w:rPr>
                <w:rFonts w:ascii="Calibri" w:eastAsia="Times New Roman" w:hAnsi="Calibri" w:cs="Calibri"/>
                <w:color w:val="000000"/>
                <w:sz w:val="18"/>
                <w:szCs w:val="18"/>
              </w:rPr>
            </w:pPr>
            <w:r w:rsidRPr="00AD01C5">
              <w:rPr>
                <w:rFonts w:ascii="Calibri" w:eastAsia="Times New Roman" w:hAnsi="Calibri" w:cs="Calibri"/>
                <w:color w:val="000000"/>
                <w:sz w:val="18"/>
                <w:szCs w:val="18"/>
              </w:rPr>
              <w:t>STAC AUTOTICINO SRL</w:t>
            </w:r>
          </w:p>
        </w:tc>
        <w:tc>
          <w:tcPr>
            <w:tcW w:w="1345" w:type="dxa"/>
            <w:vAlign w:val="center"/>
            <w:hideMark/>
          </w:tcPr>
          <w:p w14:paraId="38C19399"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2</w:t>
            </w:r>
          </w:p>
        </w:tc>
        <w:tc>
          <w:tcPr>
            <w:tcW w:w="1325" w:type="dxa"/>
            <w:vAlign w:val="center"/>
            <w:hideMark/>
          </w:tcPr>
          <w:p w14:paraId="75483264"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Extraurbano</w:t>
            </w:r>
          </w:p>
        </w:tc>
        <w:tc>
          <w:tcPr>
            <w:tcW w:w="941" w:type="dxa"/>
            <w:vAlign w:val="center"/>
            <w:hideMark/>
          </w:tcPr>
          <w:p w14:paraId="6DC2100D"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si</w:t>
            </w:r>
          </w:p>
        </w:tc>
        <w:tc>
          <w:tcPr>
            <w:tcW w:w="1176" w:type="dxa"/>
            <w:vAlign w:val="center"/>
            <w:hideMark/>
          </w:tcPr>
          <w:p w14:paraId="48EEA7F3"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950" w:type="dxa"/>
            <w:vAlign w:val="center"/>
            <w:hideMark/>
          </w:tcPr>
          <w:p w14:paraId="06ADFE68"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 </w:t>
            </w:r>
          </w:p>
        </w:tc>
        <w:tc>
          <w:tcPr>
            <w:tcW w:w="146" w:type="dxa"/>
            <w:vAlign w:val="center"/>
            <w:hideMark/>
          </w:tcPr>
          <w:p w14:paraId="5C058930"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r w:rsidR="00162229" w:rsidRPr="00AD01C5" w14:paraId="2515084D" w14:textId="77777777" w:rsidTr="00AC598A">
        <w:trPr>
          <w:trHeight w:val="480"/>
          <w:jc w:val="center"/>
        </w:trPr>
        <w:tc>
          <w:tcPr>
            <w:tcW w:w="2217" w:type="dxa"/>
            <w:shd w:val="clear" w:color="000000" w:fill="FFFFFF"/>
            <w:vAlign w:val="center"/>
            <w:hideMark/>
          </w:tcPr>
          <w:p w14:paraId="78EC408C" w14:textId="77777777" w:rsidR="00162229" w:rsidRPr="00AD01C5" w:rsidRDefault="00162229" w:rsidP="002A21C0">
            <w:pPr>
              <w:spacing w:after="0" w:line="240" w:lineRule="auto"/>
              <w:rPr>
                <w:rFonts w:ascii="Calibri" w:eastAsia="Times New Roman" w:hAnsi="Calibri" w:cs="Calibri"/>
                <w:color w:val="000000"/>
                <w:sz w:val="18"/>
                <w:szCs w:val="18"/>
                <w:lang w:val="en-GB"/>
              </w:rPr>
            </w:pPr>
            <w:r w:rsidRPr="00AD01C5">
              <w:rPr>
                <w:rFonts w:ascii="Calibri" w:eastAsia="Times New Roman" w:hAnsi="Calibri" w:cs="Calibri"/>
                <w:color w:val="000000"/>
                <w:sz w:val="18"/>
                <w:szCs w:val="18"/>
                <w:lang w:val="en-GB"/>
              </w:rPr>
              <w:t>STAR MOBILITY S.P.A.</w:t>
            </w:r>
          </w:p>
        </w:tc>
        <w:tc>
          <w:tcPr>
            <w:tcW w:w="1345" w:type="dxa"/>
            <w:vAlign w:val="center"/>
            <w:hideMark/>
          </w:tcPr>
          <w:p w14:paraId="1A753778"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6</w:t>
            </w:r>
          </w:p>
        </w:tc>
        <w:tc>
          <w:tcPr>
            <w:tcW w:w="1325" w:type="dxa"/>
            <w:vAlign w:val="center"/>
            <w:hideMark/>
          </w:tcPr>
          <w:p w14:paraId="1DDDACC5"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Urbano ed extraurbano</w:t>
            </w:r>
          </w:p>
        </w:tc>
        <w:tc>
          <w:tcPr>
            <w:tcW w:w="941" w:type="dxa"/>
            <w:vAlign w:val="center"/>
            <w:hideMark/>
          </w:tcPr>
          <w:p w14:paraId="5C39C18E"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no</w:t>
            </w:r>
          </w:p>
        </w:tc>
        <w:tc>
          <w:tcPr>
            <w:tcW w:w="1176" w:type="dxa"/>
            <w:vAlign w:val="center"/>
            <w:hideMark/>
          </w:tcPr>
          <w:p w14:paraId="2EC34312"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X</w:t>
            </w:r>
          </w:p>
        </w:tc>
        <w:tc>
          <w:tcPr>
            <w:tcW w:w="950" w:type="dxa"/>
            <w:vAlign w:val="center"/>
            <w:hideMark/>
          </w:tcPr>
          <w:p w14:paraId="13F0E541" w14:textId="77777777" w:rsidR="00162229" w:rsidRPr="00AD01C5" w:rsidRDefault="00162229" w:rsidP="002A21C0">
            <w:pPr>
              <w:spacing w:after="0" w:line="240" w:lineRule="auto"/>
              <w:jc w:val="center"/>
              <w:rPr>
                <w:rFonts w:ascii="Calibri" w:eastAsia="Times New Roman" w:hAnsi="Calibri" w:cs="Calibri"/>
                <w:color w:val="000000"/>
                <w:sz w:val="18"/>
                <w:szCs w:val="18"/>
              </w:rPr>
            </w:pPr>
            <w:r w:rsidRPr="00AD01C5">
              <w:rPr>
                <w:rFonts w:ascii="Calibri" w:eastAsia="Times New Roman" w:hAnsi="Calibri" w:cs="Calibri"/>
                <w:color w:val="000000"/>
                <w:sz w:val="18"/>
                <w:szCs w:val="18"/>
              </w:rPr>
              <w:t>A4</w:t>
            </w:r>
          </w:p>
        </w:tc>
        <w:tc>
          <w:tcPr>
            <w:tcW w:w="146" w:type="dxa"/>
            <w:vAlign w:val="center"/>
            <w:hideMark/>
          </w:tcPr>
          <w:p w14:paraId="1B97AEAE" w14:textId="77777777" w:rsidR="00162229" w:rsidRPr="00AD01C5" w:rsidRDefault="00162229" w:rsidP="002A21C0">
            <w:pPr>
              <w:spacing w:after="0" w:line="240" w:lineRule="auto"/>
              <w:jc w:val="left"/>
              <w:rPr>
                <w:rFonts w:ascii="Times New Roman" w:eastAsia="Times New Roman" w:hAnsi="Times New Roman" w:cs="Times New Roman"/>
                <w:sz w:val="20"/>
                <w:szCs w:val="20"/>
              </w:rPr>
            </w:pPr>
          </w:p>
        </w:tc>
      </w:tr>
    </w:tbl>
    <w:p w14:paraId="32EC4991" w14:textId="4F9AD4ED" w:rsidR="00162229" w:rsidRPr="00AD01C5" w:rsidRDefault="00162229" w:rsidP="00162229">
      <w:pPr>
        <w:spacing w:after="200" w:line="240" w:lineRule="auto"/>
        <w:jc w:val="center"/>
        <w:rPr>
          <w:rFonts w:ascii="Calibri" w:eastAsia="Calibri" w:hAnsi="Calibri" w:cs="Arial"/>
          <w:i/>
          <w:color w:val="17406D"/>
          <w:sz w:val="18"/>
          <w:szCs w:val="18"/>
        </w:rPr>
      </w:pPr>
      <w:bookmarkStart w:id="415" w:name="_Ref187760677"/>
      <w:bookmarkStart w:id="416" w:name="_Ref187760626"/>
      <w:bookmarkStart w:id="417" w:name="_Ref204164936"/>
      <w:r w:rsidRPr="00AD01C5">
        <w:rPr>
          <w:rFonts w:ascii="Calibri" w:eastAsia="Calibri" w:hAnsi="Calibri" w:cs="Arial"/>
          <w:i/>
          <w:iCs/>
          <w:color w:val="17406D"/>
          <w:sz w:val="18"/>
          <w:szCs w:val="18"/>
        </w:rPr>
        <w:t xml:space="preserve">Tabella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Tabella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55</w:t>
      </w:r>
      <w:r w:rsidRPr="00AD01C5">
        <w:rPr>
          <w:rFonts w:ascii="Calibri" w:eastAsia="Calibri" w:hAnsi="Calibri" w:cs="Arial"/>
          <w:i/>
          <w:iCs/>
          <w:color w:val="17406D"/>
          <w:sz w:val="18"/>
          <w:szCs w:val="18"/>
        </w:rPr>
        <w:fldChar w:fldCharType="end"/>
      </w:r>
      <w:bookmarkEnd w:id="415"/>
      <w:r w:rsidRPr="00AD01C5">
        <w:rPr>
          <w:rFonts w:ascii="Calibri" w:eastAsia="Calibri" w:hAnsi="Calibri" w:cs="Arial"/>
          <w:iCs/>
          <w:color w:val="17406D"/>
          <w:sz w:val="18"/>
          <w:szCs w:val="18"/>
        </w:rPr>
        <w:t xml:space="preserve"> </w:t>
      </w:r>
      <w:r w:rsidRPr="00AD01C5">
        <w:rPr>
          <w:rFonts w:ascii="Calibri" w:eastAsia="Calibri" w:hAnsi="Calibri" w:cs="Arial"/>
          <w:i/>
          <w:color w:val="17406D"/>
          <w:sz w:val="18"/>
          <w:szCs w:val="18"/>
        </w:rPr>
        <w:t>– Elenco operatori potenzialmente interessati</w:t>
      </w:r>
      <w:bookmarkEnd w:id="416"/>
      <w:bookmarkEnd w:id="417"/>
    </w:p>
    <w:p w14:paraId="2DCF001E" w14:textId="6E829209" w:rsidR="00162229" w:rsidRDefault="00162229" w:rsidP="00162229">
      <w:pPr>
        <w:spacing w:before="120" w:after="0" w:line="240" w:lineRule="auto"/>
        <w:rPr>
          <w:rFonts w:ascii="Calibri" w:eastAsia="Calibri" w:hAnsi="Calibri" w:cs="Arial"/>
        </w:rPr>
      </w:pPr>
      <w:r w:rsidRPr="00CA3906">
        <w:rPr>
          <w:rFonts w:ascii="Calibri" w:eastAsia="Calibri" w:hAnsi="Calibri" w:cs="Arial"/>
        </w:rPr>
        <w:t xml:space="preserve">Alcune delle suddette aziende </w:t>
      </w:r>
      <w:r>
        <w:rPr>
          <w:rFonts w:ascii="Calibri" w:eastAsia="Calibri" w:hAnsi="Calibri" w:cs="Arial"/>
        </w:rPr>
        <w:t xml:space="preserve">– </w:t>
      </w:r>
      <w:r w:rsidRPr="00CA3906">
        <w:rPr>
          <w:rFonts w:ascii="Calibri" w:eastAsia="Calibri" w:hAnsi="Calibri" w:cs="Arial"/>
        </w:rPr>
        <w:t xml:space="preserve">come si evince dalla </w:t>
      </w:r>
      <w:r w:rsidRPr="00CA3906">
        <w:rPr>
          <w:rFonts w:ascii="Calibri" w:eastAsia="Calibri" w:hAnsi="Calibri" w:cs="Arial"/>
        </w:rPr>
        <w:fldChar w:fldCharType="begin"/>
      </w:r>
      <w:r w:rsidRPr="00CA3906">
        <w:rPr>
          <w:rFonts w:ascii="Calibri" w:eastAsia="Calibri" w:hAnsi="Calibri" w:cs="Arial"/>
        </w:rPr>
        <w:instrText xml:space="preserve"> REF _Ref204164936 \h  \* MERGEFORMAT </w:instrText>
      </w:r>
      <w:r w:rsidRPr="00CA3906">
        <w:rPr>
          <w:rFonts w:ascii="Calibri" w:eastAsia="Calibri" w:hAnsi="Calibri" w:cs="Arial"/>
        </w:rPr>
      </w:r>
      <w:r w:rsidRPr="00CA3906">
        <w:rPr>
          <w:rFonts w:ascii="Calibri" w:eastAsia="Calibri" w:hAnsi="Calibri" w:cs="Arial"/>
        </w:rPr>
        <w:fldChar w:fldCharType="separate"/>
      </w:r>
      <w:r w:rsidR="00670903" w:rsidRPr="00670903">
        <w:rPr>
          <w:rFonts w:ascii="Calibri" w:eastAsia="Calibri" w:hAnsi="Calibri" w:cs="Arial"/>
          <w:i/>
          <w:iCs/>
        </w:rPr>
        <w:t xml:space="preserve">Tabella 55 </w:t>
      </w:r>
      <w:r w:rsidR="00670903" w:rsidRPr="00670903">
        <w:rPr>
          <w:rFonts w:ascii="Calibri" w:eastAsia="Calibri" w:hAnsi="Calibri" w:cs="Arial"/>
          <w:i/>
          <w:iCs/>
          <w:sz w:val="18"/>
          <w:szCs w:val="18"/>
        </w:rPr>
        <w:t xml:space="preserve">– </w:t>
      </w:r>
      <w:r w:rsidR="00670903" w:rsidRPr="00670903">
        <w:rPr>
          <w:rFonts w:ascii="Calibri" w:eastAsia="Calibri" w:hAnsi="Calibri" w:cs="Arial"/>
          <w:i/>
          <w:iCs/>
        </w:rPr>
        <w:t xml:space="preserve">Elenco operatori potenzialmente </w:t>
      </w:r>
      <w:r w:rsidR="00670903" w:rsidRPr="00670903">
        <w:rPr>
          <w:rFonts w:ascii="Calibri" w:eastAsia="Calibri" w:hAnsi="Calibri" w:cs="Arial"/>
          <w:i/>
        </w:rPr>
        <w:t>interessati</w:t>
      </w:r>
      <w:r w:rsidRPr="00CA3906">
        <w:rPr>
          <w:rFonts w:ascii="Calibri" w:eastAsia="Calibri" w:hAnsi="Calibri" w:cs="Arial"/>
        </w:rPr>
        <w:fldChar w:fldCharType="end"/>
      </w:r>
      <w:r w:rsidRPr="00CA3906">
        <w:rPr>
          <w:rFonts w:ascii="Calibri" w:eastAsia="Calibri" w:hAnsi="Calibri" w:cs="Arial"/>
        </w:rPr>
        <w:t xml:space="preserve"> </w:t>
      </w:r>
      <w:r>
        <w:rPr>
          <w:rFonts w:ascii="Calibri" w:eastAsia="Calibri" w:hAnsi="Calibri" w:cs="Arial"/>
        </w:rPr>
        <w:t xml:space="preserve">– </w:t>
      </w:r>
      <w:r w:rsidRPr="00CA3906">
        <w:rPr>
          <w:rFonts w:ascii="Calibri" w:eastAsia="Calibri" w:hAnsi="Calibri" w:cs="Arial"/>
        </w:rPr>
        <w:t xml:space="preserve">sono già registrate nel sistema di qualificazione </w:t>
      </w:r>
      <w:r w:rsidRPr="00CA3906">
        <w:rPr>
          <w:rFonts w:ascii="Calibri" w:eastAsia="Calibri" w:hAnsi="Calibri" w:cs="Times New Roman"/>
        </w:rPr>
        <w:t>dei concessionari dei servizi di trasporto pubblico locale</w:t>
      </w:r>
      <w:r w:rsidRPr="00CA3906">
        <w:rPr>
          <w:rFonts w:ascii="Calibri" w:eastAsia="Calibri" w:hAnsi="Calibri" w:cs="Arial"/>
        </w:rPr>
        <w:t xml:space="preserve"> istituito dall’Agenzia con Deliberazione del consiglio di Amministrazione n. 10 del 30/05/2016.</w:t>
      </w:r>
    </w:p>
    <w:p w14:paraId="79443A77" w14:textId="77777777" w:rsidR="00162229" w:rsidRPr="00CA3906" w:rsidRDefault="00162229" w:rsidP="00162229">
      <w:pPr>
        <w:spacing w:before="120" w:after="0" w:line="240" w:lineRule="auto"/>
        <w:rPr>
          <w:rFonts w:ascii="Calibri" w:eastAsia="Calibri" w:hAnsi="Calibri" w:cs="Arial"/>
        </w:rPr>
      </w:pPr>
      <w:r w:rsidRPr="00CA3906">
        <w:rPr>
          <w:rFonts w:ascii="Calibri" w:eastAsia="Calibri" w:hAnsi="Calibri" w:cs="Times New Roman"/>
        </w:rPr>
        <w:t>Il Sistema ha lo scopo di definire elenchi di operatori di servizi pubblici (operatori economici) dotati di specifici requisiti morali, tecnici e finanziari interessati a partecipare alle procedure di individuazione dei concessionari dei servizi di Trasporto Pubblico Locale (TPL) di persone, ai sensi del Regolamento (CE) n. 1370/2007 del Parlamento Europeo e del Consiglio del 23 ottobre 2007 relativo ai servizi pubblici di trasporto di passeggeri su strada e per ferrovia e che abroga i regolamenti del Consiglio (CEE) n. 1191/69 e (CEE) n. 1107/70, maggiori dettagli sono consultabili sul sito istituzionale dell’Ente</w:t>
      </w:r>
      <w:r w:rsidRPr="00CA3906">
        <w:rPr>
          <w:rStyle w:val="Rimandonotaapidipagina"/>
          <w:rFonts w:ascii="Calibri" w:eastAsia="Calibri" w:hAnsi="Calibri" w:cs="Times New Roman"/>
        </w:rPr>
        <w:footnoteReference w:id="43"/>
      </w:r>
      <w:r w:rsidRPr="00CA3906">
        <w:rPr>
          <w:rFonts w:ascii="Calibri" w:eastAsia="Calibri" w:hAnsi="Calibri" w:cs="Times New Roman"/>
        </w:rPr>
        <w:t>.</w:t>
      </w:r>
    </w:p>
    <w:p w14:paraId="4983D094" w14:textId="77777777" w:rsidR="00162229" w:rsidRPr="00AD01C5" w:rsidRDefault="00162229" w:rsidP="00162229">
      <w:pPr>
        <w:spacing w:before="120" w:after="0" w:line="240" w:lineRule="auto"/>
        <w:rPr>
          <w:rFonts w:ascii="Calibri" w:eastAsia="Calibri" w:hAnsi="Calibri" w:cs="Times New Roman"/>
        </w:rPr>
      </w:pPr>
      <w:r w:rsidRPr="00AD01C5">
        <w:rPr>
          <w:rFonts w:ascii="Calibri" w:eastAsia="Calibri" w:hAnsi="Calibri" w:cs="Times New Roman"/>
        </w:rPr>
        <w:t>Le categorie individuate nel Sistema di Qualificazione dell’Agenzia sono descritte nella tabella seguente:</w:t>
      </w:r>
    </w:p>
    <w:p w14:paraId="60E5A697" w14:textId="77777777" w:rsidR="00162229" w:rsidRPr="00AD01C5" w:rsidRDefault="00162229" w:rsidP="00162229">
      <w:pPr>
        <w:spacing w:before="120" w:after="0" w:line="240" w:lineRule="auto"/>
        <w:jc w:val="center"/>
        <w:rPr>
          <w:rFonts w:ascii="Calibri" w:eastAsia="Calibri" w:hAnsi="Calibri" w:cs="Times New Roman"/>
        </w:rPr>
      </w:pPr>
      <w:r w:rsidRPr="00AD01C5">
        <w:rPr>
          <w:rFonts w:ascii="Calibri" w:eastAsia="Calibri" w:hAnsi="Calibri" w:cs="Times New Roman"/>
          <w:noProof/>
        </w:rPr>
        <w:lastRenderedPageBreak/>
        <w:drawing>
          <wp:inline distT="0" distB="0" distL="0" distR="0" wp14:anchorId="73B93358" wp14:editId="22F3ADCF">
            <wp:extent cx="5479838" cy="2932582"/>
            <wp:effectExtent l="19050" t="19050" r="26035" b="20320"/>
            <wp:docPr id="5906049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rotWithShape="1">
                    <a:blip r:embed="rId89"/>
                    <a:srcRect l="654" b="5637"/>
                    <a:stretch/>
                  </pic:blipFill>
                  <pic:spPr>
                    <a:xfrm>
                      <a:off x="0" y="0"/>
                      <a:ext cx="5552145" cy="2971277"/>
                    </a:xfrm>
                    <a:prstGeom prst="rect">
                      <a:avLst/>
                    </a:prstGeom>
                    <a:solidFill>
                      <a:sysClr val="window" lastClr="FFFFFF"/>
                    </a:solidFill>
                    <a:ln w="12700">
                      <a:solidFill>
                        <a:sysClr val="window" lastClr="FFFFFF">
                          <a:lumMod val="65000"/>
                        </a:sysClr>
                      </a:solidFill>
                    </a:ln>
                  </pic:spPr>
                </pic:pic>
              </a:graphicData>
            </a:graphic>
          </wp:inline>
        </w:drawing>
      </w:r>
    </w:p>
    <w:p w14:paraId="6534CD1D" w14:textId="3506FE38" w:rsidR="00162229" w:rsidRPr="00AD01C5" w:rsidRDefault="00162229" w:rsidP="00162229">
      <w:pPr>
        <w:spacing w:after="200" w:line="240" w:lineRule="auto"/>
        <w:jc w:val="center"/>
        <w:rPr>
          <w:rFonts w:ascii="Calibri" w:eastAsia="Calibri" w:hAnsi="Calibri" w:cs="Arial"/>
          <w:i/>
          <w:iCs/>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56</w:t>
      </w:r>
      <w:r w:rsidRPr="00AD01C5">
        <w:rPr>
          <w:rFonts w:ascii="Calibri" w:eastAsia="Calibri" w:hAnsi="Calibri" w:cs="Arial"/>
          <w:i/>
          <w:iCs/>
          <w:color w:val="003366"/>
          <w:sz w:val="18"/>
          <w:szCs w:val="18"/>
        </w:rPr>
        <w:fldChar w:fldCharType="end"/>
      </w:r>
      <w:r w:rsidRPr="00AD01C5">
        <w:rPr>
          <w:rFonts w:ascii="Calibri" w:eastAsia="Calibri" w:hAnsi="Calibri" w:cs="Arial"/>
          <w:i/>
          <w:iCs/>
          <w:color w:val="003366"/>
          <w:sz w:val="18"/>
          <w:szCs w:val="18"/>
        </w:rPr>
        <w:t xml:space="preserve"> – Categorie di qualificazione degli Operatori TPL nel Sistema di Qualificazione</w:t>
      </w:r>
    </w:p>
    <w:p w14:paraId="35ADBEB5" w14:textId="77777777" w:rsidR="00162229" w:rsidRDefault="00162229" w:rsidP="00162229">
      <w:pPr>
        <w:spacing w:before="120" w:after="0" w:line="240" w:lineRule="auto"/>
        <w:rPr>
          <w:rFonts w:ascii="Calibri" w:eastAsia="Calibri" w:hAnsi="Calibri" w:cs="Arial"/>
        </w:rPr>
      </w:pPr>
    </w:p>
    <w:p w14:paraId="6579F22E"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Alla data del </w:t>
      </w:r>
      <w:r w:rsidRPr="00CA3906">
        <w:rPr>
          <w:rFonts w:ascii="Calibri" w:eastAsia="Calibri" w:hAnsi="Calibri" w:cs="Arial"/>
        </w:rPr>
        <w:t>27 giugno 2025 erano ufficialmente registrati 2</w:t>
      </w:r>
      <w:r>
        <w:rPr>
          <w:rFonts w:ascii="Calibri" w:eastAsia="Calibri" w:hAnsi="Calibri" w:cs="Arial"/>
        </w:rPr>
        <w:t>3</w:t>
      </w:r>
      <w:r w:rsidRPr="00CA3906">
        <w:rPr>
          <w:rFonts w:ascii="Calibri" w:eastAsia="Calibri" w:hAnsi="Calibri" w:cs="Arial"/>
        </w:rPr>
        <w:t xml:space="preserve"> soggetti in una o più categorie, in particolare pe</w:t>
      </w:r>
      <w:r w:rsidRPr="00AD01C5">
        <w:rPr>
          <w:rFonts w:ascii="Calibri" w:eastAsia="Calibri" w:hAnsi="Calibri" w:cs="Arial"/>
        </w:rPr>
        <w:t xml:space="preserve">r la categoria A inerente i servizi su strada si hanno </w:t>
      </w:r>
      <w:r>
        <w:rPr>
          <w:rFonts w:ascii="Calibri" w:eastAsia="Calibri" w:hAnsi="Calibri" w:cs="Arial"/>
        </w:rPr>
        <w:t>20</w:t>
      </w:r>
      <w:r w:rsidRPr="00AD01C5">
        <w:rPr>
          <w:rFonts w:ascii="Calibri" w:eastAsia="Calibri" w:hAnsi="Calibri" w:cs="Arial"/>
        </w:rPr>
        <w:t xml:space="preserve"> iscritti:</w:t>
      </w:r>
    </w:p>
    <w:p w14:paraId="124CB30B"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2   Operatori Economici iscritti esclusivamente per la categoria A classe i</w:t>
      </w:r>
    </w:p>
    <w:p w14:paraId="237D68CA"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5   Operatori Economici iscritti per la categoria A classe 1 e classi inferiori</w:t>
      </w:r>
    </w:p>
    <w:p w14:paraId="1D29E547"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 xml:space="preserve">4   Operatori Economici iscritti per la categoria A classe 2 e classi inferiori </w:t>
      </w:r>
    </w:p>
    <w:p w14:paraId="6B4D8ABD"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 xml:space="preserve">0   Operatori Economici iscritti esclusivamente per la categoria A classe 3 </w:t>
      </w:r>
    </w:p>
    <w:p w14:paraId="18D06C79" w14:textId="77777777" w:rsidR="00162229" w:rsidRPr="00AD01C5" w:rsidRDefault="00162229" w:rsidP="00162229">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9</w:t>
      </w:r>
      <w:r w:rsidRPr="00AD01C5">
        <w:rPr>
          <w:rFonts w:ascii="Calibri" w:eastAsia="Calibri" w:hAnsi="Calibri" w:cs="Times New Roman"/>
          <w:color w:val="000000"/>
        </w:rPr>
        <w:t xml:space="preserve">   Operatori Economici iscritti per la categoria A classe 4 e classi inferiori</w:t>
      </w:r>
    </w:p>
    <w:p w14:paraId="0EDE228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 scelta di individuare lotti da 4 milioni di veicoli-km /anno avrebbe già potenzialmente 12 operatori con le caratteristiche di idoneità per la partecipazione alle gare in quanto iscritti nelle categorie A2 e superiori.</w:t>
      </w:r>
    </w:p>
    <w:p w14:paraId="7ADF0382"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Tra i partecipanti agli incontri di consultazione quelli iscritti al Sistema di Qualificazione risultano appartenenti alle categorie Ai, A2 e A4 come meglio specificato di seguito:</w:t>
      </w:r>
    </w:p>
    <w:p w14:paraId="58967F19"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Arial"/>
        </w:rPr>
        <w:t xml:space="preserve">1   </w:t>
      </w:r>
      <w:r w:rsidRPr="00AD01C5">
        <w:rPr>
          <w:rFonts w:ascii="Calibri" w:eastAsia="Calibri" w:hAnsi="Calibri" w:cs="Times New Roman"/>
          <w:color w:val="000000"/>
        </w:rPr>
        <w:t>Operatori Economici iscritti esclusivamente per la categoria A classe i</w:t>
      </w:r>
    </w:p>
    <w:p w14:paraId="2096B913"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0   Operatori Economici iscritti per la categoria A classe 1 e classi inferiori</w:t>
      </w:r>
    </w:p>
    <w:p w14:paraId="5146E352"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 xml:space="preserve">2   Operatori Economici iscritti per la categoria A classe 2 e classi inferiori </w:t>
      </w:r>
    </w:p>
    <w:p w14:paraId="278B9D54" w14:textId="77777777" w:rsidR="00162229" w:rsidRPr="00AD01C5" w:rsidRDefault="00162229" w:rsidP="00162229">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 xml:space="preserve">0   Operatori Economici iscritti esclusivamente per la categoria A classe 3 </w:t>
      </w:r>
    </w:p>
    <w:p w14:paraId="321F5F81" w14:textId="77777777" w:rsidR="00162229" w:rsidRPr="00AD01C5" w:rsidRDefault="00162229" w:rsidP="00162229">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7</w:t>
      </w:r>
      <w:r w:rsidRPr="00AD01C5">
        <w:rPr>
          <w:rFonts w:ascii="Calibri" w:eastAsia="Calibri" w:hAnsi="Calibri" w:cs="Times New Roman"/>
          <w:color w:val="000000"/>
        </w:rPr>
        <w:t xml:space="preserve">   Operatori Economici iscritti per la categoria A classe 4 e classi inferiori</w:t>
      </w:r>
    </w:p>
    <w:p w14:paraId="789FB658"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Tra partecipanti agli incontri di consultazione, A.M.C. spa, AMAG spa e Autolinee Giachino spa risultano essere gli unici operatori iscritti appartenenti rispettivamente alle categorie Ai (A.M.C.) e A2 (AMAG e Giachino). Tali categorie identificano soggetti che possono potenzialmente concorrere per lotti di gara fino a 300.000 veicoli-km/anno (Ai) e fino a 5 milioni di veicoli-km/anno (A2)</w:t>
      </w:r>
      <w:r>
        <w:rPr>
          <w:rFonts w:ascii="Calibri" w:eastAsia="Calibri" w:hAnsi="Calibri" w:cs="Arial"/>
        </w:rPr>
        <w:t xml:space="preserve">. </w:t>
      </w:r>
    </w:p>
    <w:p w14:paraId="2223500C"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Occorre evidenziare che AMAG S.p.A. fa parte del gruppo Star Mobility S.p.A., già qualificato per l’accesso a lotti di dimensioni maggiori. Al contrario, sia AMC che Autolinee Giachino, qualora non si </w:t>
      </w:r>
      <w:r w:rsidRPr="00AD01C5">
        <w:rPr>
          <w:rFonts w:ascii="Calibri" w:eastAsia="Calibri" w:hAnsi="Calibri" w:cs="Arial"/>
        </w:rPr>
        <w:lastRenderedPageBreak/>
        <w:t xml:space="preserve">avvalessero della collaborazione </w:t>
      </w:r>
      <w:r>
        <w:rPr>
          <w:rFonts w:ascii="Calibri" w:eastAsia="Calibri" w:hAnsi="Calibri" w:cs="Arial"/>
        </w:rPr>
        <w:t xml:space="preserve">di </w:t>
      </w:r>
      <w:r w:rsidRPr="00AD01C5">
        <w:rPr>
          <w:rFonts w:ascii="Calibri" w:eastAsia="Calibri" w:hAnsi="Calibri" w:cs="Arial"/>
        </w:rPr>
        <w:t>altri operatori, non avrebbero accesso a gare per lotti più grandi</w:t>
      </w:r>
      <w:r>
        <w:rPr>
          <w:rFonts w:ascii="Calibri" w:eastAsia="Calibri" w:hAnsi="Calibri" w:cs="Arial"/>
        </w:rPr>
        <w:t xml:space="preserve"> della categoria ad oggi definita</w:t>
      </w:r>
      <w:r w:rsidRPr="00AD01C5">
        <w:rPr>
          <w:rFonts w:ascii="Calibri" w:eastAsia="Calibri" w:hAnsi="Calibri" w:cs="Arial"/>
        </w:rPr>
        <w:t>.</w:t>
      </w:r>
    </w:p>
    <w:p w14:paraId="3FC29C6C"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Il quadro attuale delle aziende presenti sul territorio, il numero di operatori iscritti per ciascuna classe nonché i risultati di partecipazione alla consultazione fanno presumere una buona partecipazione alla gara di più operatori indipendentemente dalla scelta dalla dimensione dei lotti.</w:t>
      </w:r>
    </w:p>
    <w:p w14:paraId="27F7C0B0" w14:textId="77777777" w:rsidR="00162229" w:rsidRPr="00590E0D" w:rsidRDefault="00162229" w:rsidP="00162229">
      <w:pPr>
        <w:pStyle w:val="Titolo3"/>
        <w:ind w:left="720"/>
      </w:pPr>
      <w:bookmarkStart w:id="418" w:name="_Toc193195798"/>
      <w:bookmarkStart w:id="419" w:name="_Toc1406758886"/>
      <w:bookmarkStart w:id="420" w:name="_Ref193814593"/>
      <w:bookmarkStart w:id="421" w:name="_Toc197695726"/>
      <w:bookmarkStart w:id="422" w:name="_Ref204245530"/>
      <w:bookmarkStart w:id="423" w:name="_Toc204328766"/>
      <w:bookmarkStart w:id="424" w:name="_Toc205213766"/>
      <w:r w:rsidRPr="00590E0D">
        <w:t>Processo di consultazione - indicazioni sulla dimensione dei lotti</w:t>
      </w:r>
      <w:bookmarkEnd w:id="418"/>
      <w:bookmarkEnd w:id="419"/>
      <w:bookmarkEnd w:id="420"/>
      <w:bookmarkEnd w:id="421"/>
      <w:bookmarkEnd w:id="422"/>
      <w:bookmarkEnd w:id="423"/>
      <w:bookmarkEnd w:id="424"/>
    </w:p>
    <w:p w14:paraId="66A7F787" w14:textId="77777777" w:rsidR="00162229" w:rsidRPr="00590E0D" w:rsidRDefault="00162229" w:rsidP="00162229">
      <w:pPr>
        <w:spacing w:before="120" w:after="0" w:line="240" w:lineRule="auto"/>
        <w:rPr>
          <w:rFonts w:ascii="Calibri" w:eastAsia="Calibri" w:hAnsi="Calibri" w:cs="Arial"/>
        </w:rPr>
      </w:pPr>
      <w:r w:rsidRPr="00590E0D">
        <w:rPr>
          <w:rFonts w:ascii="Calibri" w:eastAsia="Calibri" w:hAnsi="Calibri" w:cs="Arial"/>
        </w:rPr>
        <w:t>Durante il processo di consultazione (si veda allegato 2) è stato diffuso un questionario specificatamente dedicato al tema della definizione dei lotti. Dalle risposte è emersa con chiarezza, da parte degli enti locali, la priorità di configurare lotti che contengano al loro interno sia poli di istruzione sia poli sanitari. Tra questi ultimi, il Presidio Ospedaliero Cardinal Massaia di Asti è stato individuato come riferimento centrale ed è stata inoltre evidenziata, da parte dei dipendenti, la necessità di potenziare i suoi collegamenti con la rete ferroviaria. È emerso, inoltre, che il dimensionamento ottimale di un lotto dovrebbe coincidere con il territorio della Provincia di Asti.</w:t>
      </w:r>
    </w:p>
    <w:p w14:paraId="54CFDCD8" w14:textId="77777777" w:rsidR="00162229" w:rsidRPr="00590E0D" w:rsidRDefault="00162229" w:rsidP="00162229">
      <w:pPr>
        <w:spacing w:before="120" w:after="0" w:line="240" w:lineRule="auto"/>
        <w:rPr>
          <w:rFonts w:ascii="Calibri" w:eastAsia="Calibri" w:hAnsi="Calibri" w:cs="Calibri"/>
        </w:rPr>
      </w:pPr>
      <w:r w:rsidRPr="00590E0D">
        <w:rPr>
          <w:rFonts w:ascii="Calibri" w:eastAsia="Calibri" w:hAnsi="Calibri" w:cs="Arial"/>
        </w:rPr>
        <w:t xml:space="preserve">Mentre gli operatori di TPL che hanno partecipato alla consultazione anche attraverso la compilazione dei questionari, in merito ai criteri da utilizzare per l’individuazione dei lotti hanno indicato che il </w:t>
      </w:r>
      <w:r w:rsidRPr="00590E0D">
        <w:rPr>
          <w:rFonts w:ascii="Calibri" w:eastAsia="Calibri" w:hAnsi="Calibri" w:cs="Calibri"/>
        </w:rPr>
        <w:t>criterio più rilevante è rappresentato da un rapporto ricavi/costi superiore del 35%, rispetto agli altri parametri proposti (produzione chilometrica e dimensione dei fattori della produzione).</w:t>
      </w:r>
    </w:p>
    <w:p w14:paraId="45582C66" w14:textId="77777777" w:rsidR="00162229" w:rsidRPr="00590E0D" w:rsidRDefault="00162229" w:rsidP="00162229">
      <w:pPr>
        <w:spacing w:before="120" w:after="0" w:line="240" w:lineRule="auto"/>
        <w:rPr>
          <w:rFonts w:ascii="Calibri" w:eastAsia="Calibri" w:hAnsi="Calibri" w:cs="Calibri"/>
          <w:bCs/>
        </w:rPr>
      </w:pPr>
      <w:r w:rsidRPr="00590E0D">
        <w:rPr>
          <w:rFonts w:ascii="Calibri" w:eastAsia="Calibri" w:hAnsi="Calibri" w:cs="Calibri"/>
          <w:bCs/>
        </w:rPr>
        <w:t>Sono stati inoltre indicati ulteriori criteri da prendere in considerazione per la definizione dei lotti:</w:t>
      </w:r>
    </w:p>
    <w:p w14:paraId="62AC2E67"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 xml:space="preserve">geomorfologia e complessità del territorio, densità della popolazione </w:t>
      </w:r>
    </w:p>
    <w:p w14:paraId="027D0E19"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ubicazione dei beni strumentali</w:t>
      </w:r>
    </w:p>
    <w:p w14:paraId="12927F0C"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presenza bilanciata all’interno del lotto di linee di forza – primarie/secondarie – a domanda debole</w:t>
      </w:r>
    </w:p>
    <w:p w14:paraId="1920980D" w14:textId="77777777" w:rsidR="00162229" w:rsidRPr="00590E0D" w:rsidRDefault="00162229" w:rsidP="00162229">
      <w:pPr>
        <w:spacing w:before="120" w:after="0" w:line="240" w:lineRule="auto"/>
        <w:rPr>
          <w:rFonts w:ascii="Calibri" w:eastAsia="Calibri" w:hAnsi="Calibri" w:cs="Calibri"/>
          <w:bCs/>
        </w:rPr>
      </w:pPr>
      <w:r w:rsidRPr="00590E0D">
        <w:rPr>
          <w:rFonts w:ascii="Calibri" w:eastAsia="Calibri" w:hAnsi="Calibri" w:cs="Calibri"/>
          <w:bCs/>
        </w:rPr>
        <w:t>Dalle risposte fornite gli operatori hanno evidenziato che:</w:t>
      </w:r>
    </w:p>
    <w:p w14:paraId="1275E70B"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sia</w:t>
      </w:r>
      <w:r w:rsidRPr="00590E0D">
        <w:rPr>
          <w:rFonts w:ascii="Calibri" w:eastAsia="Calibri" w:hAnsi="Calibri" w:cs="Calibri"/>
          <w:bCs/>
        </w:rPr>
        <w:t xml:space="preserve"> più importante assegnare un lotto di servizio in base all’organizzazione dei servizi rispetto al programma di esercizio piuttosto che all’omogeneità del materiale rotabile e delle officine di manutenzione.</w:t>
      </w:r>
    </w:p>
    <w:p w14:paraId="502D4CF0"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la</w:t>
      </w:r>
      <w:r w:rsidRPr="00590E0D">
        <w:rPr>
          <w:rFonts w:ascii="Calibri" w:eastAsia="Calibri" w:hAnsi="Calibri" w:cs="Calibri"/>
          <w:bCs/>
        </w:rPr>
        <w:t xml:space="preserve"> riduzione delle percorrenze a vuoto è il parametro che più di altri genera maggiore efficienza.</w:t>
      </w:r>
    </w:p>
    <w:p w14:paraId="74ED7903" w14:textId="77777777" w:rsidR="00162229" w:rsidRPr="00590E0D" w:rsidRDefault="00162229" w:rsidP="00162229">
      <w:pPr>
        <w:numPr>
          <w:ilvl w:val="0"/>
          <w:numId w:val="66"/>
        </w:numPr>
        <w:suppressAutoHyphens/>
        <w:spacing w:before="120" w:after="0" w:line="240" w:lineRule="auto"/>
        <w:rPr>
          <w:rFonts w:ascii="Calibri" w:eastAsia="Calibri" w:hAnsi="Calibri" w:cs="Calibri"/>
          <w:bCs/>
        </w:rPr>
      </w:pPr>
      <w:r w:rsidRPr="00590E0D">
        <w:rPr>
          <w:rFonts w:ascii="Calibri" w:eastAsia="Calibri" w:hAnsi="Calibri" w:cs="Calibri"/>
        </w:rPr>
        <w:t>l’organizzazione</w:t>
      </w:r>
      <w:r w:rsidRPr="00590E0D">
        <w:rPr>
          <w:rFonts w:ascii="Calibri" w:eastAsia="Calibri" w:hAnsi="Calibri" w:cs="Calibri"/>
          <w:bCs/>
        </w:rPr>
        <w:t xml:space="preserve"> del servizio generando efficienza rende maggiormente contendibile un lotto.</w:t>
      </w:r>
    </w:p>
    <w:p w14:paraId="55486286" w14:textId="77777777" w:rsidR="00162229" w:rsidRPr="00590E0D" w:rsidRDefault="00162229" w:rsidP="00162229">
      <w:pPr>
        <w:spacing w:before="120" w:after="0" w:line="240" w:lineRule="auto"/>
        <w:rPr>
          <w:rFonts w:ascii="Calibri" w:eastAsia="Calibri" w:hAnsi="Calibri" w:cs="Calibri"/>
          <w:bCs/>
        </w:rPr>
      </w:pPr>
      <w:r w:rsidRPr="00590E0D">
        <w:rPr>
          <w:rFonts w:ascii="Calibri" w:eastAsia="Calibri" w:hAnsi="Calibri" w:cs="Calibri"/>
          <w:bCs/>
        </w:rPr>
        <w:t xml:space="preserve">Sulla dimensione ottimale dei lotti le aziende di TPL si sono così espresse: </w:t>
      </w:r>
    </w:p>
    <w:p w14:paraId="54F88106"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lotti con una produzione di servizi tra 4 e 6 mil. di km/anno – indicazione pervenuta da aziende di TPL di medie-piccole dimensioni</w:t>
      </w:r>
    </w:p>
    <w:p w14:paraId="5C7AB4EB" w14:textId="77777777" w:rsidR="00162229" w:rsidRPr="00590E0D" w:rsidRDefault="00162229" w:rsidP="00162229">
      <w:pPr>
        <w:numPr>
          <w:ilvl w:val="0"/>
          <w:numId w:val="66"/>
        </w:numPr>
        <w:suppressAutoHyphens/>
        <w:spacing w:before="120" w:after="0" w:line="240" w:lineRule="auto"/>
        <w:rPr>
          <w:rFonts w:ascii="Calibri" w:eastAsia="Calibri" w:hAnsi="Calibri" w:cs="Calibri"/>
        </w:rPr>
      </w:pPr>
      <w:r w:rsidRPr="00590E0D">
        <w:rPr>
          <w:rFonts w:ascii="Calibri" w:eastAsia="Calibri" w:hAnsi="Calibri" w:cs="Calibri"/>
        </w:rPr>
        <w:t>lotti con una produzione di servizi superiore ai 10 mil. di km/anno – indicazione pervenuta da aziende di grandi dimensioni</w:t>
      </w:r>
    </w:p>
    <w:p w14:paraId="6A7B913B" w14:textId="77777777" w:rsidR="00162229" w:rsidRPr="00590E0D" w:rsidRDefault="00162229" w:rsidP="00162229">
      <w:pPr>
        <w:spacing w:before="120" w:after="0" w:line="240" w:lineRule="auto"/>
        <w:rPr>
          <w:rFonts w:ascii="Calibri" w:eastAsia="Calibri" w:hAnsi="Calibri" w:cs="Arial"/>
        </w:rPr>
      </w:pPr>
      <w:r w:rsidRPr="00590E0D">
        <w:rPr>
          <w:rFonts w:ascii="Calibri" w:eastAsia="Calibri" w:hAnsi="Calibri" w:cs="Arial"/>
        </w:rPr>
        <w:t>Infine, gli operatori ritengono che dimensioni maggiori dei lotti e l’omogeneità dei servizi svolti influiscano positivamente nell’ottimizzazione dell’uso del materiale rotabile.</w:t>
      </w:r>
    </w:p>
    <w:p w14:paraId="217F79EC" w14:textId="77777777" w:rsidR="00162229" w:rsidRPr="00590E0D" w:rsidRDefault="00162229" w:rsidP="00162229">
      <w:pPr>
        <w:spacing w:before="120" w:after="0" w:line="240" w:lineRule="auto"/>
        <w:rPr>
          <w:rFonts w:ascii="Calibri" w:eastAsia="Calibri" w:hAnsi="Calibri" w:cs="Arial"/>
        </w:rPr>
      </w:pPr>
      <w:r w:rsidRPr="00590E0D">
        <w:rPr>
          <w:rFonts w:ascii="Calibri" w:eastAsia="Calibri" w:hAnsi="Calibri" w:cs="Arial"/>
        </w:rPr>
        <w:t xml:space="preserve">Durante gli incontri in presenza è inoltre emersa da parte degli Enti della Val Borbera la richiesta di considerare la definizione di </w:t>
      </w:r>
      <w:r w:rsidRPr="00590E0D">
        <w:rPr>
          <w:rFonts w:ascii="Calibri" w:eastAsia="Calibri" w:hAnsi="Calibri" w:cs="Arial"/>
          <w:b/>
          <w:bCs/>
        </w:rPr>
        <w:t>un lotto per l’area a domanda debole</w:t>
      </w:r>
      <w:r w:rsidRPr="00590E0D">
        <w:rPr>
          <w:rFonts w:ascii="Calibri" w:eastAsia="Calibri" w:hAnsi="Calibri" w:cs="Arial"/>
        </w:rPr>
        <w:t xml:space="preserve"> della Valle a servizio dei comuni Albera Ligure, Cabella Ligure, Cantalupo Ligure, Carrega Ligure, Mongiardino Ligure, Roccaforte Ligure, Rocchetta Ligure, oltre a quelli di fondo valle, Vignole Borbera e Borghetto di Borbera.</w:t>
      </w:r>
    </w:p>
    <w:p w14:paraId="32752562" w14:textId="77777777" w:rsidR="00162229" w:rsidRPr="00590E0D" w:rsidRDefault="00162229" w:rsidP="00162229">
      <w:pPr>
        <w:spacing w:before="120" w:after="0" w:line="240" w:lineRule="auto"/>
        <w:rPr>
          <w:rFonts w:ascii="Calibri" w:eastAsia="Calibri" w:hAnsi="Calibri" w:cs="Arial"/>
        </w:rPr>
      </w:pPr>
      <w:r w:rsidRPr="00590E0D">
        <w:rPr>
          <w:rFonts w:ascii="Calibri" w:eastAsia="Calibri" w:hAnsi="Calibri" w:cs="Arial"/>
        </w:rPr>
        <w:lastRenderedPageBreak/>
        <w:t>Durante la consultazione si è anche richiesto inoltre alle aziende se e quali degli attuali 31 depositi utilizzati per l’erogazione dei servizi nel Bacino Sud Est, potranno essere messi a disposizione degli operatori economici che partecipano alla procedura di gara; si tratta di elementi essenziali per una corretta impostazione dei Piani economico-finanziari e dei Piani di mobilitazione dei fattori della produzione</w:t>
      </w:r>
      <w:r w:rsidRPr="00590E0D">
        <w:rPr>
          <w:rFonts w:ascii="Calibri" w:eastAsia="Calibri" w:hAnsi="Calibri" w:cs="Arial"/>
          <w:vertAlign w:val="superscript"/>
        </w:rPr>
        <w:footnoteReference w:id="44"/>
      </w:r>
      <w:r w:rsidRPr="00590E0D">
        <w:rPr>
          <w:rFonts w:ascii="Calibri" w:eastAsia="Calibri" w:hAnsi="Calibri" w:cs="Arial"/>
        </w:rPr>
        <w:t>.</w:t>
      </w:r>
    </w:p>
    <w:p w14:paraId="5327E17D" w14:textId="77777777" w:rsidR="00162229" w:rsidRPr="00590E0D" w:rsidRDefault="00162229" w:rsidP="00162229">
      <w:pPr>
        <w:spacing w:before="120" w:after="0" w:line="240" w:lineRule="auto"/>
        <w:jc w:val="left"/>
        <w:rPr>
          <w:rFonts w:ascii="Calibri" w:eastAsia="Calibri" w:hAnsi="Calibri" w:cs="Arial"/>
        </w:rPr>
      </w:pPr>
      <w:r w:rsidRPr="00590E0D">
        <w:rPr>
          <w:rFonts w:ascii="Calibri" w:eastAsia="Calibri" w:hAnsi="Calibri" w:cs="Arial"/>
        </w:rPr>
        <w:t>A seguito di specifica richiesta da parte di Agenzia agli operatori di TPL, i depositi messi a disposizione dalle aziende sono elencati nella tabella sottostante. Per ulteriori dettagli tecnico-funzionali si rimanda all'allegato 7 della relazione.</w:t>
      </w:r>
    </w:p>
    <w:p w14:paraId="3C025DCA" w14:textId="77777777" w:rsidR="00162229" w:rsidRPr="00590E0D" w:rsidRDefault="00162229" w:rsidP="00162229">
      <w:pPr>
        <w:spacing w:before="120" w:after="0" w:line="240" w:lineRule="auto"/>
        <w:jc w:val="left"/>
        <w:rPr>
          <w:rFonts w:ascii="Calibri" w:eastAsia="Calibri" w:hAnsi="Calibri" w:cs="Arial"/>
        </w:rPr>
      </w:pPr>
    </w:p>
    <w:p w14:paraId="41D4DF02" w14:textId="77777777" w:rsidR="00162229" w:rsidRPr="00F47B34" w:rsidRDefault="00162229" w:rsidP="00162229">
      <w:pPr>
        <w:spacing w:before="120" w:after="0" w:line="240" w:lineRule="auto"/>
        <w:jc w:val="left"/>
        <w:rPr>
          <w:rFonts w:ascii="Calibri" w:eastAsia="Calibri" w:hAnsi="Calibri" w:cs="Arial"/>
          <w:color w:val="EE0000"/>
        </w:rPr>
      </w:pPr>
      <w:r w:rsidRPr="00F47B34">
        <w:rPr>
          <w:noProof/>
          <w:color w:val="EE0000"/>
        </w:rPr>
        <w:drawing>
          <wp:inline distT="0" distB="0" distL="0" distR="0" wp14:anchorId="795F94F8" wp14:editId="62E2E5D4">
            <wp:extent cx="5759450" cy="2062868"/>
            <wp:effectExtent l="19050" t="19050" r="12700" b="1397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59450" cy="2062868"/>
                    </a:xfrm>
                    <a:prstGeom prst="rect">
                      <a:avLst/>
                    </a:prstGeom>
                    <a:noFill/>
                    <a:ln>
                      <a:solidFill>
                        <a:schemeClr val="accent6">
                          <a:lumMod val="50000"/>
                        </a:schemeClr>
                      </a:solidFill>
                    </a:ln>
                  </pic:spPr>
                </pic:pic>
              </a:graphicData>
            </a:graphic>
          </wp:inline>
        </w:drawing>
      </w:r>
    </w:p>
    <w:p w14:paraId="1E7C144A" w14:textId="6EA4BAC4" w:rsidR="00162229" w:rsidRPr="00AD01C5" w:rsidRDefault="00162229" w:rsidP="00162229">
      <w:pPr>
        <w:spacing w:after="0" w:line="240" w:lineRule="auto"/>
        <w:jc w:val="center"/>
        <w:rPr>
          <w:rFonts w:ascii="Calibri" w:eastAsia="Calibri" w:hAnsi="Calibri" w:cs="Arial"/>
          <w:i/>
          <w:iCs/>
          <w:color w:val="003366"/>
          <w:sz w:val="18"/>
          <w:szCs w:val="18"/>
        </w:rPr>
      </w:pPr>
      <w:bookmarkStart w:id="425" w:name="_Toc193195799"/>
      <w:bookmarkStart w:id="426" w:name="_Toc2038700622"/>
      <w:bookmarkStart w:id="427" w:name="_Toc197695727"/>
      <w:bookmarkStart w:id="428" w:name="_Toc204616536"/>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57</w:t>
      </w:r>
      <w:r w:rsidRPr="00AD01C5">
        <w:rPr>
          <w:rFonts w:ascii="Calibri" w:eastAsia="Calibri" w:hAnsi="Calibri" w:cs="Arial"/>
          <w:i/>
          <w:iCs/>
          <w:color w:val="003366"/>
          <w:sz w:val="18"/>
          <w:szCs w:val="18"/>
        </w:rPr>
        <w:fldChar w:fldCharType="end"/>
      </w:r>
      <w:r w:rsidRPr="00AD01C5">
        <w:rPr>
          <w:rFonts w:ascii="Calibri" w:eastAsia="Calibri" w:hAnsi="Calibri" w:cs="Arial"/>
          <w:i/>
          <w:iCs/>
          <w:color w:val="003366"/>
          <w:sz w:val="18"/>
          <w:szCs w:val="18"/>
        </w:rPr>
        <w:t xml:space="preserve"> – </w:t>
      </w:r>
      <w:r>
        <w:rPr>
          <w:rFonts w:ascii="Calibri" w:eastAsia="Calibri" w:hAnsi="Calibri" w:cs="Arial"/>
          <w:i/>
          <w:iCs/>
          <w:color w:val="003366"/>
          <w:sz w:val="18"/>
          <w:szCs w:val="18"/>
        </w:rPr>
        <w:t>Depositi messi in disponibilità per le procedure di affidamento</w:t>
      </w:r>
    </w:p>
    <w:p w14:paraId="7212C3C5"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La Regione Piemonte, con una specifica nota</w:t>
      </w:r>
      <w:r w:rsidRPr="00AD01C5">
        <w:rPr>
          <w:rFonts w:ascii="Calibri" w:eastAsia="Calibri" w:hAnsi="Calibri" w:cs="Arial"/>
          <w:vertAlign w:val="superscript"/>
        </w:rPr>
        <w:footnoteReference w:id="45"/>
      </w:r>
      <w:r w:rsidRPr="00AD01C5">
        <w:rPr>
          <w:rFonts w:ascii="Calibri" w:eastAsia="Calibri" w:hAnsi="Calibri" w:cs="Arial"/>
        </w:rPr>
        <w:t xml:space="preserve"> per l’Agenzia, ha fornito indirizzi interpretativi a valle degli esiti di consultazione. In sintesi gli indirizzi della Regione prevedono che:</w:t>
      </w:r>
    </w:p>
    <w:p w14:paraId="54ED59D8" w14:textId="77777777" w:rsidR="00162229" w:rsidRPr="00AD01C5" w:rsidRDefault="00162229" w:rsidP="00162229">
      <w:pPr>
        <w:numPr>
          <w:ilvl w:val="0"/>
          <w:numId w:val="67"/>
        </w:numPr>
        <w:spacing w:before="120" w:after="0" w:line="240" w:lineRule="auto"/>
        <w:rPr>
          <w:rFonts w:ascii="Calibri" w:eastAsia="Calibri" w:hAnsi="Calibri" w:cs="Arial"/>
        </w:rPr>
      </w:pPr>
      <w:r w:rsidRPr="00AD01C5">
        <w:rPr>
          <w:rFonts w:ascii="Calibri" w:eastAsia="Calibri" w:hAnsi="Calibri" w:cs="Arial"/>
          <w:b/>
        </w:rPr>
        <w:t>i bacini di mobilità</w:t>
      </w:r>
      <w:r w:rsidRPr="00AD01C5">
        <w:rPr>
          <w:rFonts w:ascii="Calibri" w:eastAsia="Calibri" w:hAnsi="Calibri" w:cs="Arial"/>
        </w:rPr>
        <w:t xml:space="preserve"> vengono </w:t>
      </w:r>
      <w:r w:rsidRPr="00AD01C5">
        <w:rPr>
          <w:rFonts w:ascii="Calibri" w:eastAsia="Calibri" w:hAnsi="Calibri" w:cs="Arial"/>
          <w:b/>
        </w:rPr>
        <w:t>suddivisi in lotti</w:t>
      </w:r>
      <w:r w:rsidRPr="00AD01C5">
        <w:rPr>
          <w:rFonts w:ascii="Calibri" w:eastAsia="Calibri" w:hAnsi="Calibri" w:cs="Arial"/>
        </w:rPr>
        <w:t xml:space="preserve"> per favorire la partecipazione alle gare;</w:t>
      </w:r>
    </w:p>
    <w:p w14:paraId="309CA849" w14:textId="77777777" w:rsidR="00162229" w:rsidRPr="00AD01C5" w:rsidRDefault="00162229" w:rsidP="00162229">
      <w:pPr>
        <w:numPr>
          <w:ilvl w:val="0"/>
          <w:numId w:val="67"/>
        </w:numPr>
        <w:spacing w:before="120" w:after="0" w:line="240" w:lineRule="auto"/>
        <w:rPr>
          <w:rFonts w:ascii="Calibri" w:eastAsia="Calibri" w:hAnsi="Calibri" w:cs="Arial"/>
        </w:rPr>
      </w:pPr>
      <w:r w:rsidRPr="00AD01C5">
        <w:rPr>
          <w:rFonts w:ascii="Calibri" w:eastAsia="Calibri" w:hAnsi="Calibri" w:cs="Arial"/>
        </w:rPr>
        <w:t xml:space="preserve">la </w:t>
      </w:r>
      <w:r w:rsidRPr="00AD01C5">
        <w:rPr>
          <w:rFonts w:ascii="Calibri" w:eastAsia="Calibri" w:hAnsi="Calibri" w:cs="Arial"/>
          <w:b/>
        </w:rPr>
        <w:t>dimensione ottimale</w:t>
      </w:r>
      <w:r w:rsidRPr="00AD01C5">
        <w:rPr>
          <w:rFonts w:ascii="Calibri" w:eastAsia="Calibri" w:hAnsi="Calibri" w:cs="Arial"/>
        </w:rPr>
        <w:t xml:space="preserve"> dei lotti è di circa </w:t>
      </w:r>
      <w:r w:rsidRPr="00AD01C5">
        <w:rPr>
          <w:rFonts w:ascii="Calibri" w:eastAsia="Calibri" w:hAnsi="Calibri" w:cs="Arial"/>
          <w:b/>
        </w:rPr>
        <w:t>4 milioni di bus*km/anno</w:t>
      </w:r>
      <w:r w:rsidRPr="00AD01C5">
        <w:rPr>
          <w:rFonts w:ascii="Calibri" w:eastAsia="Calibri" w:hAnsi="Calibri" w:cs="Arial"/>
        </w:rPr>
        <w:t>, tenendo conto anche dell'organizzazione provinciale dei servizi. Inoltre, tale valore di produzione (4 mln bus*km) dovrà essere considerato da AMP come valore di riferimento minimo (massimo 10 mln bus*km) per la perimetrazione dei lotti di affidamento anche in funzione della dimensione complessiva di produzione, in termini di bus*km, dell’intero bacino a cui il lotto si riferisce.</w:t>
      </w:r>
    </w:p>
    <w:p w14:paraId="04F0B2D1" w14:textId="77777777" w:rsidR="00162229" w:rsidRPr="00AD01C5" w:rsidRDefault="00162229" w:rsidP="00162229">
      <w:pPr>
        <w:numPr>
          <w:ilvl w:val="0"/>
          <w:numId w:val="67"/>
        </w:numPr>
        <w:spacing w:before="120" w:after="0" w:line="240" w:lineRule="auto"/>
        <w:rPr>
          <w:rFonts w:ascii="Calibri" w:eastAsia="Calibri" w:hAnsi="Calibri" w:cs="Arial"/>
        </w:rPr>
      </w:pPr>
      <w:r w:rsidRPr="00AD01C5">
        <w:rPr>
          <w:rFonts w:ascii="Calibri" w:eastAsia="Calibri" w:hAnsi="Calibri" w:cs="Arial"/>
        </w:rPr>
        <w:t>deve essere prevista la possibilità di aggiudicazione contemporanea ad un unico operatore di tutti i lotti di una Bacino; tuttavia sono posti limiti all’aggiudicazione di lotti in più bacini.</w:t>
      </w:r>
    </w:p>
    <w:p w14:paraId="2108BB8B" w14:textId="77777777" w:rsidR="00162229" w:rsidRPr="005724D3" w:rsidRDefault="00162229" w:rsidP="00162229">
      <w:pPr>
        <w:pStyle w:val="Titolo3"/>
        <w:ind w:left="720"/>
      </w:pPr>
      <w:bookmarkStart w:id="429" w:name="_Toc204328767"/>
      <w:bookmarkStart w:id="430" w:name="_Toc205213767"/>
      <w:bookmarkEnd w:id="425"/>
      <w:bookmarkEnd w:id="426"/>
      <w:bookmarkEnd w:id="427"/>
      <w:bookmarkEnd w:id="428"/>
      <w:r w:rsidRPr="005724D3">
        <w:t>Barriere alla contendibilità dei lotti</w:t>
      </w:r>
      <w:bookmarkEnd w:id="429"/>
      <w:bookmarkEnd w:id="430"/>
    </w:p>
    <w:p w14:paraId="670F7F23" w14:textId="3FCB9F7B" w:rsidR="00162229" w:rsidRPr="00AD01C5" w:rsidRDefault="00162229" w:rsidP="00162229">
      <w:pPr>
        <w:spacing w:before="120" w:after="0" w:line="240" w:lineRule="auto"/>
        <w:rPr>
          <w:rFonts w:ascii="Calibri" w:eastAsia="Calibri" w:hAnsi="Calibri" w:cs="Arial"/>
        </w:rPr>
      </w:pPr>
      <w:bookmarkStart w:id="431" w:name="_Ref191651866"/>
      <w:bookmarkStart w:id="432" w:name="_Toc193195800"/>
      <w:bookmarkStart w:id="433" w:name="_Toc564998794"/>
      <w:bookmarkStart w:id="434" w:name="_Toc197695728"/>
      <w:bookmarkStart w:id="435" w:name="_Toc204616537"/>
      <w:r w:rsidRPr="00AD01C5">
        <w:rPr>
          <w:rFonts w:ascii="Calibri" w:eastAsia="Calibri" w:hAnsi="Calibri" w:cs="Arial"/>
        </w:rPr>
        <w:t xml:space="preserve">A seguito della predetta consultazione, i cui esiti sono riportati nell’allegato 3 e consultabili sulla piattaforma dedicata </w:t>
      </w:r>
      <w:hyperlink r:id="rId91" w:history="1">
        <w:r w:rsidRPr="00AD01C5">
          <w:rPr>
            <w:rFonts w:ascii="Calibri" w:eastAsia="Calibri" w:hAnsi="Calibri" w:cs="Arial"/>
            <w:u w:val="single"/>
          </w:rPr>
          <w:t>https://ampartecipa.mtm.torino.it/</w:t>
        </w:r>
      </w:hyperlink>
      <w:r w:rsidRPr="00AD01C5">
        <w:rPr>
          <w:rFonts w:ascii="Calibri" w:eastAsia="Calibri" w:hAnsi="Calibri" w:cs="Arial"/>
        </w:rPr>
        <w:t>, in merito alla contendibilità dei lotti è emerso che:</w:t>
      </w:r>
    </w:p>
    <w:p w14:paraId="588D5208" w14:textId="77777777" w:rsidR="00162229" w:rsidRPr="00AD01C5" w:rsidRDefault="00162229" w:rsidP="00162229">
      <w:pPr>
        <w:numPr>
          <w:ilvl w:val="0"/>
          <w:numId w:val="64"/>
        </w:numPr>
        <w:spacing w:before="120" w:after="0" w:line="240" w:lineRule="auto"/>
        <w:rPr>
          <w:rFonts w:ascii="Calibri" w:eastAsia="Calibri" w:hAnsi="Calibri" w:cs="Arial"/>
        </w:rPr>
      </w:pPr>
      <w:r w:rsidRPr="00AD01C5">
        <w:rPr>
          <w:rFonts w:ascii="Calibri" w:eastAsia="Calibri" w:hAnsi="Calibri" w:cs="Arial"/>
        </w:rPr>
        <w:lastRenderedPageBreak/>
        <w:t>la riduzione del numero di depositi rispetto alle condizioni attuali rappresenta un elemento fondamentale per la concorrenza nel mercato, poiché diminuisce le barriere strutturali che ostacolano l'efficienza gestionale. Inoltre, questa riduzione può stimolare l'innovazione, portando allo sviluppo di nuovi assetti organizzativi che rispondono meglio alle esigenze del servizio e quindi degli utenti, migliorando così l'efficienza allocativa delle risorse;</w:t>
      </w:r>
    </w:p>
    <w:p w14:paraId="4090E176" w14:textId="77777777" w:rsidR="00162229" w:rsidRPr="007A6175" w:rsidRDefault="00162229" w:rsidP="00162229">
      <w:pPr>
        <w:numPr>
          <w:ilvl w:val="0"/>
          <w:numId w:val="64"/>
        </w:numPr>
        <w:spacing w:before="120" w:after="0" w:line="240" w:lineRule="auto"/>
        <w:rPr>
          <w:rFonts w:ascii="Calibri" w:eastAsia="Calibri" w:hAnsi="Calibri" w:cs="Arial"/>
        </w:rPr>
      </w:pPr>
      <w:r w:rsidRPr="00AD01C5">
        <w:rPr>
          <w:rFonts w:ascii="Calibri" w:eastAsia="Calibri" w:hAnsi="Calibri" w:cs="Arial"/>
        </w:rPr>
        <w:t xml:space="preserve">l'individuazione di un numero ridotto di depositi, rispetto alle condizioni attuali, consentirà </w:t>
      </w:r>
      <w:r w:rsidRPr="007A6175">
        <w:rPr>
          <w:rFonts w:ascii="Calibri" w:eastAsia="Calibri" w:hAnsi="Calibri" w:cs="Arial"/>
        </w:rPr>
        <w:t>una maggiore flessibilità progettuale e ridurrà i rischi di contenzioso al termine della procedura;</w:t>
      </w:r>
    </w:p>
    <w:p w14:paraId="11263C91" w14:textId="77777777" w:rsidR="00162229" w:rsidRPr="007A6175" w:rsidRDefault="00162229" w:rsidP="00162229">
      <w:pPr>
        <w:numPr>
          <w:ilvl w:val="0"/>
          <w:numId w:val="64"/>
        </w:numPr>
        <w:spacing w:before="120" w:after="0" w:line="240" w:lineRule="auto"/>
        <w:rPr>
          <w:rFonts w:ascii="Calibri" w:eastAsia="Calibri" w:hAnsi="Calibri" w:cs="Arial"/>
        </w:rPr>
      </w:pPr>
      <w:r w:rsidRPr="007A6175">
        <w:rPr>
          <w:rFonts w:ascii="Calibri" w:eastAsia="Calibri" w:hAnsi="Calibri" w:cs="Arial"/>
        </w:rPr>
        <w:t>considerato che le imprese incumbent</w:t>
      </w:r>
      <w:r w:rsidRPr="007A6175">
        <w:rPr>
          <w:rFonts w:ascii="Calibri" w:eastAsia="Calibri" w:hAnsi="Calibri" w:cs="Arial"/>
          <w:vertAlign w:val="superscript"/>
        </w:rPr>
        <w:footnoteReference w:id="46"/>
      </w:r>
      <w:r w:rsidRPr="007A6175">
        <w:rPr>
          <w:rFonts w:ascii="Calibri" w:eastAsia="Calibri" w:hAnsi="Calibri" w:cs="Arial"/>
        </w:rPr>
        <w:t xml:space="preserve"> hanno fornito una discreta disponibilità dei depositi, tale elemento non costituisce una possibile barriera all’ingresso per potenziali gestori entranti;</w:t>
      </w:r>
    </w:p>
    <w:p w14:paraId="02EE5235" w14:textId="77777777" w:rsidR="00162229" w:rsidRPr="00AD01C5" w:rsidRDefault="00162229" w:rsidP="00162229">
      <w:pPr>
        <w:numPr>
          <w:ilvl w:val="0"/>
          <w:numId w:val="64"/>
        </w:numPr>
        <w:spacing w:before="120" w:after="0" w:line="240" w:lineRule="auto"/>
        <w:rPr>
          <w:rFonts w:ascii="Calibri" w:eastAsia="Calibri" w:hAnsi="Calibri" w:cs="Arial"/>
        </w:rPr>
      </w:pPr>
      <w:r w:rsidRPr="00AD01C5">
        <w:rPr>
          <w:rFonts w:ascii="Calibri" w:eastAsia="Calibri" w:hAnsi="Calibri" w:cs="Arial"/>
        </w:rPr>
        <w:t>per quanto riguarda il materiale rotabile, non sussistono particolari problematiche che possano costituire una barriera all'ingresso nel mercato del bacino, poiché il 54% dell'attuale parco autobus sarà trasferito dal gestore uscente al gestore entrante, essendo mezzi acquisiti con contributo pubblico e quindi soggetti al vincolo di destinazione d'uso al 1/01/2026;</w:t>
      </w:r>
    </w:p>
    <w:p w14:paraId="0BD47254" w14:textId="77777777" w:rsidR="00162229" w:rsidRPr="00AD01C5" w:rsidRDefault="00162229" w:rsidP="00162229">
      <w:pPr>
        <w:numPr>
          <w:ilvl w:val="0"/>
          <w:numId w:val="64"/>
        </w:numPr>
        <w:spacing w:before="120" w:after="0" w:line="240" w:lineRule="auto"/>
        <w:rPr>
          <w:rFonts w:ascii="Calibri" w:eastAsia="Calibri" w:hAnsi="Calibri" w:cs="Arial"/>
        </w:rPr>
      </w:pPr>
      <w:r w:rsidRPr="00AD01C5">
        <w:rPr>
          <w:rFonts w:ascii="Calibri" w:eastAsia="Calibri" w:hAnsi="Calibri" w:cs="Arial"/>
        </w:rPr>
        <w:t>le strutture strumentali essenziali per il servizio sono esclusivamente i nodi d'interscambio di primo livello, identificabili con le principali stazioni ferroviarie. Le strutture immobiliari a servizio dell'interscambio, qualora presenti, sono di proprietà di enti pubblici o soggette a vincolo di destinazione d'uso, garantendo così la loro disponibilità al gestore entrante e non costituendo una barriera alla partecipazione e contendibilità dei lotti;</w:t>
      </w:r>
    </w:p>
    <w:p w14:paraId="7032C766" w14:textId="77777777" w:rsidR="00162229" w:rsidRPr="00AD01C5" w:rsidRDefault="00162229" w:rsidP="00162229">
      <w:pPr>
        <w:numPr>
          <w:ilvl w:val="0"/>
          <w:numId w:val="64"/>
        </w:numPr>
        <w:spacing w:before="120" w:after="0" w:line="240" w:lineRule="auto"/>
        <w:rPr>
          <w:rFonts w:ascii="Calibri" w:eastAsia="Calibri" w:hAnsi="Calibri" w:cs="Arial"/>
        </w:rPr>
      </w:pPr>
      <w:r w:rsidRPr="00AD01C5">
        <w:rPr>
          <w:rFonts w:ascii="Calibri" w:eastAsia="Calibri" w:hAnsi="Calibri" w:cs="Arial"/>
        </w:rPr>
        <w:t>anche le dotazioni tecnologiche non costituiscono una barriera all'entrata, poiché l'obiettivo primario che le imprese dovranno perseguire e dimostrare in sede di gara è la digitalizzazione completa dell'organizzazione aziendale.</w:t>
      </w:r>
    </w:p>
    <w:p w14:paraId="67187E71" w14:textId="77777777" w:rsidR="00162229" w:rsidRPr="00AD01C5" w:rsidRDefault="00162229" w:rsidP="00162229">
      <w:pPr>
        <w:pStyle w:val="Titolo2"/>
        <w:ind w:left="567"/>
      </w:pPr>
      <w:bookmarkStart w:id="436" w:name="_Toc204328768"/>
      <w:bookmarkStart w:id="437" w:name="_Toc205213768"/>
      <w:bookmarkEnd w:id="431"/>
      <w:bookmarkEnd w:id="432"/>
      <w:bookmarkEnd w:id="433"/>
      <w:bookmarkEnd w:id="434"/>
      <w:bookmarkEnd w:id="435"/>
      <w:r w:rsidRPr="00AD01C5">
        <w:t>Configurazione dei lotti</w:t>
      </w:r>
      <w:bookmarkEnd w:id="436"/>
      <w:bookmarkEnd w:id="437"/>
      <w:r w:rsidRPr="00AD01C5">
        <w:t xml:space="preserve"> </w:t>
      </w:r>
    </w:p>
    <w:p w14:paraId="31B7A36C" w14:textId="77777777" w:rsidR="00162229" w:rsidRPr="00AD01C5" w:rsidRDefault="00162229" w:rsidP="00162229">
      <w:pPr>
        <w:pStyle w:val="Titolo3"/>
        <w:ind w:left="720"/>
      </w:pPr>
      <w:bookmarkStart w:id="438" w:name="_Toc193195801"/>
      <w:bookmarkStart w:id="439" w:name="_Toc463761301"/>
      <w:bookmarkStart w:id="440" w:name="_Toc197695729"/>
      <w:bookmarkStart w:id="441" w:name="_Ref204090267"/>
      <w:bookmarkStart w:id="442" w:name="_Toc204328769"/>
      <w:bookmarkStart w:id="443" w:name="_Toc205213769"/>
      <w:r w:rsidRPr="00AD01C5">
        <w:t>Alternative prese in considerazione</w:t>
      </w:r>
      <w:bookmarkEnd w:id="438"/>
      <w:bookmarkEnd w:id="439"/>
      <w:bookmarkEnd w:id="440"/>
      <w:bookmarkEnd w:id="441"/>
      <w:bookmarkEnd w:id="442"/>
      <w:bookmarkEnd w:id="443"/>
    </w:p>
    <w:p w14:paraId="6D052F10" w14:textId="099EEC8C"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La definizione delle unità di rete, come dettagliato nel paragrafo </w:t>
      </w:r>
      <w:r w:rsidRPr="00AD01C5">
        <w:rPr>
          <w:rFonts w:ascii="Calibri" w:eastAsia="Calibri" w:hAnsi="Calibri" w:cs="Arial"/>
        </w:rPr>
        <w:fldChar w:fldCharType="begin"/>
      </w:r>
      <w:r w:rsidRPr="00AD01C5">
        <w:rPr>
          <w:rFonts w:ascii="Calibri" w:eastAsia="Calibri" w:hAnsi="Calibri" w:cs="Arial"/>
        </w:rPr>
        <w:instrText xml:space="preserve"> REF _Ref193812689 \r \h  \* MERGEFORMAT </w:instrText>
      </w:r>
      <w:r w:rsidRPr="00AD01C5">
        <w:rPr>
          <w:rFonts w:ascii="Calibri" w:eastAsia="Calibri" w:hAnsi="Calibri" w:cs="Arial"/>
        </w:rPr>
      </w:r>
      <w:r w:rsidRPr="00AD01C5">
        <w:rPr>
          <w:rFonts w:ascii="Calibri" w:eastAsia="Calibri" w:hAnsi="Calibri" w:cs="Arial"/>
        </w:rPr>
        <w:fldChar w:fldCharType="separate"/>
      </w:r>
      <w:r w:rsidR="00670903">
        <w:rPr>
          <w:rFonts w:ascii="Calibri" w:eastAsia="Calibri" w:hAnsi="Calibri" w:cs="Arial"/>
        </w:rPr>
        <w:t>7.2</w:t>
      </w:r>
      <w:r w:rsidRPr="00AD01C5">
        <w:rPr>
          <w:rFonts w:ascii="Calibri" w:eastAsia="Calibri" w:hAnsi="Calibri" w:cs="Arial"/>
        </w:rPr>
        <w:fldChar w:fldCharType="end"/>
      </w:r>
      <w:r w:rsidRPr="00AD01C5">
        <w:rPr>
          <w:rFonts w:ascii="Calibri" w:eastAsia="Calibri" w:hAnsi="Calibri" w:cs="Arial"/>
        </w:rPr>
        <w:t>, è conforme alla normativa vigente e agli indirizzi regionali e potrebbero esse stesse costituire un’ipotesi di configurazione di lotti di servizio da mettere a gara.</w:t>
      </w:r>
    </w:p>
    <w:p w14:paraId="7AEB67EE"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Occorre però evidenziare che oltre ai principi dimensionali e alla numerosità dei lotti per incentivare la partecipazione, l'Agenzia ha anche l'esigenza di limitare il numero di interlocutori a livello regionale. Questo approccio facilita la gestione amministrativa dei singoli contratti, riducendo i costi di transazione e migliorando l'efficienza operativa. Inoltre, mantenendo un numero limitato di operatori, si garantisce un significativo livello di benchmark, promuovendo il confronto competitivo e l'efficienza allocativa delle risorse.</w:t>
      </w:r>
    </w:p>
    <w:p w14:paraId="33FEFDB0"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Pertanto, partendo dalle unità di rete individuate si possono configurare più alternative di configurazione derivate dall’accorpamento di due o più unità di rete, fino ad arrivare ad un lotto unico. </w:t>
      </w:r>
      <w:r w:rsidRPr="00AD01C5">
        <w:rPr>
          <w:rFonts w:ascii="Calibri" w:eastAsia="Calibri" w:hAnsi="Calibri" w:cs="Arial"/>
        </w:rPr>
        <w:lastRenderedPageBreak/>
        <w:t>Pur considerando che il lotto unico appare non conforme al dettato normativo, si è proceduto a sviluppare una analisi SWOT</w:t>
      </w:r>
      <w:r w:rsidRPr="00AD01C5">
        <w:rPr>
          <w:rFonts w:ascii="Calibri" w:eastAsia="Calibri" w:hAnsi="Calibri" w:cs="Arial"/>
          <w:vertAlign w:val="superscript"/>
        </w:rPr>
        <w:footnoteReference w:id="47"/>
      </w:r>
      <w:r w:rsidRPr="00AD01C5">
        <w:rPr>
          <w:rFonts w:ascii="Calibri" w:eastAsia="Calibri" w:hAnsi="Calibri" w:cs="Arial"/>
        </w:rPr>
        <w:t xml:space="preserve"> rispetto alla scelta di un lotto unico oppure più lotti.</w:t>
      </w:r>
    </w:p>
    <w:p w14:paraId="585715E3" w14:textId="77777777" w:rsidR="00162229" w:rsidRPr="00AD01C5" w:rsidRDefault="00162229" w:rsidP="00162229">
      <w:pPr>
        <w:spacing w:before="120" w:after="0" w:line="240" w:lineRule="auto"/>
        <w:jc w:val="center"/>
        <w:rPr>
          <w:rFonts w:ascii="Calibri" w:eastAsia="Calibri" w:hAnsi="Calibri" w:cs="Arial"/>
          <w:noProof/>
        </w:rPr>
      </w:pPr>
      <w:r>
        <w:rPr>
          <w:rFonts w:ascii="Calibri" w:eastAsia="Calibri" w:hAnsi="Calibri" w:cs="Arial"/>
          <w:noProof/>
        </w:rPr>
        <w:drawing>
          <wp:inline distT="0" distB="0" distL="0" distR="0" wp14:anchorId="3597DA0C" wp14:editId="1D94C4A5">
            <wp:extent cx="5311775" cy="3822394"/>
            <wp:effectExtent l="0" t="0" r="3175" b="6985"/>
            <wp:docPr id="317562115" name="Immagine 14"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62115" name="Immagine 14" descr="Immagine che contiene testo, schermata, Carattere, Pagina Web&#10;&#10;Descrizione generata automaticament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24778" cy="3831751"/>
                    </a:xfrm>
                    <a:prstGeom prst="rect">
                      <a:avLst/>
                    </a:prstGeom>
                    <a:noFill/>
                  </pic:spPr>
                </pic:pic>
              </a:graphicData>
            </a:graphic>
          </wp:inline>
        </w:drawing>
      </w:r>
    </w:p>
    <w:p w14:paraId="1FEF9436" w14:textId="28B88ED3" w:rsidR="00162229" w:rsidRPr="00AD01C5" w:rsidRDefault="00162229" w:rsidP="00162229">
      <w:pPr>
        <w:spacing w:after="0" w:line="240" w:lineRule="auto"/>
        <w:jc w:val="center"/>
        <w:rPr>
          <w:rFonts w:ascii="Calibri" w:eastAsia="Calibri" w:hAnsi="Calibri" w:cs="Arial"/>
          <w:i/>
          <w:iCs/>
          <w:color w:val="17406D"/>
          <w:sz w:val="18"/>
          <w:szCs w:val="18"/>
        </w:rPr>
      </w:pPr>
      <w:r w:rsidRPr="00AD01C5">
        <w:rPr>
          <w:rFonts w:ascii="Calibri" w:eastAsia="Calibri" w:hAnsi="Calibri" w:cs="Arial"/>
          <w:i/>
          <w:iCs/>
          <w:color w:val="17406D"/>
          <w:sz w:val="18"/>
          <w:szCs w:val="18"/>
        </w:rPr>
        <w:t xml:space="preserve">Figura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Figura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30</w:t>
      </w:r>
      <w:r w:rsidRPr="00AD01C5">
        <w:rPr>
          <w:rFonts w:ascii="Calibri" w:eastAsia="Calibri" w:hAnsi="Calibri" w:cs="Arial"/>
          <w:i/>
          <w:iCs/>
          <w:color w:val="17406D"/>
          <w:sz w:val="18"/>
          <w:szCs w:val="18"/>
        </w:rPr>
        <w:fldChar w:fldCharType="end"/>
      </w:r>
      <w:r w:rsidRPr="00AD01C5">
        <w:rPr>
          <w:rFonts w:ascii="Calibri" w:eastAsia="Calibri" w:hAnsi="Calibri" w:cs="Arial"/>
          <w:i/>
          <w:iCs/>
          <w:color w:val="17406D"/>
          <w:sz w:val="18"/>
          <w:szCs w:val="18"/>
        </w:rPr>
        <w:t xml:space="preserve"> – Schema analisi SWOT Lotto Unico  </w:t>
      </w:r>
    </w:p>
    <w:p w14:paraId="4515A0ED" w14:textId="77777777" w:rsidR="00162229" w:rsidRPr="00AD01C5" w:rsidRDefault="00162229" w:rsidP="00162229">
      <w:pPr>
        <w:spacing w:before="120" w:after="0" w:line="240" w:lineRule="auto"/>
        <w:jc w:val="center"/>
        <w:rPr>
          <w:rFonts w:ascii="Calibri" w:eastAsia="Calibri" w:hAnsi="Calibri" w:cs="Arial"/>
          <w:noProof/>
        </w:rPr>
      </w:pPr>
      <w:r>
        <w:rPr>
          <w:rFonts w:ascii="Calibri" w:eastAsia="Calibri" w:hAnsi="Calibri" w:cs="Arial"/>
          <w:noProof/>
        </w:rPr>
        <w:lastRenderedPageBreak/>
        <w:drawing>
          <wp:inline distT="0" distB="0" distL="0" distR="0" wp14:anchorId="6F48AFF3" wp14:editId="5292FE74">
            <wp:extent cx="5238277" cy="3752760"/>
            <wp:effectExtent l="0" t="0" r="635" b="635"/>
            <wp:docPr id="1290865327" name="Immagine 15"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65327" name="Immagine 15" descr="Immagine che contiene testo, schermata, Carattere, Pagina Web&#10;&#10;Descrizione generata automaticament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53474" cy="3763648"/>
                    </a:xfrm>
                    <a:prstGeom prst="rect">
                      <a:avLst/>
                    </a:prstGeom>
                    <a:noFill/>
                  </pic:spPr>
                </pic:pic>
              </a:graphicData>
            </a:graphic>
          </wp:inline>
        </w:drawing>
      </w:r>
    </w:p>
    <w:p w14:paraId="69CB7E9C" w14:textId="45A5186E" w:rsidR="00162229" w:rsidRPr="00AD01C5" w:rsidRDefault="00162229" w:rsidP="00162229">
      <w:pPr>
        <w:spacing w:after="0" w:line="240" w:lineRule="auto"/>
        <w:jc w:val="center"/>
        <w:rPr>
          <w:rFonts w:ascii="Calibri" w:eastAsia="Calibri" w:hAnsi="Calibri" w:cs="Times New Roman"/>
          <w:i/>
          <w:iCs/>
          <w:color w:val="17406D"/>
          <w:sz w:val="18"/>
        </w:rPr>
      </w:pPr>
      <w:r w:rsidRPr="00AD01C5">
        <w:rPr>
          <w:rFonts w:ascii="Calibri" w:eastAsia="Calibri" w:hAnsi="Calibri" w:cs="Arial"/>
          <w:i/>
          <w:iCs/>
          <w:color w:val="17406D"/>
          <w:sz w:val="18"/>
          <w:szCs w:val="18"/>
        </w:rPr>
        <w:t xml:space="preserve">Figura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Figura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31</w:t>
      </w:r>
      <w:r w:rsidRPr="00AD01C5">
        <w:rPr>
          <w:rFonts w:ascii="Calibri" w:eastAsia="Calibri" w:hAnsi="Calibri" w:cs="Arial"/>
          <w:i/>
          <w:iCs/>
          <w:color w:val="17406D"/>
          <w:sz w:val="18"/>
          <w:szCs w:val="18"/>
        </w:rPr>
        <w:fldChar w:fldCharType="end"/>
      </w:r>
      <w:r w:rsidRPr="00AD01C5">
        <w:rPr>
          <w:rFonts w:ascii="Calibri" w:eastAsia="Calibri" w:hAnsi="Calibri" w:cs="Arial"/>
          <w:i/>
          <w:iCs/>
          <w:color w:val="17406D"/>
          <w:sz w:val="18"/>
          <w:szCs w:val="18"/>
        </w:rPr>
        <w:t xml:space="preserve"> – Schema analisi SWOT Più Lotti </w:t>
      </w:r>
    </w:p>
    <w:p w14:paraId="3EC510B2"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 contesto Piemontese e del Bacino </w:t>
      </w:r>
      <w:r>
        <w:rPr>
          <w:rFonts w:ascii="Calibri" w:eastAsia="Calibri" w:hAnsi="Calibri" w:cs="Arial"/>
        </w:rPr>
        <w:t>Sud Est</w:t>
      </w:r>
      <w:r w:rsidRPr="00AD01C5">
        <w:rPr>
          <w:rFonts w:ascii="Calibri" w:eastAsia="Calibri" w:hAnsi="Calibri" w:cs="Arial"/>
        </w:rPr>
        <w:t xml:space="preserve">, l'adozione di un lotto unico rispetto </w:t>
      </w:r>
      <w:r>
        <w:rPr>
          <w:rFonts w:ascii="Calibri" w:eastAsia="Calibri" w:hAnsi="Calibri" w:cs="Arial"/>
        </w:rPr>
        <w:t>all’individuazione di più</w:t>
      </w:r>
      <w:r w:rsidRPr="00AD01C5">
        <w:rPr>
          <w:rFonts w:ascii="Calibri" w:eastAsia="Calibri" w:hAnsi="Calibri" w:cs="Arial"/>
        </w:rPr>
        <w:t xml:space="preserve"> lotti per bacino presenta quindi diverse criticità in termini di efficienza gestionale, economicità ed efficacia:</w:t>
      </w:r>
    </w:p>
    <w:p w14:paraId="291E5754" w14:textId="77777777" w:rsidR="00162229" w:rsidRPr="00AD01C5" w:rsidRDefault="00162229" w:rsidP="00162229">
      <w:pPr>
        <w:numPr>
          <w:ilvl w:val="0"/>
          <w:numId w:val="83"/>
        </w:numPr>
        <w:spacing w:before="120" w:after="0" w:line="240" w:lineRule="auto"/>
        <w:rPr>
          <w:rFonts w:ascii="Calibri" w:eastAsia="Calibri" w:hAnsi="Calibri" w:cs="Arial"/>
        </w:rPr>
      </w:pPr>
      <w:r w:rsidRPr="00AD01C5">
        <w:rPr>
          <w:rFonts w:ascii="Calibri" w:eastAsia="Calibri" w:hAnsi="Calibri" w:cs="Arial"/>
        </w:rPr>
        <w:t>efficienza gestionale: la gestione di un lotto unico potrebbe portare benefici organizzativi; tuttavia, in sede di consultazione è stata evidenziata come criticità dagli ee.ll.; la suddivisione in lotti permette una gestione più mirata e specifica delle risorse, facilitando il controllo e l'ottimizzazione dei processi organizzativi del servizio.</w:t>
      </w:r>
    </w:p>
    <w:p w14:paraId="0C09031E" w14:textId="77777777" w:rsidR="00162229" w:rsidRPr="00AD01C5" w:rsidRDefault="00162229" w:rsidP="00162229">
      <w:pPr>
        <w:numPr>
          <w:ilvl w:val="0"/>
          <w:numId w:val="83"/>
        </w:numPr>
        <w:spacing w:before="120" w:after="0" w:line="240" w:lineRule="auto"/>
        <w:rPr>
          <w:rFonts w:ascii="Calibri" w:eastAsia="Calibri" w:hAnsi="Calibri" w:cs="Arial"/>
        </w:rPr>
      </w:pPr>
      <w:r w:rsidRPr="00AD01C5">
        <w:rPr>
          <w:rFonts w:ascii="Calibri" w:eastAsia="Calibri" w:hAnsi="Calibri" w:cs="Arial"/>
        </w:rPr>
        <w:t xml:space="preserve">economicità: la presenza di </w:t>
      </w:r>
      <w:r>
        <w:rPr>
          <w:rFonts w:ascii="Calibri" w:eastAsia="Calibri" w:hAnsi="Calibri" w:cs="Arial"/>
        </w:rPr>
        <w:t>più</w:t>
      </w:r>
      <w:r w:rsidRPr="00AD01C5">
        <w:rPr>
          <w:rFonts w:ascii="Calibri" w:eastAsia="Calibri" w:hAnsi="Calibri" w:cs="Arial"/>
        </w:rPr>
        <w:t xml:space="preserve"> lotti può favorire la concorrenza tra gli operatori, portando a offerte più competitive e, quindi, a una riduzione dei costi. Un lotto unico potrebbe limitare questa dinamica, riducendo le opportunità di risparmio economico.</w:t>
      </w:r>
    </w:p>
    <w:p w14:paraId="50C941F5" w14:textId="77777777" w:rsidR="00162229" w:rsidRPr="00AD01C5" w:rsidRDefault="00162229" w:rsidP="00162229">
      <w:pPr>
        <w:numPr>
          <w:ilvl w:val="0"/>
          <w:numId w:val="83"/>
        </w:numPr>
        <w:spacing w:before="120" w:after="0" w:line="240" w:lineRule="auto"/>
        <w:rPr>
          <w:rFonts w:ascii="Calibri" w:eastAsia="Calibri" w:hAnsi="Calibri" w:cs="Arial"/>
        </w:rPr>
      </w:pPr>
      <w:r w:rsidRPr="00AD01C5">
        <w:rPr>
          <w:rFonts w:ascii="Calibri" w:eastAsia="Calibri" w:hAnsi="Calibri" w:cs="Arial"/>
        </w:rPr>
        <w:t xml:space="preserve">efficacia: la suddivisione in </w:t>
      </w:r>
      <w:r>
        <w:rPr>
          <w:rFonts w:ascii="Calibri" w:eastAsia="Calibri" w:hAnsi="Calibri" w:cs="Arial"/>
        </w:rPr>
        <w:t>più</w:t>
      </w:r>
      <w:r w:rsidRPr="00AD01C5">
        <w:rPr>
          <w:rFonts w:ascii="Calibri" w:eastAsia="Calibri" w:hAnsi="Calibri" w:cs="Arial"/>
        </w:rPr>
        <w:t xml:space="preserve"> lotti consente una maggiore flessibilità nella risposta alle esigenze locali e specifiche dei bacini di utenza. Un lotto unico potrebbe non essere in grado di adattarsi efficacemente alle diverse necessità, compromettendo la qualità del servizio offerto.</w:t>
      </w:r>
    </w:p>
    <w:p w14:paraId="53F42659" w14:textId="77777777" w:rsidR="00162229" w:rsidRPr="00AD01C5" w:rsidRDefault="00162229" w:rsidP="00162229">
      <w:pPr>
        <w:numPr>
          <w:ilvl w:val="0"/>
          <w:numId w:val="83"/>
        </w:numPr>
        <w:spacing w:before="120" w:after="0" w:line="240" w:lineRule="auto"/>
        <w:rPr>
          <w:rFonts w:ascii="Calibri" w:eastAsia="Calibri" w:hAnsi="Calibri" w:cs="Arial"/>
        </w:rPr>
      </w:pPr>
      <w:r w:rsidRPr="00AD01C5">
        <w:rPr>
          <w:rFonts w:ascii="Calibri" w:eastAsia="Calibri" w:hAnsi="Calibri" w:cs="Arial"/>
        </w:rPr>
        <w:t>evoluzione dei sistemi di bigliettazione: oggi, l'evoluzione dei sistemi di bigliettazione elettronica ha eliminato molte delle barriere all'integrazione tariffaria. Tecnologie avanzate come le smart card, i pagamenti mobili e i sistemi EMV facilitano l'implementazione di tariffe integrate, migliorando l'accessibilità e la convenienza per i consumatori; la presenza di più operatori sul territorio Piemontese è pienamente coerente e favorisce le politiche regionali del MAAS Piemonte, del BIPxMAAS e dello Smart Bip.</w:t>
      </w:r>
    </w:p>
    <w:p w14:paraId="58701612"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Le considerazioni sopra esposte confermano come il lotto unico non presenti elementi di preferibilità rispetto a due o più lotti.</w:t>
      </w:r>
    </w:p>
    <w:p w14:paraId="5F0BA666" w14:textId="77777777" w:rsidR="00162229" w:rsidRPr="00AD01C5" w:rsidRDefault="00162229" w:rsidP="00162229">
      <w:pPr>
        <w:spacing w:before="120" w:after="0" w:line="240" w:lineRule="auto"/>
        <w:rPr>
          <w:rFonts w:ascii="Calibri" w:eastAsia="Calibri" w:hAnsi="Calibri" w:cs="Arial"/>
          <w:b/>
        </w:rPr>
      </w:pPr>
      <w:r w:rsidRPr="00AD01C5">
        <w:rPr>
          <w:rFonts w:ascii="Calibri" w:eastAsia="Calibri" w:hAnsi="Calibri" w:cs="Arial"/>
          <w:b/>
        </w:rPr>
        <w:t>Lotti in Area a domanda debole</w:t>
      </w:r>
    </w:p>
    <w:p w14:paraId="5CFB8C8A" w14:textId="480E6B8D" w:rsidR="00162229" w:rsidRPr="00853145" w:rsidRDefault="00162229" w:rsidP="00162229">
      <w:pPr>
        <w:spacing w:before="120" w:after="0" w:line="240" w:lineRule="auto"/>
        <w:rPr>
          <w:rFonts w:ascii="Calibri" w:eastAsia="Calibri" w:hAnsi="Calibri" w:cs="Arial"/>
          <w:b/>
          <w:bCs/>
        </w:rPr>
      </w:pPr>
      <w:r w:rsidRPr="00853145">
        <w:rPr>
          <w:rFonts w:ascii="Calibri" w:eastAsia="Calibri" w:hAnsi="Calibri" w:cs="Arial"/>
        </w:rPr>
        <w:lastRenderedPageBreak/>
        <w:t xml:space="preserve">Come già evidenziato nel paragrafo </w:t>
      </w:r>
      <w:r w:rsidRPr="00853145">
        <w:rPr>
          <w:rFonts w:ascii="Calibri" w:eastAsia="Calibri" w:hAnsi="Calibri" w:cs="Arial"/>
        </w:rPr>
        <w:fldChar w:fldCharType="begin"/>
      </w:r>
      <w:r w:rsidRPr="00853145">
        <w:rPr>
          <w:rFonts w:ascii="Calibri" w:eastAsia="Calibri" w:hAnsi="Calibri" w:cs="Arial"/>
        </w:rPr>
        <w:instrText xml:space="preserve"> REF _Ref193814593 \r \h  \* MERGEFORMAT </w:instrText>
      </w:r>
      <w:r w:rsidRPr="00853145">
        <w:rPr>
          <w:rFonts w:ascii="Calibri" w:eastAsia="Calibri" w:hAnsi="Calibri" w:cs="Arial"/>
        </w:rPr>
      </w:r>
      <w:r w:rsidRPr="00853145">
        <w:rPr>
          <w:rFonts w:ascii="Calibri" w:eastAsia="Calibri" w:hAnsi="Calibri" w:cs="Arial"/>
        </w:rPr>
        <w:fldChar w:fldCharType="separate"/>
      </w:r>
      <w:r w:rsidR="00670903">
        <w:rPr>
          <w:rFonts w:ascii="Calibri" w:eastAsia="Calibri" w:hAnsi="Calibri" w:cs="Arial"/>
        </w:rPr>
        <w:t>7.3.2</w:t>
      </w:r>
      <w:r w:rsidRPr="00853145">
        <w:rPr>
          <w:rFonts w:ascii="Calibri" w:eastAsia="Calibri" w:hAnsi="Calibri" w:cs="Arial"/>
        </w:rPr>
        <w:fldChar w:fldCharType="end"/>
      </w:r>
      <w:r w:rsidRPr="00853145">
        <w:rPr>
          <w:rFonts w:ascii="Calibri" w:eastAsia="Calibri" w:hAnsi="Calibri" w:cs="Arial"/>
        </w:rPr>
        <w:t xml:space="preserve"> sono pervenute delle richieste da parte di alcuni Enti territoriali di valutare l’individuazione di piccoli lotti in area a domanda debole, mentre in fase di consultazione a valle degli incontri altri Enti</w:t>
      </w:r>
      <w:r w:rsidRPr="00853145">
        <w:rPr>
          <w:rFonts w:ascii="Calibri" w:eastAsia="Calibri" w:hAnsi="Calibri" w:cs="Arial"/>
          <w:vertAlign w:val="superscript"/>
        </w:rPr>
        <w:footnoteReference w:id="48"/>
      </w:r>
      <w:r w:rsidRPr="00853145">
        <w:rPr>
          <w:rFonts w:ascii="Calibri" w:eastAsia="Calibri" w:hAnsi="Calibri" w:cs="Arial"/>
        </w:rPr>
        <w:t xml:space="preserve"> hanno manifestato, oltre a criticità ed esigenze rispetto il servizio attuale, il proposito di includere gli attuali servizi afferenti agli Accordi di Programma all’interno dei nuovi affidamenti.</w:t>
      </w:r>
    </w:p>
    <w:p w14:paraId="394B8325"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Occorre sottolineare che le aree a domanda debole, caratterizzate da una bassa densità di popolazione e una ridotta richiesta di servizi di trasporto pubblico locale (TPL), richiedono </w:t>
      </w:r>
      <w:r w:rsidRPr="00853145">
        <w:rPr>
          <w:rFonts w:ascii="Calibri" w:eastAsia="Calibri" w:hAnsi="Calibri" w:cs="Arial"/>
          <w:b/>
          <w:bCs/>
        </w:rPr>
        <w:t>una gestione più mirata e personalizzata.</w:t>
      </w:r>
      <w:r w:rsidRPr="00853145">
        <w:rPr>
          <w:rFonts w:ascii="Calibri" w:eastAsia="Calibri" w:hAnsi="Calibri" w:cs="Arial"/>
        </w:rPr>
        <w:t xml:space="preserve"> I servizi in queste aree devono essere caratterizzati da una maggiore flessibilità per rispondere efficacemente alle esigenze specifiche della popolazione locale.</w:t>
      </w:r>
    </w:p>
    <w:p w14:paraId="20F2E355"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Affidare i servizi di TPL delle aree a domanda debole insieme al resto dei servizi di bacino o lotto potrebbe rendere più problematica e distante l'attenzione necessaria a tali realtà, in quanto le imprese sarebbero maggiormente focalizzate sulle aree a maggiore domanda. Queste aree, infatti, presentano maggiori problematiche gestionali e, al contempo, garantiscono il soddisfacimento delle esigenze della maggior parte della popolazione. Inoltre, esse assicurano i più importanti flussi economici in termini di ricavi da traffico.</w:t>
      </w:r>
    </w:p>
    <w:p w14:paraId="2107F2E5"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In termini di sostenibilità tecnica ed economica, </w:t>
      </w:r>
      <w:r w:rsidRPr="00853145">
        <w:rPr>
          <w:rFonts w:ascii="Calibri" w:eastAsia="Calibri" w:hAnsi="Calibri" w:cs="Arial"/>
          <w:b/>
          <w:bCs/>
        </w:rPr>
        <w:t>la presenza di piccole imprese locali</w:t>
      </w:r>
      <w:r w:rsidRPr="00853145">
        <w:rPr>
          <w:rFonts w:ascii="Calibri" w:eastAsia="Calibri" w:hAnsi="Calibri" w:cs="Arial"/>
        </w:rPr>
        <w:t xml:space="preserve"> che operano direttamente nel territorio è fondamentale. Queste imprese garantiscono una costante presenza sul territorio, essendo parte integrante della comunità locale. La loro vicinanza e conoscenza del contesto permettono di adattare i servizi alle specifiche esigenze della comunità, migliorando la qualità e l'efficienza del trasporto pubblico locale.</w:t>
      </w:r>
    </w:p>
    <w:p w14:paraId="48FE0BD0"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Le piccole imprese locali perseguono l'obiettivo di rispondere in modo più efficace alle necessità della popolazione, assicurando una maggiore attenzione e cura nella gestione dei servizi. La loro integrazione nella comunità consente una gestione più mirata e personalizzata, che si traduce in una maggiore soddisfazione degli utenti e in una migliore sostenibilità dei servizi offerti.</w:t>
      </w:r>
    </w:p>
    <w:p w14:paraId="5518157C"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Pertanto, le condizioni necessarie per individuare un lotto in un'area a domanda debole sono due, ma strettamente connesse: </w:t>
      </w:r>
      <w:r w:rsidRPr="00853145">
        <w:rPr>
          <w:rFonts w:ascii="Calibri" w:eastAsia="Calibri" w:hAnsi="Calibri" w:cs="Arial"/>
          <w:b/>
          <w:bCs/>
        </w:rPr>
        <w:t>l'interesse della comunità locale</w:t>
      </w:r>
      <w:r w:rsidRPr="00853145">
        <w:rPr>
          <w:rFonts w:ascii="Calibri" w:eastAsia="Calibri" w:hAnsi="Calibri" w:cs="Arial"/>
        </w:rPr>
        <w:t xml:space="preserve"> e la contemporanea </w:t>
      </w:r>
      <w:r w:rsidRPr="00853145">
        <w:rPr>
          <w:rFonts w:ascii="Calibri" w:eastAsia="Calibri" w:hAnsi="Calibri" w:cs="Arial"/>
          <w:b/>
          <w:bCs/>
        </w:rPr>
        <w:t xml:space="preserve">presenza, in quell'ambito, di un'impresa </w:t>
      </w:r>
      <w:r w:rsidRPr="00853145">
        <w:rPr>
          <w:rFonts w:ascii="Calibri" w:eastAsia="Calibri" w:hAnsi="Calibri" w:cs="Arial"/>
        </w:rPr>
        <w:t>capace di sviluppare il servizio di trasporto pubblico locale (TPL). Quest'impresa deve essere in grado di offrire soluzioni flessibili e non convenzionali, come ad esempio l'utilizzo di autovetture da 9 posti a noleggio, per rispondere efficacemente alle esigenze specifiche della popolazione locale.</w:t>
      </w:r>
    </w:p>
    <w:p w14:paraId="17FD179B" w14:textId="0ECF4B6D"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Come meglio specificato nel paragrafo </w:t>
      </w:r>
      <w:r w:rsidRPr="00853145">
        <w:rPr>
          <w:rFonts w:ascii="Calibri" w:eastAsia="Calibri" w:hAnsi="Calibri" w:cs="Arial"/>
        </w:rPr>
        <w:fldChar w:fldCharType="begin"/>
      </w:r>
      <w:r w:rsidRPr="00853145">
        <w:rPr>
          <w:rFonts w:ascii="Calibri" w:eastAsia="Calibri" w:hAnsi="Calibri" w:cs="Arial"/>
        </w:rPr>
        <w:instrText xml:space="preserve"> REF _Ref193814903 \r \h  \* MERGEFORMAT </w:instrText>
      </w:r>
      <w:r w:rsidRPr="00853145">
        <w:rPr>
          <w:rFonts w:ascii="Calibri" w:eastAsia="Calibri" w:hAnsi="Calibri" w:cs="Arial"/>
        </w:rPr>
      </w:r>
      <w:r w:rsidRPr="00853145">
        <w:rPr>
          <w:rFonts w:ascii="Calibri" w:eastAsia="Calibri" w:hAnsi="Calibri" w:cs="Arial"/>
        </w:rPr>
        <w:fldChar w:fldCharType="separate"/>
      </w:r>
      <w:r w:rsidR="00670903" w:rsidRPr="00670903">
        <w:rPr>
          <w:rFonts w:ascii="Calibri" w:eastAsia="Calibri" w:hAnsi="Calibri" w:cs="Arial"/>
          <w:b/>
          <w:bCs/>
        </w:rPr>
        <w:t>2.2</w:t>
      </w:r>
      <w:r w:rsidRPr="00853145">
        <w:rPr>
          <w:rFonts w:ascii="Calibri" w:eastAsia="Calibri" w:hAnsi="Calibri" w:cs="Arial"/>
        </w:rPr>
        <w:fldChar w:fldCharType="end"/>
      </w:r>
      <w:r w:rsidRPr="00853145">
        <w:rPr>
          <w:rFonts w:ascii="Calibri" w:eastAsia="Calibri" w:hAnsi="Calibri" w:cs="Arial"/>
        </w:rPr>
        <w:t xml:space="preserve"> sul territorio del Bacino Sud Est sono presenti 10 Accordi di Programma, i cui servizi a seguito di quanto emerso nelle consultazioni saranno inseriti nelle gare, non risultando richieste specifiche da parte dei sottoscrittori degli stessi accordi, anzi si è registrato un generale allineamento su tale visione strategica.</w:t>
      </w:r>
    </w:p>
    <w:p w14:paraId="637F5BD0"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Pertanto, in una prima fase tutti i servizi oggi gestiti con  Accordi di Programma saranno inseriti all’interno delle procedure di gara e non saranno quindi individuati lotti in area a domanda debole per tali aree.</w:t>
      </w:r>
    </w:p>
    <w:p w14:paraId="27F237D8"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Resta fermo il principio per il quale qualora sia in fase di valutazione delle offerte sia in una successiva fase ad affidamento avviato i servizi offerti non rispondessero pienamente alle esigenze dei territori in </w:t>
      </w:r>
      <w:r w:rsidRPr="00853145">
        <w:rPr>
          <w:rFonts w:ascii="Calibri" w:eastAsia="Calibri" w:hAnsi="Calibri" w:cs="Arial"/>
        </w:rPr>
        <w:lastRenderedPageBreak/>
        <w:t>area a domanda debole si procedere con l’individuazione di altre soluzioni espletabili anche attraverso specifici accordi di programma con gli Enti territoriali o con altre tipologie di affidamento del servizio.</w:t>
      </w:r>
    </w:p>
    <w:p w14:paraId="125527EC" w14:textId="77777777" w:rsidR="00162229" w:rsidRPr="00853145" w:rsidRDefault="00162229" w:rsidP="00162229">
      <w:pPr>
        <w:spacing w:before="120" w:after="0" w:line="240" w:lineRule="auto"/>
        <w:rPr>
          <w:rFonts w:ascii="Calibri" w:eastAsia="Calibri" w:hAnsi="Calibri" w:cs="Arial"/>
          <w:b/>
        </w:rPr>
      </w:pPr>
      <w:r w:rsidRPr="00853145">
        <w:rPr>
          <w:rFonts w:ascii="Calibri" w:eastAsia="Calibri" w:hAnsi="Calibri" w:cs="Arial"/>
          <w:b/>
        </w:rPr>
        <w:t>Lotti in Area a domanda debole – Val Borbera</w:t>
      </w:r>
    </w:p>
    <w:p w14:paraId="67E94307" w14:textId="67882ABD"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Si analizza la richiesta pervenuta e anticipata nel paragrafo </w:t>
      </w:r>
      <w:r w:rsidRPr="00853145">
        <w:rPr>
          <w:rFonts w:ascii="Calibri" w:eastAsia="Calibri" w:hAnsi="Calibri" w:cs="Arial"/>
        </w:rPr>
        <w:fldChar w:fldCharType="begin"/>
      </w:r>
      <w:r w:rsidRPr="00853145">
        <w:rPr>
          <w:rFonts w:ascii="Calibri" w:eastAsia="Calibri" w:hAnsi="Calibri" w:cs="Arial"/>
        </w:rPr>
        <w:instrText xml:space="preserve"> REF _Ref204245530 \r \h  \* MERGEFORMAT </w:instrText>
      </w:r>
      <w:r w:rsidRPr="00853145">
        <w:rPr>
          <w:rFonts w:ascii="Calibri" w:eastAsia="Calibri" w:hAnsi="Calibri" w:cs="Arial"/>
        </w:rPr>
      </w:r>
      <w:r w:rsidRPr="00853145">
        <w:rPr>
          <w:rFonts w:ascii="Calibri" w:eastAsia="Calibri" w:hAnsi="Calibri" w:cs="Arial"/>
        </w:rPr>
        <w:fldChar w:fldCharType="separate"/>
      </w:r>
      <w:r w:rsidR="00670903">
        <w:rPr>
          <w:rFonts w:ascii="Calibri" w:eastAsia="Calibri" w:hAnsi="Calibri" w:cs="Arial"/>
        </w:rPr>
        <w:t>7.3.2</w:t>
      </w:r>
      <w:r w:rsidRPr="00853145">
        <w:rPr>
          <w:rFonts w:ascii="Calibri" w:eastAsia="Calibri" w:hAnsi="Calibri" w:cs="Arial"/>
        </w:rPr>
        <w:fldChar w:fldCharType="end"/>
      </w:r>
      <w:r w:rsidRPr="00853145">
        <w:rPr>
          <w:rFonts w:ascii="Calibri" w:eastAsia="Calibri" w:hAnsi="Calibri" w:cs="Arial"/>
        </w:rPr>
        <w:t xml:space="preserve"> di individuare un lotto per l’area a domanda debole della Val Borbera.</w:t>
      </w:r>
    </w:p>
    <w:p w14:paraId="7ABD4984"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Appare opportuno fare delle valutazioni specifiche:</w:t>
      </w:r>
    </w:p>
    <w:p w14:paraId="4ABA5553" w14:textId="77777777" w:rsidR="00162229" w:rsidRPr="00853145" w:rsidRDefault="00162229" w:rsidP="00162229">
      <w:pPr>
        <w:pStyle w:val="Paragrafoelenco"/>
        <w:numPr>
          <w:ilvl w:val="2"/>
          <w:numId w:val="69"/>
        </w:numPr>
        <w:spacing w:before="120" w:after="0" w:line="240" w:lineRule="auto"/>
        <w:ind w:left="851" w:hanging="567"/>
        <w:contextualSpacing w:val="0"/>
        <w:rPr>
          <w:rFonts w:ascii="Calibri" w:eastAsia="Times New Roman" w:hAnsi="Calibri" w:cs="Calibri"/>
        </w:rPr>
      </w:pPr>
      <w:r w:rsidRPr="00853145">
        <w:rPr>
          <w:rFonts w:ascii="Calibri" w:eastAsia="Calibri" w:hAnsi="Calibri" w:cs="Arial"/>
        </w:rPr>
        <w:t>si tratta di un area geografica ben circoscritta formato da 10 comuni (Albera Ligure, Borghetto di Borbera, Cabella Ligure, Cantalupo Ligure, Carrega Ligure, Mongiardino Ligure, Roccaforte Ligure, Rocchetta Ligure, Stazzano e Vignole Borbera) di cui 7 inseriti nell’elenco delle aree a domanda debole;</w:t>
      </w:r>
    </w:p>
    <w:p w14:paraId="69681B1B" w14:textId="77777777" w:rsidR="00162229" w:rsidRPr="00853145" w:rsidRDefault="00162229" w:rsidP="00162229">
      <w:pPr>
        <w:pStyle w:val="Paragrafoelenco"/>
        <w:numPr>
          <w:ilvl w:val="2"/>
          <w:numId w:val="69"/>
        </w:numPr>
        <w:spacing w:before="120" w:after="0" w:line="240" w:lineRule="auto"/>
        <w:ind w:left="851" w:hanging="567"/>
        <w:contextualSpacing w:val="0"/>
        <w:rPr>
          <w:rFonts w:ascii="Calibri" w:eastAsia="Times New Roman" w:hAnsi="Calibri" w:cs="Calibri"/>
        </w:rPr>
      </w:pPr>
      <w:r w:rsidRPr="00853145">
        <w:rPr>
          <w:rFonts w:ascii="Calibri" w:eastAsia="Calibri" w:hAnsi="Calibri" w:cs="Arial"/>
        </w:rPr>
        <w:t xml:space="preserve">dal punto trasportistico il servizio di TPL è erogato da due linee che collegano la valle ai centri abitati di riferimento di Arquata Scrivia e Novi Ligure per un totale di 274.502 vett-Km/anno; entrambe le linee sono gestite all’interno del Consorzio Scat dall’operatore </w:t>
      </w:r>
      <w:r w:rsidRPr="00853145">
        <w:rPr>
          <w:rFonts w:ascii="Calibri" w:eastAsia="Times New Roman" w:hAnsi="Calibri" w:cs="Calibri"/>
        </w:rPr>
        <w:t xml:space="preserve">Autolinee Val Borbera Srl, azienda di trasporto locale con sede nel comune di Cabella Ligure che si avvale per il servizio di propri depositi ubicati nei comuni di Borghetto di Borbera e Cabella Ligure. </w:t>
      </w:r>
    </w:p>
    <w:p w14:paraId="59E4BF5C" w14:textId="77777777" w:rsidR="00162229" w:rsidRPr="00853145" w:rsidRDefault="00162229" w:rsidP="00162229">
      <w:pPr>
        <w:spacing w:before="120" w:after="0" w:line="240" w:lineRule="auto"/>
        <w:rPr>
          <w:rFonts w:ascii="Calibri" w:eastAsia="Times New Roman" w:hAnsi="Calibri" w:cs="Calibri"/>
        </w:rPr>
      </w:pPr>
      <w:r w:rsidRPr="00853145">
        <w:rPr>
          <w:rFonts w:ascii="Calibri" w:eastAsia="Times New Roman" w:hAnsi="Calibri" w:cs="Calibri"/>
        </w:rPr>
        <w:t xml:space="preserve">Si tratta pertanto di un contesto in cui vengono a realizzarsi le due condizioni ottimali sopra richiamate, ovvero </w:t>
      </w:r>
      <w:r w:rsidRPr="00853145">
        <w:rPr>
          <w:rFonts w:ascii="Calibri" w:eastAsia="Times New Roman" w:hAnsi="Calibri" w:cs="Calibri"/>
          <w:b/>
          <w:bCs/>
        </w:rPr>
        <w:t>l’interesse della Comunità locale</w:t>
      </w:r>
      <w:r w:rsidRPr="00853145">
        <w:rPr>
          <w:rFonts w:ascii="Calibri" w:eastAsia="Times New Roman" w:hAnsi="Calibri" w:cs="Calibri"/>
        </w:rPr>
        <w:t xml:space="preserve"> e la </w:t>
      </w:r>
      <w:r w:rsidRPr="00853145">
        <w:rPr>
          <w:rFonts w:ascii="Calibri" w:eastAsia="Times New Roman" w:hAnsi="Calibri" w:cs="Calibri"/>
          <w:b/>
          <w:bCs/>
        </w:rPr>
        <w:t>presenza di una impresa</w:t>
      </w:r>
      <w:r w:rsidRPr="00853145">
        <w:rPr>
          <w:rFonts w:ascii="Calibri" w:eastAsia="Times New Roman" w:hAnsi="Calibri" w:cs="Calibri"/>
        </w:rPr>
        <w:t xml:space="preserve"> con idonea capacità tecnica organizzativa ubicata e che opera nell’ambito territoriale.</w:t>
      </w:r>
    </w:p>
    <w:p w14:paraId="378E237C" w14:textId="77777777" w:rsidR="00162229" w:rsidRPr="00853145" w:rsidRDefault="00162229" w:rsidP="00162229">
      <w:pPr>
        <w:spacing w:before="120" w:after="0" w:line="240" w:lineRule="auto"/>
        <w:rPr>
          <w:rFonts w:ascii="Calibri" w:eastAsia="Times New Roman" w:hAnsi="Calibri" w:cs="Calibri"/>
        </w:rPr>
      </w:pPr>
      <w:r w:rsidRPr="00853145">
        <w:rPr>
          <w:rFonts w:ascii="Calibri" w:eastAsia="Times New Roman" w:hAnsi="Calibri" w:cs="Calibri"/>
        </w:rPr>
        <w:t xml:space="preserve">Nelle valutazioni finora condotte tali servizi erano stati inseriti nell’unità di rete 3 assegnandoli al deposito di Novi Ligure, ma vista la specificità dell’area, le richieste pervenute dal territorio e la presenza all’interno della valle di un operatore stabile già oggi attivo sulle linee a servizio dell’area a domanda debole, si può valutare di definire un lotto dedicato a quest’area. </w:t>
      </w:r>
    </w:p>
    <w:p w14:paraId="62F41793" w14:textId="77777777" w:rsidR="00162229" w:rsidRPr="00853145" w:rsidRDefault="00162229" w:rsidP="00162229">
      <w:pPr>
        <w:spacing w:before="120" w:after="0" w:line="240" w:lineRule="auto"/>
        <w:rPr>
          <w:rFonts w:ascii="Calibri" w:eastAsia="Times New Roman" w:hAnsi="Calibri" w:cs="Calibri"/>
        </w:rPr>
      </w:pPr>
      <w:r w:rsidRPr="00853145">
        <w:rPr>
          <w:rFonts w:ascii="Calibri" w:eastAsia="Times New Roman" w:hAnsi="Calibri" w:cs="Calibri"/>
        </w:rPr>
        <w:t>Lo scorporo dei tali servizi dal complesso di linee assegnate all’unità di rete 3, non impatta sull’ottimizzazione gestionale dei servizi essendo questi ubicati in un’area marginale dell’unità di rete.</w:t>
      </w:r>
    </w:p>
    <w:p w14:paraId="49393FD6" w14:textId="77777777" w:rsidR="00162229" w:rsidRDefault="00162229" w:rsidP="00162229">
      <w:pPr>
        <w:spacing w:before="120" w:after="0" w:line="240" w:lineRule="auto"/>
        <w:rPr>
          <w:rFonts w:ascii="Calibri" w:eastAsia="Times New Roman" w:hAnsi="Calibri" w:cs="Calibri"/>
        </w:rPr>
      </w:pPr>
      <w:r w:rsidRPr="00853145">
        <w:rPr>
          <w:rFonts w:ascii="Calibri" w:eastAsia="Times New Roman" w:hAnsi="Calibri" w:cs="Calibri"/>
        </w:rPr>
        <w:t>Per quanto descritto si prevede dunque di procedere ad un affidamento diretto del Lotto individuato per l’area a domanda debole della Val Borbera ai sensi dell’art.5 paragrafo 4 del Regolamento CE 1370/2007 e s.m.i.</w:t>
      </w:r>
      <w:r w:rsidRPr="00853145">
        <w:rPr>
          <w:rStyle w:val="Rimandonotaapidipagina"/>
          <w:rFonts w:ascii="Calibri" w:eastAsia="Times New Roman" w:hAnsi="Calibri" w:cs="Calibri"/>
        </w:rPr>
        <w:footnoteReference w:id="49"/>
      </w:r>
    </w:p>
    <w:p w14:paraId="3452E1FD" w14:textId="77777777" w:rsidR="00162229" w:rsidRDefault="00162229" w:rsidP="00162229">
      <w:pPr>
        <w:spacing w:before="120" w:after="0" w:line="240" w:lineRule="auto"/>
        <w:rPr>
          <w:rFonts w:ascii="Calibri" w:eastAsia="Times New Roman" w:hAnsi="Calibri" w:cs="Calibri"/>
        </w:rPr>
      </w:pPr>
    </w:p>
    <w:p w14:paraId="6AB47A4E" w14:textId="77777777" w:rsidR="00162229" w:rsidRDefault="00162229" w:rsidP="00162229">
      <w:pPr>
        <w:spacing w:before="120" w:after="0" w:line="240" w:lineRule="auto"/>
        <w:rPr>
          <w:rFonts w:ascii="Calibri" w:eastAsia="Times New Roman" w:hAnsi="Calibri" w:cs="Calibri"/>
        </w:rPr>
      </w:pPr>
      <w:r>
        <w:rPr>
          <w:rFonts w:ascii="Calibri" w:eastAsia="Times New Roman" w:hAnsi="Calibri" w:cs="Calibri"/>
          <w:noProof/>
        </w:rPr>
        <w:lastRenderedPageBreak/>
        <w:drawing>
          <wp:inline distT="0" distB="0" distL="0" distR="0" wp14:anchorId="6C3887AC" wp14:editId="4FB9C207">
            <wp:extent cx="5761355" cy="4072255"/>
            <wp:effectExtent l="0" t="0" r="0" b="4445"/>
            <wp:docPr id="1387309282" name="Immagine 14"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09282" name="Immagine 14" descr="Immagine che contiene mappa, testo, atlante, diagramma&#10;&#10;Descrizione generata automaticament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1355" cy="4072255"/>
                    </a:xfrm>
                    <a:prstGeom prst="rect">
                      <a:avLst/>
                    </a:prstGeom>
                    <a:noFill/>
                  </pic:spPr>
                </pic:pic>
              </a:graphicData>
            </a:graphic>
          </wp:inline>
        </w:drawing>
      </w:r>
    </w:p>
    <w:p w14:paraId="28C4E28C" w14:textId="390821C7" w:rsidR="00162229" w:rsidRPr="00AD01C5" w:rsidRDefault="00162229" w:rsidP="00162229">
      <w:pPr>
        <w:spacing w:after="200" w:line="240" w:lineRule="auto"/>
        <w:jc w:val="center"/>
        <w:rPr>
          <w:rFonts w:ascii="Calibri" w:eastAsia="Calibri" w:hAnsi="Calibri" w:cs="Times New Roman"/>
          <w:i/>
          <w:iCs/>
          <w:color w:val="17406D"/>
          <w:sz w:val="18"/>
        </w:rPr>
      </w:pPr>
      <w:r w:rsidRPr="00AD01C5">
        <w:rPr>
          <w:rFonts w:ascii="Calibri" w:eastAsia="Calibri" w:hAnsi="Calibri" w:cs="Arial"/>
          <w:i/>
          <w:iCs/>
          <w:color w:val="17406D"/>
          <w:sz w:val="18"/>
          <w:szCs w:val="18"/>
        </w:rPr>
        <w:t xml:space="preserve">Figura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Figura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32</w:t>
      </w:r>
      <w:r w:rsidRPr="00AD01C5">
        <w:rPr>
          <w:rFonts w:ascii="Calibri" w:eastAsia="Calibri" w:hAnsi="Calibri" w:cs="Arial"/>
          <w:i/>
          <w:iCs/>
          <w:color w:val="17406D"/>
          <w:sz w:val="18"/>
          <w:szCs w:val="18"/>
        </w:rPr>
        <w:fldChar w:fldCharType="end"/>
      </w:r>
      <w:r w:rsidRPr="00AD01C5">
        <w:rPr>
          <w:rFonts w:ascii="Calibri" w:eastAsia="Calibri" w:hAnsi="Calibri" w:cs="Arial"/>
          <w:i/>
          <w:iCs/>
          <w:color w:val="17406D"/>
          <w:sz w:val="18"/>
          <w:szCs w:val="18"/>
        </w:rPr>
        <w:t xml:space="preserve"> – </w:t>
      </w:r>
      <w:r>
        <w:rPr>
          <w:rFonts w:ascii="Calibri" w:eastAsia="Calibri" w:hAnsi="Calibri" w:cs="Arial"/>
          <w:i/>
          <w:iCs/>
          <w:color w:val="17406D"/>
          <w:sz w:val="18"/>
          <w:szCs w:val="18"/>
        </w:rPr>
        <w:t>Servizi Lotto ADD della Val Borbera</w:t>
      </w:r>
    </w:p>
    <w:p w14:paraId="2433D107" w14:textId="77777777" w:rsidR="00162229" w:rsidRPr="00853145" w:rsidRDefault="00162229" w:rsidP="00162229">
      <w:pPr>
        <w:spacing w:before="120" w:after="0" w:line="240" w:lineRule="auto"/>
        <w:rPr>
          <w:rFonts w:ascii="Calibri" w:eastAsia="Times New Roman" w:hAnsi="Calibri" w:cs="Calibri"/>
        </w:rPr>
      </w:pPr>
      <w:r w:rsidRPr="00853145">
        <w:rPr>
          <w:rFonts w:ascii="Calibri" w:eastAsia="Times New Roman" w:hAnsi="Calibri" w:cs="Calibri"/>
        </w:rPr>
        <w:t>Pertanto, ribadendo la volontà di ricercare la coerenza normativa e pertanto scartando l’ipotesi del lotto unico per il bacino, si possono configurare e confrontare due ipotesi di perimetrazione dei lotti:</w:t>
      </w:r>
    </w:p>
    <w:p w14:paraId="72E6CDE9" w14:textId="77777777" w:rsidR="00162229" w:rsidRPr="00853145" w:rsidRDefault="00162229" w:rsidP="00162229">
      <w:pPr>
        <w:numPr>
          <w:ilvl w:val="0"/>
          <w:numId w:val="65"/>
        </w:numPr>
        <w:spacing w:before="120" w:after="0" w:line="240" w:lineRule="auto"/>
        <w:rPr>
          <w:rFonts w:ascii="Calibri" w:eastAsia="Calibri" w:hAnsi="Calibri" w:cs="Arial"/>
        </w:rPr>
      </w:pPr>
      <w:r w:rsidRPr="00853145">
        <w:rPr>
          <w:rFonts w:ascii="Calibri" w:eastAsia="Calibri" w:hAnsi="Calibri" w:cs="Arial"/>
          <w:b/>
          <w:bCs/>
        </w:rPr>
        <w:t xml:space="preserve">3 lotti </w:t>
      </w:r>
      <w:r w:rsidRPr="00853145">
        <w:rPr>
          <w:rFonts w:ascii="Calibri" w:eastAsia="Calibri" w:hAnsi="Calibri" w:cs="Arial"/>
        </w:rPr>
        <w:t>corrispondenti alle tre unità di rete già descritte;</w:t>
      </w:r>
    </w:p>
    <w:p w14:paraId="1B7651B7" w14:textId="77777777" w:rsidR="00162229" w:rsidRPr="00853145" w:rsidRDefault="00162229" w:rsidP="00162229">
      <w:pPr>
        <w:numPr>
          <w:ilvl w:val="0"/>
          <w:numId w:val="65"/>
        </w:numPr>
        <w:spacing w:before="120" w:after="0" w:line="240" w:lineRule="auto"/>
        <w:rPr>
          <w:rFonts w:ascii="Calibri" w:eastAsia="Calibri" w:hAnsi="Calibri" w:cs="Arial"/>
        </w:rPr>
      </w:pPr>
      <w:r w:rsidRPr="00853145">
        <w:rPr>
          <w:rFonts w:ascii="Calibri" w:eastAsia="Calibri" w:hAnsi="Calibri" w:cs="Arial"/>
          <w:b/>
          <w:bCs/>
        </w:rPr>
        <w:t xml:space="preserve">2 lotti </w:t>
      </w:r>
      <w:r w:rsidRPr="00853145">
        <w:rPr>
          <w:rFonts w:ascii="Calibri" w:eastAsia="Calibri" w:hAnsi="Calibri" w:cs="Arial"/>
        </w:rPr>
        <w:t xml:space="preserve">derivati dall’accorpamento di due unità di rete delle tre individuate, opportunamente scelte al fine di avere una omogenea distribuzione della produzione, una continuità territoriale tra le unità, una distribuzione omogenea tra i servizi urbani ed extraurbani in grado di assicurare un’adeguata concentrazione della domanda e dell’offerta e </w:t>
      </w:r>
      <w:r w:rsidRPr="00853145">
        <w:rPr>
          <w:rFonts w:ascii="Calibri" w:eastAsia="Calibri" w:hAnsi="Calibri" w:cs="Times New Roman"/>
        </w:rPr>
        <w:t>produrre un servizio dal costo standard complessivo inferiore legato all’armonizzazione delle velocità commerciali.</w:t>
      </w:r>
    </w:p>
    <w:p w14:paraId="2529ACE1" w14:textId="77777777" w:rsidR="00162229" w:rsidRPr="00853145" w:rsidRDefault="00162229" w:rsidP="00162229">
      <w:pPr>
        <w:spacing w:before="120" w:after="0" w:line="240" w:lineRule="auto"/>
        <w:rPr>
          <w:rFonts w:ascii="Calibri" w:eastAsia="Calibri" w:hAnsi="Calibri" w:cs="Arial"/>
        </w:rPr>
      </w:pPr>
      <w:r w:rsidRPr="00853145">
        <w:rPr>
          <w:rFonts w:ascii="Calibri" w:eastAsia="Calibri" w:hAnsi="Calibri" w:cs="Arial"/>
        </w:rPr>
        <w:t xml:space="preserve">Dalla unità di rete UR3 si scorpora il </w:t>
      </w:r>
      <w:r w:rsidRPr="00853145">
        <w:rPr>
          <w:rFonts w:ascii="Calibri" w:eastAsia="Calibri" w:hAnsi="Calibri" w:cs="Arial"/>
          <w:b/>
          <w:bCs/>
        </w:rPr>
        <w:t>sublottoADD</w:t>
      </w:r>
      <w:r>
        <w:rPr>
          <w:rFonts w:ascii="Calibri" w:eastAsia="Calibri" w:hAnsi="Calibri" w:cs="Arial"/>
          <w:b/>
          <w:bCs/>
        </w:rPr>
        <w:t xml:space="preserve"> ValBorbera</w:t>
      </w:r>
      <w:r w:rsidRPr="00853145">
        <w:rPr>
          <w:rFonts w:ascii="Calibri" w:eastAsia="Calibri" w:hAnsi="Calibri" w:cs="Arial"/>
        </w:rPr>
        <w:t>, questa modalità di rappresentazione è finalizzata a garantire il perseguimento dell’efficienza organizzativa ed economica prevista dal decreto legislativo n.157/2018 “Costistandard”. Pertanto in questa sede il riferimento a trelotti ed a due lotti va inteso come l’individuazione dei lotti da mettere a gara; il sub lotto in area a domanda debole è pertanto sempre considerato nella valutazione complessiva dei servizi e nella definizione del costostandard, ma, come detto in precedenza sarà un’unità di affidamento autonoma.</w:t>
      </w:r>
    </w:p>
    <w:p w14:paraId="4AD9ED95" w14:textId="627E1C56" w:rsidR="00691FEF" w:rsidRDefault="00691FEF" w:rsidP="00162229">
      <w:pPr>
        <w:spacing w:before="120" w:after="0" w:line="240" w:lineRule="auto"/>
        <w:rPr>
          <w:rFonts w:ascii="Calibri" w:eastAsia="Calibri" w:hAnsi="Calibri" w:cs="Arial"/>
        </w:rPr>
      </w:pPr>
      <w:r>
        <w:rPr>
          <w:rFonts w:ascii="Calibri" w:eastAsia="Calibri" w:hAnsi="Calibri" w:cs="Arial"/>
        </w:rPr>
        <w:br w:type="page"/>
      </w:r>
    </w:p>
    <w:p w14:paraId="1B11EB42" w14:textId="77777777" w:rsidR="00162229" w:rsidRDefault="00162229" w:rsidP="00162229">
      <w:pPr>
        <w:spacing w:before="120" w:after="0" w:line="240" w:lineRule="auto"/>
        <w:rPr>
          <w:rFonts w:ascii="Calibri" w:eastAsia="Calibri" w:hAnsi="Calibri" w:cs="Arial"/>
        </w:rPr>
      </w:pPr>
    </w:p>
    <w:tbl>
      <w:tblPr>
        <w:tblW w:w="9067" w:type="dxa"/>
        <w:tblCellMar>
          <w:left w:w="70" w:type="dxa"/>
          <w:right w:w="70" w:type="dxa"/>
        </w:tblCellMar>
        <w:tblLook w:val="04A0" w:firstRow="1" w:lastRow="0" w:firstColumn="1" w:lastColumn="0" w:noHBand="0" w:noVBand="1"/>
      </w:tblPr>
      <w:tblGrid>
        <w:gridCol w:w="1413"/>
        <w:gridCol w:w="4678"/>
        <w:gridCol w:w="2976"/>
      </w:tblGrid>
      <w:tr w:rsidR="00162229" w:rsidRPr="00AD01C5" w14:paraId="4608B5F7" w14:textId="77777777" w:rsidTr="002A21C0">
        <w:trPr>
          <w:trHeight w:val="600"/>
        </w:trPr>
        <w:tc>
          <w:tcPr>
            <w:tcW w:w="1413" w:type="dxa"/>
            <w:tcBorders>
              <w:top w:val="single" w:sz="4" w:space="0" w:color="A6A6A6"/>
              <w:left w:val="single" w:sz="4" w:space="0" w:color="A6A6A6"/>
              <w:bottom w:val="single" w:sz="4" w:space="0" w:color="A6A6A6"/>
              <w:right w:val="single" w:sz="4" w:space="0" w:color="A6A6A6"/>
            </w:tcBorders>
            <w:shd w:val="clear" w:color="auto" w:fill="A5C34C" w:themeFill="accent6" w:themeFillShade="BF"/>
            <w:vAlign w:val="center"/>
            <w:hideMark/>
          </w:tcPr>
          <w:p w14:paraId="257C4FA9" w14:textId="77777777" w:rsidR="00162229" w:rsidRPr="00AD01C5" w:rsidRDefault="00162229" w:rsidP="002A21C0">
            <w:pPr>
              <w:spacing w:before="20" w:after="2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Lotti</w:t>
            </w:r>
          </w:p>
        </w:tc>
        <w:tc>
          <w:tcPr>
            <w:tcW w:w="4678" w:type="dxa"/>
            <w:tcBorders>
              <w:top w:val="single" w:sz="4" w:space="0" w:color="A6A6A6"/>
              <w:left w:val="nil"/>
              <w:bottom w:val="nil"/>
              <w:right w:val="single" w:sz="4" w:space="0" w:color="A6A6A6"/>
            </w:tcBorders>
            <w:shd w:val="clear" w:color="auto" w:fill="A5C34C" w:themeFill="accent6" w:themeFillShade="BF"/>
            <w:vAlign w:val="center"/>
            <w:hideMark/>
          </w:tcPr>
          <w:p w14:paraId="2D08DAC4" w14:textId="77777777" w:rsidR="00162229" w:rsidRPr="00AD01C5" w:rsidRDefault="00162229" w:rsidP="002A21C0">
            <w:pPr>
              <w:spacing w:before="20" w:after="2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Descrizione</w:t>
            </w:r>
          </w:p>
        </w:tc>
        <w:tc>
          <w:tcPr>
            <w:tcW w:w="2976" w:type="dxa"/>
            <w:tcBorders>
              <w:top w:val="single" w:sz="4" w:space="0" w:color="A6A6A6"/>
              <w:left w:val="nil"/>
              <w:bottom w:val="nil"/>
              <w:right w:val="single" w:sz="4" w:space="0" w:color="A6A6A6"/>
            </w:tcBorders>
            <w:shd w:val="clear" w:color="auto" w:fill="A5C34C" w:themeFill="accent6" w:themeFillShade="BF"/>
            <w:vAlign w:val="center"/>
            <w:hideMark/>
          </w:tcPr>
          <w:p w14:paraId="47BD58E9" w14:textId="77777777" w:rsidR="00162229" w:rsidRPr="00AD01C5" w:rsidRDefault="00162229" w:rsidP="002A21C0">
            <w:pPr>
              <w:spacing w:before="20" w:after="2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Produzione (veic-km/anno)</w:t>
            </w:r>
          </w:p>
        </w:tc>
      </w:tr>
      <w:tr w:rsidR="00162229" w:rsidRPr="00AD01C5" w14:paraId="7E22E2D3" w14:textId="77777777" w:rsidTr="002A21C0">
        <w:trPr>
          <w:trHeight w:val="300"/>
        </w:trPr>
        <w:tc>
          <w:tcPr>
            <w:tcW w:w="1413" w:type="dxa"/>
            <w:tcBorders>
              <w:top w:val="nil"/>
              <w:left w:val="single" w:sz="4" w:space="0" w:color="A6A6A6"/>
              <w:bottom w:val="single" w:sz="4" w:space="0" w:color="A6A6A6"/>
              <w:right w:val="nil"/>
            </w:tcBorders>
            <w:shd w:val="clear" w:color="000000" w:fill="FFFFFF"/>
            <w:noWrap/>
            <w:vAlign w:val="center"/>
            <w:hideMark/>
          </w:tcPr>
          <w:p w14:paraId="57399DF8"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Lotto UR1</w:t>
            </w:r>
          </w:p>
        </w:tc>
        <w:tc>
          <w:tcPr>
            <w:tcW w:w="4678" w:type="dxa"/>
            <w:tcBorders>
              <w:top w:val="single" w:sz="4" w:space="0" w:color="A6A6A6"/>
              <w:left w:val="single" w:sz="4" w:space="0" w:color="A6A6A6"/>
              <w:bottom w:val="single" w:sz="4" w:space="0" w:color="A6A6A6"/>
              <w:right w:val="single" w:sz="4" w:space="0" w:color="A6A6A6"/>
            </w:tcBorders>
            <w:vAlign w:val="center"/>
            <w:hideMark/>
          </w:tcPr>
          <w:p w14:paraId="586E19BF" w14:textId="77777777" w:rsidR="00162229" w:rsidRPr="00AD01C5" w:rsidRDefault="00162229" w:rsidP="002A21C0">
            <w:pPr>
              <w:spacing w:before="20" w:after="2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Servizi Urbani ed extraurbani di Asti Canelli, e Villanova D’Asti</w:t>
            </w:r>
          </w:p>
        </w:tc>
        <w:tc>
          <w:tcPr>
            <w:tcW w:w="2976" w:type="dxa"/>
            <w:tcBorders>
              <w:top w:val="single" w:sz="4" w:space="0" w:color="A6A6A6"/>
              <w:left w:val="nil"/>
              <w:bottom w:val="single" w:sz="4" w:space="0" w:color="A6A6A6"/>
              <w:right w:val="single" w:sz="4" w:space="0" w:color="A6A6A6"/>
            </w:tcBorders>
            <w:shd w:val="clear" w:color="000000" w:fill="FFFFFF"/>
            <w:noWrap/>
            <w:vAlign w:val="center"/>
            <w:hideMark/>
          </w:tcPr>
          <w:p w14:paraId="12DE8862" w14:textId="77777777" w:rsidR="00162229" w:rsidRPr="00AD01C5" w:rsidRDefault="00162229" w:rsidP="002A21C0">
            <w:pPr>
              <w:spacing w:before="20" w:after="20" w:line="240" w:lineRule="auto"/>
              <w:jc w:val="right"/>
              <w:rPr>
                <w:rFonts w:ascii="Calibri" w:eastAsia="Times New Roman" w:hAnsi="Calibri" w:cs="Calibri"/>
                <w:color w:val="000000"/>
                <w:sz w:val="20"/>
                <w:szCs w:val="20"/>
              </w:rPr>
            </w:pPr>
            <w:r w:rsidRPr="00AD01C5">
              <w:rPr>
                <w:rFonts w:ascii="Calibri" w:eastAsia="Calibri" w:hAnsi="Calibri" w:cs="Arial"/>
                <w:sz w:val="20"/>
                <w:szCs w:val="20"/>
              </w:rPr>
              <w:t>5.402.796</w:t>
            </w:r>
          </w:p>
        </w:tc>
      </w:tr>
      <w:tr w:rsidR="00162229" w:rsidRPr="00AD01C5" w14:paraId="0A623FE4" w14:textId="77777777" w:rsidTr="002A21C0">
        <w:trPr>
          <w:trHeight w:val="525"/>
        </w:trPr>
        <w:tc>
          <w:tcPr>
            <w:tcW w:w="1413" w:type="dxa"/>
            <w:tcBorders>
              <w:top w:val="nil"/>
              <w:left w:val="single" w:sz="4" w:space="0" w:color="A6A6A6"/>
              <w:bottom w:val="single" w:sz="4" w:space="0" w:color="A6A6A6"/>
              <w:right w:val="nil"/>
            </w:tcBorders>
            <w:shd w:val="clear" w:color="000000" w:fill="FFFFFF"/>
            <w:noWrap/>
            <w:vAlign w:val="center"/>
            <w:hideMark/>
          </w:tcPr>
          <w:p w14:paraId="1B64C6F2"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Lotto UR 2</w:t>
            </w:r>
          </w:p>
        </w:tc>
        <w:tc>
          <w:tcPr>
            <w:tcW w:w="4678" w:type="dxa"/>
            <w:tcBorders>
              <w:top w:val="nil"/>
              <w:left w:val="single" w:sz="4" w:space="0" w:color="A6A6A6"/>
              <w:bottom w:val="single" w:sz="4" w:space="0" w:color="A6A6A6"/>
              <w:right w:val="single" w:sz="4" w:space="0" w:color="A6A6A6"/>
            </w:tcBorders>
            <w:vAlign w:val="center"/>
            <w:hideMark/>
          </w:tcPr>
          <w:p w14:paraId="0430E2FF" w14:textId="77777777" w:rsidR="00162229" w:rsidRPr="00AD01C5" w:rsidRDefault="00162229" w:rsidP="002A21C0">
            <w:pPr>
              <w:spacing w:before="20" w:after="2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Servizi Urbani ed extraurbani di Alessandria, Casale Monferrato e Altavilla</w:t>
            </w:r>
          </w:p>
        </w:tc>
        <w:tc>
          <w:tcPr>
            <w:tcW w:w="2976" w:type="dxa"/>
            <w:tcBorders>
              <w:top w:val="nil"/>
              <w:left w:val="nil"/>
              <w:bottom w:val="single" w:sz="4" w:space="0" w:color="A6A6A6"/>
              <w:right w:val="single" w:sz="4" w:space="0" w:color="A6A6A6"/>
            </w:tcBorders>
            <w:shd w:val="clear" w:color="000000" w:fill="FFFFFF"/>
            <w:noWrap/>
            <w:vAlign w:val="center"/>
            <w:hideMark/>
          </w:tcPr>
          <w:p w14:paraId="62810323" w14:textId="77777777" w:rsidR="00162229" w:rsidRPr="00AD01C5" w:rsidRDefault="00162229" w:rsidP="002A21C0">
            <w:pPr>
              <w:spacing w:before="20" w:after="20" w:line="240" w:lineRule="auto"/>
              <w:jc w:val="right"/>
              <w:rPr>
                <w:rFonts w:ascii="Calibri" w:eastAsia="Times New Roman" w:hAnsi="Calibri" w:cs="Calibri"/>
                <w:color w:val="000000"/>
                <w:sz w:val="20"/>
                <w:szCs w:val="20"/>
              </w:rPr>
            </w:pPr>
            <w:r w:rsidRPr="00AD01C5">
              <w:rPr>
                <w:rFonts w:ascii="Calibri" w:eastAsia="Calibri" w:hAnsi="Calibri" w:cs="Arial"/>
                <w:sz w:val="20"/>
                <w:szCs w:val="20"/>
              </w:rPr>
              <w:t>5.081.820</w:t>
            </w:r>
          </w:p>
        </w:tc>
      </w:tr>
      <w:tr w:rsidR="00162229" w:rsidRPr="00AD01C5" w14:paraId="495989F0" w14:textId="77777777" w:rsidTr="002A21C0">
        <w:trPr>
          <w:trHeight w:val="525"/>
        </w:trPr>
        <w:tc>
          <w:tcPr>
            <w:tcW w:w="1413" w:type="dxa"/>
            <w:tcBorders>
              <w:top w:val="nil"/>
              <w:left w:val="single" w:sz="4" w:space="0" w:color="A6A6A6"/>
              <w:bottom w:val="single" w:sz="4" w:space="0" w:color="A6A6A6"/>
              <w:right w:val="nil"/>
            </w:tcBorders>
            <w:shd w:val="clear" w:color="000000" w:fill="FFFFFF"/>
            <w:noWrap/>
            <w:vAlign w:val="center"/>
            <w:hideMark/>
          </w:tcPr>
          <w:p w14:paraId="7639D010"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Lotto UR 3</w:t>
            </w:r>
          </w:p>
        </w:tc>
        <w:tc>
          <w:tcPr>
            <w:tcW w:w="4678" w:type="dxa"/>
            <w:tcBorders>
              <w:top w:val="nil"/>
              <w:left w:val="single" w:sz="4" w:space="0" w:color="A6A6A6"/>
              <w:bottom w:val="single" w:sz="4" w:space="0" w:color="A6A6A6"/>
              <w:right w:val="single" w:sz="4" w:space="0" w:color="A6A6A6"/>
            </w:tcBorders>
            <w:vAlign w:val="center"/>
            <w:hideMark/>
          </w:tcPr>
          <w:p w14:paraId="22EFE588" w14:textId="77777777" w:rsidR="00162229" w:rsidRPr="00AD01C5" w:rsidRDefault="00162229" w:rsidP="002A21C0">
            <w:pPr>
              <w:spacing w:before="20" w:after="2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Servizi ed extraurbani di Novi Ligure ed Ovada</w:t>
            </w:r>
          </w:p>
        </w:tc>
        <w:tc>
          <w:tcPr>
            <w:tcW w:w="2976" w:type="dxa"/>
            <w:tcBorders>
              <w:top w:val="nil"/>
              <w:left w:val="nil"/>
              <w:bottom w:val="single" w:sz="4" w:space="0" w:color="A6A6A6"/>
              <w:right w:val="single" w:sz="4" w:space="0" w:color="A6A6A6"/>
            </w:tcBorders>
            <w:shd w:val="clear" w:color="000000" w:fill="FFFFFF"/>
            <w:noWrap/>
            <w:vAlign w:val="center"/>
            <w:hideMark/>
          </w:tcPr>
          <w:p w14:paraId="684565A6" w14:textId="77777777" w:rsidR="00162229" w:rsidRPr="00AD01C5" w:rsidRDefault="00162229" w:rsidP="002A21C0">
            <w:pPr>
              <w:spacing w:before="20" w:after="20" w:line="240" w:lineRule="auto"/>
              <w:jc w:val="right"/>
              <w:rPr>
                <w:rFonts w:ascii="Calibri" w:eastAsia="Times New Roman" w:hAnsi="Calibri" w:cs="Calibri"/>
                <w:color w:val="000000"/>
                <w:sz w:val="20"/>
                <w:szCs w:val="20"/>
              </w:rPr>
            </w:pPr>
            <w:r w:rsidRPr="00AD01C5">
              <w:rPr>
                <w:rFonts w:ascii="Calibri" w:eastAsia="Calibri" w:hAnsi="Calibri" w:cs="Arial"/>
                <w:sz w:val="20"/>
                <w:szCs w:val="20"/>
              </w:rPr>
              <w:t>3.</w:t>
            </w:r>
            <w:r>
              <w:rPr>
                <w:rFonts w:ascii="Calibri" w:eastAsia="Calibri" w:hAnsi="Calibri" w:cs="Arial"/>
                <w:sz w:val="20"/>
                <w:szCs w:val="20"/>
              </w:rPr>
              <w:t>385.670</w:t>
            </w:r>
          </w:p>
        </w:tc>
      </w:tr>
      <w:tr w:rsidR="00162229" w:rsidRPr="00BE1177" w14:paraId="0FCA6F91" w14:textId="77777777" w:rsidTr="002A21C0">
        <w:trPr>
          <w:trHeight w:val="525"/>
        </w:trPr>
        <w:tc>
          <w:tcPr>
            <w:tcW w:w="1413" w:type="dxa"/>
            <w:tcBorders>
              <w:top w:val="nil"/>
              <w:left w:val="single" w:sz="4" w:space="0" w:color="A6A6A6"/>
              <w:bottom w:val="single" w:sz="4" w:space="0" w:color="A6A6A6"/>
              <w:right w:val="nil"/>
            </w:tcBorders>
            <w:shd w:val="clear" w:color="000000" w:fill="FFFFFF"/>
            <w:noWrap/>
            <w:vAlign w:val="center"/>
          </w:tcPr>
          <w:p w14:paraId="0B0DA6F7"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Pr>
                <w:rFonts w:ascii="Calibri" w:eastAsia="Times New Roman" w:hAnsi="Calibri" w:cs="Calibri"/>
                <w:color w:val="000000"/>
                <w:sz w:val="20"/>
                <w:szCs w:val="20"/>
              </w:rPr>
              <w:t>sub Lotto UR3 ADD</w:t>
            </w:r>
          </w:p>
        </w:tc>
        <w:tc>
          <w:tcPr>
            <w:tcW w:w="4678" w:type="dxa"/>
            <w:tcBorders>
              <w:top w:val="nil"/>
              <w:left w:val="single" w:sz="4" w:space="0" w:color="A6A6A6"/>
              <w:bottom w:val="single" w:sz="4" w:space="0" w:color="A6A6A6"/>
              <w:right w:val="single" w:sz="4" w:space="0" w:color="A6A6A6"/>
            </w:tcBorders>
            <w:vAlign w:val="center"/>
          </w:tcPr>
          <w:p w14:paraId="25CAFEFD" w14:textId="77777777" w:rsidR="00162229" w:rsidRPr="00AD01C5" w:rsidRDefault="00162229" w:rsidP="002A21C0">
            <w:pPr>
              <w:spacing w:before="20" w:after="20" w:line="240" w:lineRule="auto"/>
              <w:jc w:val="left"/>
              <w:rPr>
                <w:rFonts w:ascii="Calibri" w:eastAsia="Times New Roman" w:hAnsi="Calibri" w:cs="Calibri"/>
                <w:color w:val="000000"/>
                <w:sz w:val="20"/>
                <w:szCs w:val="20"/>
              </w:rPr>
            </w:pPr>
            <w:r>
              <w:rPr>
                <w:rFonts w:ascii="Calibri" w:eastAsia="Times New Roman" w:hAnsi="Calibri" w:cs="Calibri"/>
                <w:color w:val="000000"/>
                <w:sz w:val="20"/>
                <w:szCs w:val="20"/>
              </w:rPr>
              <w:t>Servizi extraurbani della Val Borbera</w:t>
            </w:r>
          </w:p>
        </w:tc>
        <w:tc>
          <w:tcPr>
            <w:tcW w:w="2976" w:type="dxa"/>
            <w:tcBorders>
              <w:top w:val="nil"/>
              <w:left w:val="nil"/>
              <w:bottom w:val="single" w:sz="4" w:space="0" w:color="A6A6A6"/>
              <w:right w:val="single" w:sz="4" w:space="0" w:color="A6A6A6"/>
            </w:tcBorders>
            <w:shd w:val="clear" w:color="000000" w:fill="FFFFFF"/>
            <w:noWrap/>
            <w:vAlign w:val="center"/>
          </w:tcPr>
          <w:p w14:paraId="77A4FEA8" w14:textId="77777777" w:rsidR="00162229" w:rsidRPr="00BE1177" w:rsidRDefault="00162229" w:rsidP="002A21C0">
            <w:pPr>
              <w:spacing w:before="20" w:after="20" w:line="240" w:lineRule="auto"/>
              <w:jc w:val="right"/>
              <w:rPr>
                <w:rFonts w:ascii="Calibri" w:eastAsia="Calibri" w:hAnsi="Calibri" w:cs="Arial"/>
                <w:sz w:val="20"/>
                <w:szCs w:val="20"/>
              </w:rPr>
            </w:pPr>
            <w:r w:rsidRPr="00BE1177">
              <w:rPr>
                <w:rFonts w:ascii="Calibri" w:eastAsia="Calibri" w:hAnsi="Calibri" w:cs="Arial"/>
              </w:rPr>
              <w:t>274.502</w:t>
            </w:r>
          </w:p>
        </w:tc>
      </w:tr>
      <w:tr w:rsidR="00162229" w:rsidRPr="00AD01C5" w14:paraId="6048EE01" w14:textId="77777777" w:rsidTr="002A21C0">
        <w:trPr>
          <w:trHeight w:val="300"/>
        </w:trPr>
        <w:tc>
          <w:tcPr>
            <w:tcW w:w="1413" w:type="dxa"/>
            <w:tcBorders>
              <w:top w:val="double" w:sz="4" w:space="0" w:color="A6A6A6"/>
              <w:left w:val="single" w:sz="4" w:space="0" w:color="A6A6A6"/>
              <w:bottom w:val="single" w:sz="4" w:space="0" w:color="A6A6A6"/>
              <w:right w:val="single" w:sz="4" w:space="0" w:color="A6A6A6"/>
            </w:tcBorders>
            <w:noWrap/>
            <w:vAlign w:val="center"/>
            <w:hideMark/>
          </w:tcPr>
          <w:p w14:paraId="6426BCF4" w14:textId="77777777" w:rsidR="00162229" w:rsidRPr="00AD01C5" w:rsidRDefault="00162229" w:rsidP="002A21C0">
            <w:pPr>
              <w:spacing w:before="20" w:after="20" w:line="240" w:lineRule="auto"/>
              <w:jc w:val="left"/>
              <w:rPr>
                <w:rFonts w:ascii="Calibri" w:eastAsia="Times New Roman" w:hAnsi="Calibri" w:cs="Calibri"/>
                <w:b/>
                <w:bCs/>
                <w:i/>
                <w:iCs/>
                <w:color w:val="000000"/>
                <w:sz w:val="20"/>
                <w:szCs w:val="20"/>
              </w:rPr>
            </w:pPr>
            <w:r w:rsidRPr="00AD01C5">
              <w:rPr>
                <w:rFonts w:ascii="Calibri" w:eastAsia="Times New Roman" w:hAnsi="Calibri" w:cs="Calibri"/>
                <w:b/>
                <w:bCs/>
                <w:i/>
                <w:iCs/>
                <w:color w:val="000000"/>
                <w:sz w:val="20"/>
                <w:szCs w:val="20"/>
              </w:rPr>
              <w:t>Totale</w:t>
            </w:r>
          </w:p>
        </w:tc>
        <w:tc>
          <w:tcPr>
            <w:tcW w:w="4678" w:type="dxa"/>
            <w:tcBorders>
              <w:top w:val="double" w:sz="4" w:space="0" w:color="A6A6A6"/>
              <w:left w:val="nil"/>
              <w:bottom w:val="single" w:sz="4" w:space="0" w:color="A6A6A6"/>
              <w:right w:val="single" w:sz="4" w:space="0" w:color="A6A6A6"/>
            </w:tcBorders>
            <w:noWrap/>
            <w:vAlign w:val="center"/>
            <w:hideMark/>
          </w:tcPr>
          <w:p w14:paraId="3D2BCE15" w14:textId="77777777" w:rsidR="00162229" w:rsidRPr="00AD01C5" w:rsidRDefault="00162229" w:rsidP="002A21C0">
            <w:pPr>
              <w:spacing w:before="20" w:after="20" w:line="240" w:lineRule="auto"/>
              <w:jc w:val="left"/>
              <w:rPr>
                <w:rFonts w:ascii="Calibri" w:eastAsia="Times New Roman" w:hAnsi="Calibri" w:cs="Calibri"/>
                <w:b/>
                <w:bCs/>
                <w:i/>
                <w:iCs/>
                <w:color w:val="000000"/>
                <w:sz w:val="20"/>
                <w:szCs w:val="20"/>
              </w:rPr>
            </w:pPr>
            <w:r w:rsidRPr="00AD01C5">
              <w:rPr>
                <w:rFonts w:ascii="Calibri" w:eastAsia="Times New Roman" w:hAnsi="Calibri" w:cs="Calibri"/>
                <w:b/>
                <w:bCs/>
                <w:i/>
                <w:iCs/>
                <w:color w:val="000000"/>
                <w:sz w:val="20"/>
                <w:szCs w:val="20"/>
              </w:rPr>
              <w:t> </w:t>
            </w:r>
          </w:p>
        </w:tc>
        <w:tc>
          <w:tcPr>
            <w:tcW w:w="2976" w:type="dxa"/>
            <w:tcBorders>
              <w:top w:val="double" w:sz="4" w:space="0" w:color="A6A6A6"/>
              <w:left w:val="nil"/>
              <w:bottom w:val="single" w:sz="4" w:space="0" w:color="A6A6A6"/>
              <w:right w:val="single" w:sz="4" w:space="0" w:color="A6A6A6"/>
            </w:tcBorders>
            <w:noWrap/>
            <w:vAlign w:val="center"/>
            <w:hideMark/>
          </w:tcPr>
          <w:p w14:paraId="548DD59E" w14:textId="77777777" w:rsidR="00162229" w:rsidRPr="00AD01C5" w:rsidRDefault="00162229" w:rsidP="002A21C0">
            <w:pPr>
              <w:spacing w:before="20" w:after="20" w:line="240" w:lineRule="auto"/>
              <w:jc w:val="right"/>
              <w:rPr>
                <w:rFonts w:ascii="Calibri" w:eastAsia="Times New Roman" w:hAnsi="Calibri" w:cs="Calibri"/>
                <w:b/>
                <w:bCs/>
                <w:i/>
                <w:iCs/>
                <w:color w:val="000000"/>
                <w:sz w:val="20"/>
                <w:szCs w:val="20"/>
              </w:rPr>
            </w:pPr>
            <w:r w:rsidRPr="00AD01C5">
              <w:rPr>
                <w:rFonts w:ascii="Calibri" w:eastAsia="Calibri" w:hAnsi="Calibri" w:cs="Arial"/>
                <w:b/>
                <w:bCs/>
                <w:sz w:val="20"/>
                <w:szCs w:val="20"/>
              </w:rPr>
              <w:t>14.144.788</w:t>
            </w:r>
          </w:p>
        </w:tc>
      </w:tr>
    </w:tbl>
    <w:p w14:paraId="68DF93DF" w14:textId="1968D062" w:rsidR="00162229" w:rsidRPr="00AD01C5" w:rsidRDefault="00162229" w:rsidP="00162229">
      <w:pPr>
        <w:spacing w:after="200" w:line="240" w:lineRule="auto"/>
        <w:jc w:val="center"/>
        <w:rPr>
          <w:rFonts w:ascii="Calibri" w:eastAsia="Calibri" w:hAnsi="Calibri" w:cs="Arial"/>
          <w:i/>
          <w:color w:val="17406D"/>
          <w:sz w:val="18"/>
          <w:szCs w:val="18"/>
        </w:rPr>
      </w:pPr>
      <w:r w:rsidRPr="00AD01C5">
        <w:rPr>
          <w:rFonts w:ascii="Calibri" w:eastAsia="Calibri" w:hAnsi="Calibri" w:cs="Arial"/>
          <w:i/>
          <w:iCs/>
          <w:color w:val="17406D"/>
          <w:sz w:val="18"/>
          <w:szCs w:val="18"/>
        </w:rPr>
        <w:t xml:space="preserve">Tabella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Tabella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58</w:t>
      </w:r>
      <w:r w:rsidRPr="00AD01C5">
        <w:rPr>
          <w:rFonts w:ascii="Calibri" w:eastAsia="Calibri" w:hAnsi="Calibri" w:cs="Arial"/>
          <w:i/>
          <w:iCs/>
          <w:color w:val="17406D"/>
          <w:sz w:val="18"/>
          <w:szCs w:val="18"/>
        </w:rPr>
        <w:fldChar w:fldCharType="end"/>
      </w:r>
      <w:r w:rsidRPr="00AD01C5">
        <w:rPr>
          <w:rFonts w:ascii="Calibri" w:eastAsia="Calibri" w:hAnsi="Calibri" w:cs="Arial"/>
          <w:iCs/>
          <w:color w:val="17406D"/>
          <w:sz w:val="18"/>
          <w:szCs w:val="18"/>
        </w:rPr>
        <w:t xml:space="preserve"> – </w:t>
      </w:r>
      <w:r w:rsidRPr="00AD01C5">
        <w:rPr>
          <w:rFonts w:ascii="Calibri" w:eastAsia="Calibri" w:hAnsi="Calibri" w:cs="Arial"/>
          <w:i/>
          <w:color w:val="17406D"/>
          <w:sz w:val="18"/>
          <w:szCs w:val="18"/>
        </w:rPr>
        <w:t>Ipotesi 1: suddivisione in 4 lotti</w:t>
      </w:r>
    </w:p>
    <w:p w14:paraId="6438C759" w14:textId="0A874CD2"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Al fine di definire l’ipotesi 2 si ritiene opportuno prendere in considerazione le valutazioni descritte nell’analisi della domanda (capitolo </w:t>
      </w:r>
      <w:r w:rsidRPr="00AD01C5">
        <w:rPr>
          <w:rFonts w:ascii="Calibri" w:eastAsia="Calibri" w:hAnsi="Calibri" w:cs="Arial"/>
        </w:rPr>
        <w:fldChar w:fldCharType="begin"/>
      </w:r>
      <w:r w:rsidRPr="00AD01C5">
        <w:rPr>
          <w:rFonts w:ascii="Calibri" w:eastAsia="Calibri" w:hAnsi="Calibri" w:cs="Arial"/>
        </w:rPr>
        <w:instrText xml:space="preserve"> REF _Ref191387875 \r \h </w:instrText>
      </w:r>
      <w:r w:rsidRPr="00AD01C5">
        <w:rPr>
          <w:rFonts w:ascii="Calibri" w:eastAsia="Calibri" w:hAnsi="Calibri" w:cs="Arial"/>
        </w:rPr>
      </w:r>
      <w:r w:rsidRPr="00AD01C5">
        <w:rPr>
          <w:rFonts w:ascii="Calibri" w:eastAsia="Calibri" w:hAnsi="Calibri" w:cs="Arial"/>
        </w:rPr>
        <w:fldChar w:fldCharType="separate"/>
      </w:r>
      <w:r w:rsidR="00670903">
        <w:rPr>
          <w:rFonts w:ascii="Calibri" w:eastAsia="Calibri" w:hAnsi="Calibri" w:cs="Arial"/>
        </w:rPr>
        <w:t>3</w:t>
      </w:r>
      <w:r w:rsidRPr="00AD01C5">
        <w:rPr>
          <w:rFonts w:ascii="Calibri" w:eastAsia="Calibri" w:hAnsi="Calibri" w:cs="Arial"/>
        </w:rPr>
        <w:fldChar w:fldCharType="end"/>
      </w:r>
      <w:r w:rsidRPr="00AD01C5">
        <w:rPr>
          <w:rFonts w:ascii="Calibri" w:eastAsia="Calibri" w:hAnsi="Calibri" w:cs="Arial"/>
        </w:rPr>
        <w:t xml:space="preserve">), le particolarità geografiche del territorio e le reti di trasporto ferroviario ivi presenti, oltre a individuare un’aggregazione </w:t>
      </w:r>
      <w:r>
        <w:rPr>
          <w:rFonts w:ascii="Calibri" w:eastAsia="Calibri" w:hAnsi="Calibri" w:cs="Arial"/>
        </w:rPr>
        <w:t>sostenibile</w:t>
      </w:r>
      <w:r w:rsidRPr="00AD01C5">
        <w:rPr>
          <w:rFonts w:ascii="Calibri" w:eastAsia="Calibri" w:hAnsi="Calibri" w:cs="Arial"/>
        </w:rPr>
        <w:t xml:space="preserve"> in termini di produzione e tipologia di servizio. Tali considerazioni portano l’Agenzia a individuare </w:t>
      </w:r>
      <w:r>
        <w:rPr>
          <w:rFonts w:ascii="Calibri" w:eastAsia="Calibri" w:hAnsi="Calibri" w:cs="Arial"/>
        </w:rPr>
        <w:t>i</w:t>
      </w:r>
      <w:r w:rsidRPr="00AD01C5">
        <w:rPr>
          <w:rFonts w:ascii="Calibri" w:eastAsia="Calibri" w:hAnsi="Calibri" w:cs="Arial"/>
        </w:rPr>
        <w:t xml:space="preserve"> lotti così definiti: </w:t>
      </w:r>
    </w:p>
    <w:p w14:paraId="71448C67" w14:textId="06400FA8" w:rsidR="00162229" w:rsidRPr="00AD01C5" w:rsidRDefault="00162229" w:rsidP="00162229">
      <w:pPr>
        <w:numPr>
          <w:ilvl w:val="0"/>
          <w:numId w:val="84"/>
        </w:numPr>
        <w:spacing w:before="120" w:after="0" w:line="240" w:lineRule="auto"/>
        <w:rPr>
          <w:rFonts w:ascii="Calibri" w:eastAsia="Calibri" w:hAnsi="Calibri" w:cs="Arial"/>
        </w:rPr>
      </w:pPr>
      <w:r w:rsidRPr="00AD01C5">
        <w:rPr>
          <w:rFonts w:ascii="Calibri" w:eastAsia="Calibri" w:hAnsi="Calibri" w:cs="Arial"/>
        </w:rPr>
        <w:t xml:space="preserve">il lotto 1 </w:t>
      </w:r>
      <w:r>
        <w:rPr>
          <w:rFonts w:ascii="Calibri" w:eastAsia="Calibri" w:hAnsi="Calibri" w:cs="Arial"/>
        </w:rPr>
        <w:t>coincidente con la provincia di Asti (UR1)</w:t>
      </w:r>
      <w:r w:rsidRPr="00AD01C5">
        <w:rPr>
          <w:rFonts w:ascii="Calibri" w:eastAsia="Calibri" w:hAnsi="Calibri" w:cs="Arial"/>
        </w:rPr>
        <w:t xml:space="preserve"> caratterizzato da servizi urbani ed extraurbani, una </w:t>
      </w:r>
      <w:r>
        <w:rPr>
          <w:rFonts w:ascii="Calibri" w:eastAsia="Calibri" w:hAnsi="Calibri" w:cs="Arial"/>
        </w:rPr>
        <w:t xml:space="preserve">buona </w:t>
      </w:r>
      <w:r w:rsidRPr="00AD01C5">
        <w:rPr>
          <w:rFonts w:ascii="Calibri" w:eastAsia="Calibri" w:hAnsi="Calibri" w:cs="Arial"/>
        </w:rPr>
        <w:t>penetrazione del servizio ferroviario</w:t>
      </w:r>
      <w:r>
        <w:rPr>
          <w:rFonts w:ascii="Calibri" w:eastAsia="Calibri" w:hAnsi="Calibri" w:cs="Arial"/>
        </w:rPr>
        <w:t xml:space="preserve"> con servizi regionali e servizi afferenti al sistema del Servizio Ferroviario Metropolitano di Torino che prevede fra l’altro una connessione diretta con l’aeroporto di Torino,</w:t>
      </w:r>
      <w:r w:rsidRPr="00AD01C5">
        <w:rPr>
          <w:rFonts w:ascii="Calibri" w:eastAsia="Calibri" w:hAnsi="Calibri" w:cs="Arial"/>
        </w:rPr>
        <w:t xml:space="preserve"> </w:t>
      </w:r>
      <w:r w:rsidR="00270804">
        <w:rPr>
          <w:rFonts w:ascii="Calibri" w:eastAsia="Calibri" w:hAnsi="Calibri" w:cs="Arial"/>
        </w:rPr>
        <w:t>nonché</w:t>
      </w:r>
      <w:r w:rsidRPr="00AD01C5">
        <w:rPr>
          <w:rFonts w:ascii="Calibri" w:eastAsia="Calibri" w:hAnsi="Calibri" w:cs="Arial"/>
        </w:rPr>
        <w:t xml:space="preserve"> un ambito </w:t>
      </w:r>
      <w:r>
        <w:rPr>
          <w:rFonts w:ascii="Calibri" w:eastAsia="Calibri" w:hAnsi="Calibri" w:cs="Arial"/>
        </w:rPr>
        <w:t>rurale extraurbano</w:t>
      </w:r>
      <w:r w:rsidRPr="00AD01C5">
        <w:rPr>
          <w:rFonts w:ascii="Calibri" w:eastAsia="Calibri" w:hAnsi="Calibri" w:cs="Arial"/>
        </w:rPr>
        <w:t xml:space="preserve"> </w:t>
      </w:r>
      <w:r>
        <w:rPr>
          <w:rFonts w:ascii="Calibri" w:eastAsia="Calibri" w:hAnsi="Calibri" w:cs="Arial"/>
        </w:rPr>
        <w:t xml:space="preserve">prevalentemente </w:t>
      </w:r>
      <w:r w:rsidRPr="00AD01C5">
        <w:rPr>
          <w:rFonts w:ascii="Calibri" w:eastAsia="Calibri" w:hAnsi="Calibri" w:cs="Arial"/>
        </w:rPr>
        <w:t>collinare.</w:t>
      </w:r>
    </w:p>
    <w:p w14:paraId="6DCB3AE9" w14:textId="7CC92527" w:rsidR="00162229" w:rsidRPr="00AD01C5" w:rsidRDefault="00162229" w:rsidP="00162229">
      <w:pPr>
        <w:numPr>
          <w:ilvl w:val="0"/>
          <w:numId w:val="84"/>
        </w:numPr>
        <w:spacing w:before="120" w:after="0" w:line="240" w:lineRule="auto"/>
        <w:rPr>
          <w:rFonts w:ascii="Calibri" w:eastAsia="Calibri" w:hAnsi="Calibri" w:cs="Arial"/>
        </w:rPr>
      </w:pPr>
      <w:r w:rsidRPr="00AD01C5">
        <w:rPr>
          <w:rFonts w:ascii="Calibri" w:eastAsia="Calibri" w:hAnsi="Calibri" w:cs="Arial"/>
        </w:rPr>
        <w:t xml:space="preserve">il lotto 2 </w:t>
      </w:r>
      <w:r>
        <w:rPr>
          <w:rFonts w:ascii="Calibri" w:eastAsia="Calibri" w:hAnsi="Calibri" w:cs="Arial"/>
        </w:rPr>
        <w:t>AL coincidente con la provincia di Alessandria (UR2 e UR3)</w:t>
      </w:r>
      <w:r w:rsidRPr="00AD01C5">
        <w:rPr>
          <w:rFonts w:ascii="Calibri" w:eastAsia="Calibri" w:hAnsi="Calibri" w:cs="Arial"/>
        </w:rPr>
        <w:t xml:space="preserve"> caratterizzato come il lotto 1</w:t>
      </w:r>
      <w:r>
        <w:rPr>
          <w:rFonts w:ascii="Calibri" w:eastAsia="Calibri" w:hAnsi="Calibri" w:cs="Arial"/>
        </w:rPr>
        <w:t xml:space="preserve"> AT</w:t>
      </w:r>
      <w:r w:rsidRPr="00AD01C5">
        <w:rPr>
          <w:rFonts w:ascii="Calibri" w:eastAsia="Calibri" w:hAnsi="Calibri" w:cs="Arial"/>
        </w:rPr>
        <w:t xml:space="preserve"> sia da servizi urbani sia da servizi extraurbani, una presenza meno marcata dei servizi ferroviari </w:t>
      </w:r>
      <w:r>
        <w:rPr>
          <w:rFonts w:ascii="Calibri" w:eastAsia="Calibri" w:hAnsi="Calibri" w:cs="Arial"/>
        </w:rPr>
        <w:t xml:space="preserve">essendo presente solo servizi di carattere regionale, </w:t>
      </w:r>
      <w:r w:rsidR="00270804">
        <w:rPr>
          <w:rFonts w:ascii="Calibri" w:eastAsia="Calibri" w:hAnsi="Calibri" w:cs="Arial"/>
        </w:rPr>
        <w:t>nonché</w:t>
      </w:r>
      <w:r w:rsidRPr="00AD01C5">
        <w:rPr>
          <w:rFonts w:ascii="Calibri" w:eastAsia="Calibri" w:hAnsi="Calibri" w:cs="Arial"/>
        </w:rPr>
        <w:t xml:space="preserve"> un ambito </w:t>
      </w:r>
      <w:r>
        <w:rPr>
          <w:rFonts w:ascii="Calibri" w:eastAsia="Calibri" w:hAnsi="Calibri" w:cs="Arial"/>
        </w:rPr>
        <w:t xml:space="preserve">rurale </w:t>
      </w:r>
      <w:r w:rsidRPr="00AD01C5">
        <w:rPr>
          <w:rFonts w:ascii="Calibri" w:eastAsia="Calibri" w:hAnsi="Calibri" w:cs="Arial"/>
        </w:rPr>
        <w:t xml:space="preserve">extraurbano </w:t>
      </w:r>
      <w:r>
        <w:rPr>
          <w:rFonts w:ascii="Calibri" w:eastAsia="Calibri" w:hAnsi="Calibri" w:cs="Arial"/>
        </w:rPr>
        <w:t>più variegato con territori di pianura più estesi e territori collinari e montani nelle zone più periferiche</w:t>
      </w:r>
      <w:r w:rsidRPr="00AD01C5">
        <w:rPr>
          <w:rFonts w:ascii="Calibri" w:eastAsia="Calibri" w:hAnsi="Calibri" w:cs="Arial"/>
        </w:rPr>
        <w:t>.</w:t>
      </w:r>
    </w:p>
    <w:p w14:paraId="289FE146" w14:textId="77777777" w:rsidR="00162229" w:rsidRPr="00AD01C5" w:rsidRDefault="00162229" w:rsidP="00162229">
      <w:pPr>
        <w:spacing w:before="120" w:after="0" w:line="240" w:lineRule="auto"/>
        <w:rPr>
          <w:rFonts w:ascii="Calibri" w:eastAsia="Calibri" w:hAnsi="Calibri" w:cs="Arial"/>
        </w:rPr>
      </w:pPr>
      <w:bookmarkStart w:id="444" w:name="_Hlk205132420"/>
      <w:bookmarkStart w:id="445" w:name="_Toc197695730"/>
      <w:bookmarkStart w:id="446" w:name="_Toc204616539"/>
    </w:p>
    <w:tbl>
      <w:tblPr>
        <w:tblW w:w="9067" w:type="dxa"/>
        <w:tblCellMar>
          <w:left w:w="70" w:type="dxa"/>
          <w:right w:w="70" w:type="dxa"/>
        </w:tblCellMar>
        <w:tblLook w:val="04A0" w:firstRow="1" w:lastRow="0" w:firstColumn="1" w:lastColumn="0" w:noHBand="0" w:noVBand="1"/>
      </w:tblPr>
      <w:tblGrid>
        <w:gridCol w:w="2263"/>
        <w:gridCol w:w="4962"/>
        <w:gridCol w:w="1842"/>
      </w:tblGrid>
      <w:tr w:rsidR="00162229" w:rsidRPr="00AD01C5" w14:paraId="0563C346" w14:textId="77777777" w:rsidTr="002A21C0">
        <w:trPr>
          <w:trHeight w:val="567"/>
        </w:trPr>
        <w:tc>
          <w:tcPr>
            <w:tcW w:w="2263" w:type="dxa"/>
            <w:tcBorders>
              <w:top w:val="single" w:sz="4" w:space="0" w:color="A6A6A6"/>
              <w:left w:val="single" w:sz="4" w:space="0" w:color="A6A6A6"/>
              <w:bottom w:val="single" w:sz="4" w:space="0" w:color="A6A6A6"/>
              <w:right w:val="single" w:sz="4" w:space="0" w:color="A6A6A6"/>
            </w:tcBorders>
            <w:shd w:val="clear" w:color="auto" w:fill="A5C34C" w:themeFill="accent6" w:themeFillShade="BF"/>
            <w:vAlign w:val="center"/>
            <w:hideMark/>
          </w:tcPr>
          <w:bookmarkEnd w:id="444"/>
          <w:p w14:paraId="1892122C" w14:textId="77777777" w:rsidR="00162229" w:rsidRPr="00AD01C5" w:rsidRDefault="00162229" w:rsidP="002A21C0">
            <w:pPr>
              <w:spacing w:after="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Lotti</w:t>
            </w:r>
          </w:p>
        </w:tc>
        <w:tc>
          <w:tcPr>
            <w:tcW w:w="4962" w:type="dxa"/>
            <w:tcBorders>
              <w:top w:val="single" w:sz="4" w:space="0" w:color="A6A6A6"/>
              <w:left w:val="nil"/>
              <w:bottom w:val="nil"/>
              <w:right w:val="single" w:sz="4" w:space="0" w:color="A6A6A6"/>
            </w:tcBorders>
            <w:shd w:val="clear" w:color="auto" w:fill="A5C34C" w:themeFill="accent6" w:themeFillShade="BF"/>
            <w:vAlign w:val="center"/>
            <w:hideMark/>
          </w:tcPr>
          <w:p w14:paraId="36CFF05C" w14:textId="77777777" w:rsidR="00162229" w:rsidRPr="00AD01C5" w:rsidRDefault="00162229" w:rsidP="002A21C0">
            <w:pPr>
              <w:spacing w:after="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Descrizione</w:t>
            </w:r>
          </w:p>
        </w:tc>
        <w:tc>
          <w:tcPr>
            <w:tcW w:w="1842" w:type="dxa"/>
            <w:tcBorders>
              <w:top w:val="single" w:sz="4" w:space="0" w:color="A6A6A6"/>
              <w:left w:val="nil"/>
              <w:bottom w:val="nil"/>
              <w:right w:val="single" w:sz="4" w:space="0" w:color="A6A6A6"/>
            </w:tcBorders>
            <w:shd w:val="clear" w:color="auto" w:fill="A5C34C" w:themeFill="accent6" w:themeFillShade="BF"/>
            <w:vAlign w:val="center"/>
            <w:hideMark/>
          </w:tcPr>
          <w:p w14:paraId="6244D31C" w14:textId="77777777" w:rsidR="00162229" w:rsidRPr="00AD01C5" w:rsidRDefault="00162229" w:rsidP="002A21C0">
            <w:pPr>
              <w:spacing w:after="0" w:line="240" w:lineRule="auto"/>
              <w:jc w:val="center"/>
              <w:rPr>
                <w:rFonts w:ascii="Calibri" w:eastAsia="Times New Roman" w:hAnsi="Calibri" w:cs="Calibri"/>
                <w:b/>
                <w:bCs/>
                <w:color w:val="000000"/>
                <w:sz w:val="20"/>
                <w:szCs w:val="20"/>
              </w:rPr>
            </w:pPr>
            <w:r w:rsidRPr="00AD01C5">
              <w:rPr>
                <w:rFonts w:ascii="Calibri" w:eastAsia="Times New Roman" w:hAnsi="Calibri" w:cs="Calibri"/>
                <w:b/>
                <w:bCs/>
                <w:color w:val="000000"/>
                <w:sz w:val="20"/>
                <w:szCs w:val="20"/>
              </w:rPr>
              <w:t>Produzione</w:t>
            </w:r>
            <w:r w:rsidRPr="00AD01C5">
              <w:rPr>
                <w:rFonts w:ascii="Calibri" w:eastAsia="Times New Roman" w:hAnsi="Calibri" w:cs="Calibri"/>
                <w:b/>
                <w:bCs/>
                <w:color w:val="000000"/>
                <w:sz w:val="20"/>
                <w:szCs w:val="20"/>
              </w:rPr>
              <w:br/>
              <w:t>(veic-km/anno)</w:t>
            </w:r>
          </w:p>
        </w:tc>
      </w:tr>
      <w:tr w:rsidR="00162229" w:rsidRPr="00AD01C5" w14:paraId="6BF63837" w14:textId="77777777" w:rsidTr="002A21C0">
        <w:trPr>
          <w:trHeight w:val="567"/>
        </w:trPr>
        <w:tc>
          <w:tcPr>
            <w:tcW w:w="2263" w:type="dxa"/>
            <w:tcBorders>
              <w:top w:val="nil"/>
              <w:left w:val="single" w:sz="4" w:space="0" w:color="A6A6A6"/>
              <w:bottom w:val="single" w:sz="4" w:space="0" w:color="A6A6A6"/>
              <w:right w:val="single" w:sz="4" w:space="0" w:color="A6A6A6"/>
            </w:tcBorders>
            <w:noWrap/>
            <w:vAlign w:val="center"/>
            <w:hideMark/>
          </w:tcPr>
          <w:p w14:paraId="5F470FB2" w14:textId="77777777" w:rsidR="00162229" w:rsidRPr="00AD01C5" w:rsidRDefault="00162229" w:rsidP="002A21C0">
            <w:pPr>
              <w:spacing w:after="0" w:line="240" w:lineRule="auto"/>
              <w:jc w:val="center"/>
              <w:rPr>
                <w:rFonts w:ascii="Calibri" w:eastAsia="Times New Roman" w:hAnsi="Calibri" w:cs="Calibri"/>
                <w:color w:val="000000"/>
                <w:sz w:val="20"/>
                <w:szCs w:val="20"/>
              </w:rPr>
            </w:pPr>
            <w:r w:rsidRPr="00AD01C5">
              <w:rPr>
                <w:rFonts w:ascii="Calibri" w:eastAsia="Times New Roman" w:hAnsi="Calibri" w:cs="Calibri"/>
                <w:color w:val="000000"/>
                <w:sz w:val="20"/>
                <w:szCs w:val="20"/>
              </w:rPr>
              <w:t xml:space="preserve">Lotto 1 </w:t>
            </w:r>
            <w:r>
              <w:rPr>
                <w:rFonts w:ascii="Calibri" w:eastAsia="Times New Roman" w:hAnsi="Calibri" w:cs="Calibri"/>
                <w:color w:val="000000"/>
                <w:sz w:val="20"/>
                <w:szCs w:val="20"/>
              </w:rPr>
              <w:t xml:space="preserve">AT </w:t>
            </w:r>
            <w:r w:rsidRPr="00AD01C5">
              <w:rPr>
                <w:rFonts w:ascii="Calibri" w:eastAsia="Times New Roman" w:hAnsi="Calibri" w:cs="Calibri"/>
                <w:color w:val="000000"/>
                <w:sz w:val="20"/>
                <w:szCs w:val="20"/>
              </w:rPr>
              <w:t>(UR1)</w:t>
            </w:r>
          </w:p>
        </w:tc>
        <w:tc>
          <w:tcPr>
            <w:tcW w:w="4962" w:type="dxa"/>
            <w:tcBorders>
              <w:top w:val="single" w:sz="4" w:space="0" w:color="A6A6A6"/>
              <w:left w:val="nil"/>
              <w:bottom w:val="single" w:sz="4" w:space="0" w:color="A6A6A6"/>
              <w:right w:val="single" w:sz="4" w:space="0" w:color="A6A6A6"/>
            </w:tcBorders>
            <w:vAlign w:val="center"/>
            <w:hideMark/>
          </w:tcPr>
          <w:p w14:paraId="44321381"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Servizi Urbani ed extraurbani di Asti Canelli, e Villanova D’Asti</w:t>
            </w:r>
          </w:p>
        </w:tc>
        <w:tc>
          <w:tcPr>
            <w:tcW w:w="1842" w:type="dxa"/>
            <w:tcBorders>
              <w:top w:val="single" w:sz="4" w:space="0" w:color="A6A6A6"/>
              <w:left w:val="nil"/>
              <w:bottom w:val="single" w:sz="4" w:space="0" w:color="A6A6A6"/>
              <w:right w:val="single" w:sz="4" w:space="0" w:color="A6A6A6"/>
            </w:tcBorders>
            <w:noWrap/>
            <w:vAlign w:val="center"/>
            <w:hideMark/>
          </w:tcPr>
          <w:p w14:paraId="50230EA9" w14:textId="77777777" w:rsidR="00162229" w:rsidRPr="00AD01C5" w:rsidRDefault="00162229" w:rsidP="002A21C0">
            <w:pPr>
              <w:spacing w:after="0" w:line="240" w:lineRule="auto"/>
              <w:jc w:val="right"/>
              <w:rPr>
                <w:rFonts w:ascii="Calibri" w:eastAsia="Times New Roman" w:hAnsi="Calibri" w:cs="Calibri"/>
                <w:color w:val="000000"/>
                <w:sz w:val="20"/>
                <w:szCs w:val="20"/>
              </w:rPr>
            </w:pPr>
            <w:r w:rsidRPr="00AD01C5">
              <w:rPr>
                <w:rFonts w:ascii="Calibri" w:eastAsia="Calibri" w:hAnsi="Calibri" w:cs="Arial"/>
                <w:sz w:val="20"/>
                <w:szCs w:val="20"/>
              </w:rPr>
              <w:t>5.402.796</w:t>
            </w:r>
          </w:p>
        </w:tc>
      </w:tr>
      <w:tr w:rsidR="00162229" w:rsidRPr="00AD01C5" w14:paraId="1ED9157C" w14:textId="77777777" w:rsidTr="002A21C0">
        <w:trPr>
          <w:trHeight w:val="567"/>
        </w:trPr>
        <w:tc>
          <w:tcPr>
            <w:tcW w:w="2263" w:type="dxa"/>
            <w:tcBorders>
              <w:top w:val="nil"/>
              <w:left w:val="single" w:sz="4" w:space="0" w:color="A6A6A6"/>
              <w:bottom w:val="double" w:sz="4" w:space="0" w:color="A6A6A6"/>
              <w:right w:val="single" w:sz="4" w:space="0" w:color="A6A6A6"/>
            </w:tcBorders>
            <w:noWrap/>
            <w:vAlign w:val="center"/>
            <w:hideMark/>
          </w:tcPr>
          <w:p w14:paraId="5FD7997A" w14:textId="77777777" w:rsidR="00162229" w:rsidRPr="00AD01C5" w:rsidRDefault="00162229" w:rsidP="002A21C0">
            <w:pPr>
              <w:spacing w:after="0" w:line="240" w:lineRule="auto"/>
              <w:jc w:val="center"/>
              <w:rPr>
                <w:rFonts w:ascii="Calibri" w:eastAsia="Times New Roman" w:hAnsi="Calibri" w:cs="Calibri"/>
                <w:color w:val="000000"/>
                <w:sz w:val="20"/>
                <w:szCs w:val="20"/>
              </w:rPr>
            </w:pPr>
            <w:r w:rsidRPr="00AD01C5">
              <w:rPr>
                <w:rFonts w:ascii="Calibri" w:eastAsia="Times New Roman" w:hAnsi="Calibri" w:cs="Calibri"/>
                <w:color w:val="000000"/>
                <w:sz w:val="20"/>
                <w:szCs w:val="20"/>
              </w:rPr>
              <w:t xml:space="preserve">Lotto 2 </w:t>
            </w:r>
            <w:r>
              <w:rPr>
                <w:rFonts w:ascii="Calibri" w:eastAsia="Times New Roman" w:hAnsi="Calibri" w:cs="Calibri"/>
                <w:color w:val="000000"/>
                <w:sz w:val="20"/>
                <w:szCs w:val="20"/>
              </w:rPr>
              <w:t xml:space="preserve">AL </w:t>
            </w:r>
            <w:r w:rsidRPr="00AD01C5">
              <w:rPr>
                <w:rFonts w:ascii="Calibri" w:eastAsia="Times New Roman" w:hAnsi="Calibri" w:cs="Calibri"/>
                <w:color w:val="000000"/>
                <w:sz w:val="20"/>
                <w:szCs w:val="20"/>
              </w:rPr>
              <w:t>(UR2+UR3)</w:t>
            </w:r>
          </w:p>
        </w:tc>
        <w:tc>
          <w:tcPr>
            <w:tcW w:w="4962" w:type="dxa"/>
            <w:tcBorders>
              <w:top w:val="nil"/>
              <w:left w:val="nil"/>
              <w:bottom w:val="double" w:sz="4" w:space="0" w:color="A6A6A6"/>
              <w:right w:val="single" w:sz="4" w:space="0" w:color="A6A6A6"/>
            </w:tcBorders>
            <w:vAlign w:val="center"/>
            <w:hideMark/>
          </w:tcPr>
          <w:p w14:paraId="6D27D521"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sidRPr="00AD01C5">
              <w:rPr>
                <w:rFonts w:ascii="Calibri" w:eastAsia="Times New Roman" w:hAnsi="Calibri" w:cs="Calibri"/>
                <w:color w:val="000000"/>
                <w:sz w:val="20"/>
                <w:szCs w:val="20"/>
              </w:rPr>
              <w:t>Servizi Urbani ed extraurbani di Alessandria, Casale Monferrato, Altavilla, Novi Ligure ed Ovada</w:t>
            </w:r>
          </w:p>
        </w:tc>
        <w:tc>
          <w:tcPr>
            <w:tcW w:w="1842" w:type="dxa"/>
            <w:tcBorders>
              <w:top w:val="nil"/>
              <w:left w:val="nil"/>
              <w:bottom w:val="double" w:sz="4" w:space="0" w:color="A6A6A6"/>
              <w:right w:val="single" w:sz="4" w:space="0" w:color="A6A6A6"/>
            </w:tcBorders>
            <w:noWrap/>
            <w:vAlign w:val="center"/>
            <w:hideMark/>
          </w:tcPr>
          <w:p w14:paraId="2C283DD6" w14:textId="77777777" w:rsidR="00162229" w:rsidRPr="00AD01C5" w:rsidRDefault="00162229" w:rsidP="002A21C0">
            <w:pPr>
              <w:spacing w:after="0" w:line="240" w:lineRule="auto"/>
              <w:jc w:val="right"/>
              <w:rPr>
                <w:rFonts w:ascii="Calibri" w:eastAsia="Times New Roman" w:hAnsi="Calibri" w:cs="Calibri"/>
                <w:color w:val="000000"/>
                <w:sz w:val="20"/>
                <w:szCs w:val="20"/>
              </w:rPr>
            </w:pPr>
            <w:r w:rsidRPr="00AD01C5">
              <w:rPr>
                <w:rFonts w:ascii="Calibri" w:eastAsia="Calibri" w:hAnsi="Calibri" w:cs="Arial"/>
                <w:sz w:val="20"/>
                <w:szCs w:val="20"/>
              </w:rPr>
              <w:t>8.</w:t>
            </w:r>
            <w:r>
              <w:rPr>
                <w:rFonts w:ascii="Calibri" w:eastAsia="Calibri" w:hAnsi="Calibri" w:cs="Arial"/>
                <w:sz w:val="20"/>
                <w:szCs w:val="20"/>
              </w:rPr>
              <w:t>467.490</w:t>
            </w:r>
          </w:p>
        </w:tc>
      </w:tr>
      <w:tr w:rsidR="00162229" w:rsidRPr="00AD01C5" w14:paraId="4B8027C5" w14:textId="77777777" w:rsidTr="002A21C0">
        <w:trPr>
          <w:trHeight w:val="567"/>
        </w:trPr>
        <w:tc>
          <w:tcPr>
            <w:tcW w:w="2263" w:type="dxa"/>
            <w:tcBorders>
              <w:top w:val="nil"/>
              <w:left w:val="single" w:sz="4" w:space="0" w:color="A6A6A6"/>
              <w:bottom w:val="double" w:sz="4" w:space="0" w:color="A6A6A6"/>
              <w:right w:val="single" w:sz="4" w:space="0" w:color="A6A6A6"/>
            </w:tcBorders>
            <w:noWrap/>
            <w:vAlign w:val="center"/>
          </w:tcPr>
          <w:p w14:paraId="0919E841" w14:textId="77777777" w:rsidR="00162229" w:rsidRPr="00AD01C5" w:rsidRDefault="00162229" w:rsidP="002A21C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Lotto ADD</w:t>
            </w:r>
          </w:p>
        </w:tc>
        <w:tc>
          <w:tcPr>
            <w:tcW w:w="4962" w:type="dxa"/>
            <w:tcBorders>
              <w:top w:val="nil"/>
              <w:left w:val="nil"/>
              <w:bottom w:val="double" w:sz="4" w:space="0" w:color="A6A6A6"/>
              <w:right w:val="single" w:sz="4" w:space="0" w:color="A6A6A6"/>
            </w:tcBorders>
            <w:vAlign w:val="center"/>
          </w:tcPr>
          <w:p w14:paraId="41EFAD8D" w14:textId="77777777" w:rsidR="00162229" w:rsidRPr="00AD01C5" w:rsidRDefault="00162229" w:rsidP="002A21C0">
            <w:pPr>
              <w:spacing w:after="0" w:line="240" w:lineRule="auto"/>
              <w:jc w:val="left"/>
              <w:rPr>
                <w:rFonts w:ascii="Calibri" w:eastAsia="Times New Roman" w:hAnsi="Calibri" w:cs="Calibri"/>
                <w:color w:val="000000"/>
                <w:sz w:val="20"/>
                <w:szCs w:val="20"/>
              </w:rPr>
            </w:pPr>
            <w:r>
              <w:rPr>
                <w:rFonts w:ascii="Calibri" w:eastAsia="Times New Roman" w:hAnsi="Calibri" w:cs="Calibri"/>
                <w:color w:val="000000"/>
                <w:sz w:val="20"/>
                <w:szCs w:val="20"/>
              </w:rPr>
              <w:t>Servizi extraurbani della Val Borbera</w:t>
            </w:r>
          </w:p>
        </w:tc>
        <w:tc>
          <w:tcPr>
            <w:tcW w:w="1842" w:type="dxa"/>
            <w:tcBorders>
              <w:top w:val="nil"/>
              <w:left w:val="nil"/>
              <w:bottom w:val="double" w:sz="4" w:space="0" w:color="A6A6A6"/>
              <w:right w:val="single" w:sz="4" w:space="0" w:color="A6A6A6"/>
            </w:tcBorders>
            <w:noWrap/>
            <w:vAlign w:val="center"/>
          </w:tcPr>
          <w:p w14:paraId="22E1CCF2" w14:textId="77777777" w:rsidR="00162229" w:rsidRPr="00AD01C5" w:rsidRDefault="00162229" w:rsidP="002A21C0">
            <w:pPr>
              <w:spacing w:after="0" w:line="240" w:lineRule="auto"/>
              <w:jc w:val="right"/>
              <w:rPr>
                <w:rFonts w:ascii="Calibri" w:eastAsia="Calibri" w:hAnsi="Calibri" w:cs="Arial"/>
                <w:sz w:val="20"/>
                <w:szCs w:val="20"/>
              </w:rPr>
            </w:pPr>
            <w:r>
              <w:rPr>
                <w:rFonts w:ascii="Calibri" w:eastAsia="Calibri" w:hAnsi="Calibri" w:cs="Arial"/>
                <w:sz w:val="20"/>
                <w:szCs w:val="20"/>
              </w:rPr>
              <w:t>274.502</w:t>
            </w:r>
          </w:p>
        </w:tc>
      </w:tr>
      <w:tr w:rsidR="00162229" w:rsidRPr="00AD01C5" w14:paraId="551633B4" w14:textId="77777777" w:rsidTr="002A21C0">
        <w:trPr>
          <w:trHeight w:val="567"/>
        </w:trPr>
        <w:tc>
          <w:tcPr>
            <w:tcW w:w="2263" w:type="dxa"/>
            <w:tcBorders>
              <w:top w:val="double" w:sz="4" w:space="0" w:color="A6A6A6"/>
              <w:left w:val="single" w:sz="4" w:space="0" w:color="A6A6A6"/>
              <w:bottom w:val="single" w:sz="4" w:space="0" w:color="A6A6A6"/>
              <w:right w:val="single" w:sz="4" w:space="0" w:color="A6A6A6"/>
            </w:tcBorders>
            <w:noWrap/>
            <w:vAlign w:val="center"/>
            <w:hideMark/>
          </w:tcPr>
          <w:p w14:paraId="0E8291D4" w14:textId="77777777" w:rsidR="00162229" w:rsidRPr="00AD01C5" w:rsidRDefault="00162229" w:rsidP="002A21C0">
            <w:pPr>
              <w:spacing w:after="0" w:line="240" w:lineRule="auto"/>
              <w:jc w:val="center"/>
              <w:rPr>
                <w:rFonts w:ascii="Calibri" w:eastAsia="Times New Roman" w:hAnsi="Calibri" w:cs="Calibri"/>
                <w:b/>
                <w:bCs/>
                <w:i/>
                <w:iCs/>
                <w:color w:val="000000"/>
                <w:sz w:val="20"/>
                <w:szCs w:val="20"/>
              </w:rPr>
            </w:pPr>
            <w:r w:rsidRPr="00AD01C5">
              <w:rPr>
                <w:rFonts w:ascii="Calibri" w:eastAsia="Times New Roman" w:hAnsi="Calibri" w:cs="Calibri"/>
                <w:b/>
                <w:bCs/>
                <w:i/>
                <w:iCs/>
                <w:color w:val="000000"/>
                <w:sz w:val="20"/>
                <w:szCs w:val="20"/>
              </w:rPr>
              <w:t>Totale</w:t>
            </w:r>
          </w:p>
        </w:tc>
        <w:tc>
          <w:tcPr>
            <w:tcW w:w="4962" w:type="dxa"/>
            <w:tcBorders>
              <w:top w:val="double" w:sz="4" w:space="0" w:color="A6A6A6"/>
              <w:left w:val="nil"/>
              <w:bottom w:val="single" w:sz="4" w:space="0" w:color="A6A6A6"/>
              <w:right w:val="single" w:sz="4" w:space="0" w:color="A6A6A6"/>
            </w:tcBorders>
            <w:noWrap/>
            <w:vAlign w:val="center"/>
            <w:hideMark/>
          </w:tcPr>
          <w:p w14:paraId="42211CA6" w14:textId="77777777" w:rsidR="00162229" w:rsidRPr="00AD01C5" w:rsidRDefault="00162229" w:rsidP="002A21C0">
            <w:pPr>
              <w:spacing w:after="0" w:line="240" w:lineRule="auto"/>
              <w:jc w:val="center"/>
              <w:rPr>
                <w:rFonts w:ascii="Calibri" w:eastAsia="Times New Roman" w:hAnsi="Calibri" w:cs="Calibri"/>
                <w:b/>
                <w:bCs/>
                <w:i/>
                <w:iCs/>
                <w:color w:val="000000"/>
                <w:sz w:val="20"/>
                <w:szCs w:val="20"/>
              </w:rPr>
            </w:pPr>
            <w:r w:rsidRPr="00AD01C5">
              <w:rPr>
                <w:rFonts w:ascii="Calibri" w:eastAsia="Times New Roman" w:hAnsi="Calibri" w:cs="Calibri"/>
                <w:b/>
                <w:bCs/>
                <w:i/>
                <w:iCs/>
                <w:color w:val="000000"/>
                <w:sz w:val="20"/>
                <w:szCs w:val="20"/>
              </w:rPr>
              <w:t> </w:t>
            </w:r>
          </w:p>
        </w:tc>
        <w:tc>
          <w:tcPr>
            <w:tcW w:w="1842" w:type="dxa"/>
            <w:tcBorders>
              <w:top w:val="double" w:sz="4" w:space="0" w:color="A6A6A6"/>
              <w:left w:val="nil"/>
              <w:bottom w:val="single" w:sz="4" w:space="0" w:color="A6A6A6"/>
              <w:right w:val="single" w:sz="4" w:space="0" w:color="A6A6A6"/>
            </w:tcBorders>
            <w:noWrap/>
            <w:vAlign w:val="center"/>
            <w:hideMark/>
          </w:tcPr>
          <w:p w14:paraId="0B54F3B6" w14:textId="77777777" w:rsidR="00162229" w:rsidRPr="00AD01C5" w:rsidRDefault="00162229" w:rsidP="002A21C0">
            <w:pPr>
              <w:spacing w:after="0" w:line="240" w:lineRule="auto"/>
              <w:jc w:val="right"/>
              <w:rPr>
                <w:rFonts w:ascii="Calibri" w:eastAsia="Times New Roman" w:hAnsi="Calibri" w:cs="Calibri"/>
                <w:b/>
                <w:bCs/>
                <w:i/>
                <w:iCs/>
                <w:color w:val="000000"/>
                <w:sz w:val="20"/>
                <w:szCs w:val="20"/>
              </w:rPr>
            </w:pPr>
            <w:r w:rsidRPr="00AD01C5">
              <w:rPr>
                <w:rFonts w:ascii="Calibri" w:eastAsia="Calibri" w:hAnsi="Calibri" w:cs="Arial"/>
                <w:b/>
                <w:bCs/>
                <w:sz w:val="20"/>
                <w:szCs w:val="20"/>
              </w:rPr>
              <w:t>14.144.788</w:t>
            </w:r>
          </w:p>
        </w:tc>
      </w:tr>
    </w:tbl>
    <w:p w14:paraId="4FCA6F22" w14:textId="04A8287A" w:rsidR="00162229" w:rsidRPr="00AD01C5" w:rsidRDefault="00162229" w:rsidP="00162229">
      <w:pPr>
        <w:spacing w:after="200" w:line="240" w:lineRule="auto"/>
        <w:jc w:val="center"/>
        <w:rPr>
          <w:rFonts w:ascii="Calibri" w:eastAsia="Calibri" w:hAnsi="Calibri" w:cs="Arial"/>
          <w:iCs/>
          <w:color w:val="17406D"/>
          <w:sz w:val="18"/>
          <w:szCs w:val="18"/>
        </w:rPr>
      </w:pPr>
      <w:r w:rsidRPr="00AD01C5">
        <w:rPr>
          <w:rFonts w:ascii="Calibri" w:eastAsia="Calibri" w:hAnsi="Calibri" w:cs="Arial"/>
          <w:i/>
          <w:iCs/>
          <w:color w:val="17406D"/>
          <w:sz w:val="18"/>
          <w:szCs w:val="18"/>
        </w:rPr>
        <w:t xml:space="preserve">Tabella </w:t>
      </w:r>
      <w:r w:rsidRPr="00AD01C5">
        <w:rPr>
          <w:rFonts w:ascii="Calibri" w:eastAsia="Calibri" w:hAnsi="Calibri" w:cs="Arial"/>
          <w:i/>
          <w:iCs/>
          <w:color w:val="17406D"/>
          <w:sz w:val="18"/>
          <w:szCs w:val="18"/>
        </w:rPr>
        <w:fldChar w:fldCharType="begin"/>
      </w:r>
      <w:r w:rsidRPr="00AD01C5">
        <w:rPr>
          <w:rFonts w:ascii="Calibri" w:eastAsia="Calibri" w:hAnsi="Calibri" w:cs="Arial"/>
          <w:i/>
          <w:iCs/>
          <w:color w:val="17406D"/>
          <w:sz w:val="18"/>
          <w:szCs w:val="18"/>
        </w:rPr>
        <w:instrText xml:space="preserve"> SEQ Tabella \* ARABIC </w:instrText>
      </w:r>
      <w:r w:rsidRPr="00AD01C5">
        <w:rPr>
          <w:rFonts w:ascii="Calibri" w:eastAsia="Calibri" w:hAnsi="Calibri" w:cs="Arial"/>
          <w:i/>
          <w:iCs/>
          <w:color w:val="17406D"/>
          <w:sz w:val="18"/>
          <w:szCs w:val="18"/>
        </w:rPr>
        <w:fldChar w:fldCharType="separate"/>
      </w:r>
      <w:r w:rsidR="00670903">
        <w:rPr>
          <w:rFonts w:ascii="Calibri" w:eastAsia="Calibri" w:hAnsi="Calibri" w:cs="Arial"/>
          <w:i/>
          <w:iCs/>
          <w:noProof/>
          <w:color w:val="17406D"/>
          <w:sz w:val="18"/>
          <w:szCs w:val="18"/>
        </w:rPr>
        <w:t>59</w:t>
      </w:r>
      <w:r w:rsidRPr="00AD01C5">
        <w:rPr>
          <w:rFonts w:ascii="Calibri" w:eastAsia="Calibri" w:hAnsi="Calibri" w:cs="Arial"/>
          <w:i/>
          <w:iCs/>
          <w:color w:val="17406D"/>
          <w:sz w:val="18"/>
          <w:szCs w:val="18"/>
        </w:rPr>
        <w:fldChar w:fldCharType="end"/>
      </w:r>
      <w:r w:rsidRPr="00AD01C5">
        <w:rPr>
          <w:rFonts w:ascii="Calibri" w:eastAsia="Calibri" w:hAnsi="Calibri" w:cs="Arial"/>
          <w:iCs/>
          <w:color w:val="17406D"/>
          <w:sz w:val="18"/>
          <w:szCs w:val="18"/>
        </w:rPr>
        <w:t xml:space="preserve"> – Ipotesi 2: suddivisione in </w:t>
      </w:r>
      <w:r>
        <w:rPr>
          <w:rFonts w:ascii="Calibri" w:eastAsia="Calibri" w:hAnsi="Calibri" w:cs="Arial"/>
          <w:iCs/>
          <w:color w:val="17406D"/>
          <w:sz w:val="18"/>
          <w:szCs w:val="18"/>
        </w:rPr>
        <w:t>3</w:t>
      </w:r>
      <w:r w:rsidRPr="00AD01C5">
        <w:rPr>
          <w:rFonts w:ascii="Calibri" w:eastAsia="Calibri" w:hAnsi="Calibri" w:cs="Arial"/>
          <w:iCs/>
          <w:color w:val="17406D"/>
          <w:sz w:val="18"/>
          <w:szCs w:val="18"/>
        </w:rPr>
        <w:t xml:space="preserve"> lotti</w:t>
      </w:r>
    </w:p>
    <w:p w14:paraId="24165707" w14:textId="77777777" w:rsidR="00162229" w:rsidRPr="007B4FBE" w:rsidRDefault="00162229" w:rsidP="00162229">
      <w:pPr>
        <w:spacing w:before="120" w:after="0" w:line="240" w:lineRule="auto"/>
        <w:rPr>
          <w:rFonts w:ascii="Calibri" w:eastAsia="Calibri" w:hAnsi="Calibri" w:cs="Arial"/>
        </w:rPr>
      </w:pPr>
      <w:r w:rsidRPr="007B4FBE">
        <w:rPr>
          <w:rFonts w:ascii="Calibri" w:eastAsia="Calibri" w:hAnsi="Calibri" w:cs="Arial"/>
        </w:rPr>
        <w:t xml:space="preserve">La figura seguente fornisce una rappresentazione degli ambiti territoriali che individuano i tre lotti di servizi afferenti al Bacino </w:t>
      </w:r>
      <w:r>
        <w:rPr>
          <w:rFonts w:ascii="Calibri" w:eastAsia="Calibri" w:hAnsi="Calibri" w:cs="Arial"/>
        </w:rPr>
        <w:t>Sud Est</w:t>
      </w:r>
      <w:r w:rsidRPr="007B4FBE">
        <w:rPr>
          <w:rFonts w:ascii="Calibri" w:eastAsia="Calibri" w:hAnsi="Calibri" w:cs="Arial"/>
        </w:rPr>
        <w:t>.</w:t>
      </w:r>
    </w:p>
    <w:p w14:paraId="08155BB2" w14:textId="77777777" w:rsidR="00162229" w:rsidRDefault="00162229" w:rsidP="00162229">
      <w:pPr>
        <w:spacing w:before="120" w:after="0" w:line="240" w:lineRule="auto"/>
        <w:jc w:val="center"/>
        <w:rPr>
          <w:rFonts w:ascii="Calibri" w:eastAsia="Calibri" w:hAnsi="Calibri" w:cs="Arial"/>
          <w:i/>
          <w:iCs/>
          <w:color w:val="003366"/>
          <w:sz w:val="18"/>
          <w:szCs w:val="18"/>
        </w:rPr>
      </w:pPr>
      <w:r>
        <w:rPr>
          <w:rFonts w:ascii="Calibri" w:eastAsia="Calibri" w:hAnsi="Calibri" w:cs="Arial"/>
          <w:i/>
          <w:iCs/>
          <w:noProof/>
          <w:color w:val="003366"/>
          <w:sz w:val="18"/>
          <w:szCs w:val="18"/>
        </w:rPr>
        <w:lastRenderedPageBreak/>
        <mc:AlternateContent>
          <mc:Choice Requires="wps">
            <w:drawing>
              <wp:anchor distT="0" distB="0" distL="114300" distR="114300" simplePos="0" relativeHeight="251668484" behindDoc="0" locked="0" layoutInCell="1" allowOverlap="1" wp14:anchorId="245559CA" wp14:editId="79626CA7">
                <wp:simplePos x="0" y="0"/>
                <wp:positionH relativeFrom="column">
                  <wp:posOffset>1780290</wp:posOffset>
                </wp:positionH>
                <wp:positionV relativeFrom="paragraph">
                  <wp:posOffset>1193972</wp:posOffset>
                </wp:positionV>
                <wp:extent cx="2615139" cy="1216711"/>
                <wp:effectExtent l="108585" t="0" r="103505" b="0"/>
                <wp:wrapNone/>
                <wp:docPr id="817291834" name="Ovale 6"/>
                <wp:cNvGraphicFramePr/>
                <a:graphic xmlns:a="http://schemas.openxmlformats.org/drawingml/2006/main">
                  <a:graphicData uri="http://schemas.microsoft.com/office/word/2010/wordprocessingShape">
                    <wps:wsp>
                      <wps:cNvSpPr/>
                      <wps:spPr>
                        <a:xfrm rot="4389881">
                          <a:off x="0" y="0"/>
                          <a:ext cx="2615139" cy="1216711"/>
                        </a:xfrm>
                        <a:prstGeom prst="ellipse">
                          <a:avLst/>
                        </a:pr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4312A9" id="Ovale 6" o:spid="_x0000_s1026" style="position:absolute;margin-left:140.2pt;margin-top:94pt;width:205.9pt;height:95.8pt;rotation:4794921fd;z-index:251668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" filled="f" strokecolor="#ffc000" strokeweight="1.75pt">
                <v:stroke endcap="round"/>
              </v:oval>
            </w:pict>
          </mc:Fallback>
        </mc:AlternateContent>
      </w:r>
      <w:r>
        <w:rPr>
          <w:rFonts w:ascii="Calibri" w:eastAsia="Calibri" w:hAnsi="Calibri" w:cs="Arial"/>
          <w:i/>
          <w:iCs/>
          <w:noProof/>
          <w:color w:val="003366"/>
          <w:sz w:val="18"/>
          <w:szCs w:val="18"/>
        </w:rPr>
        <mc:AlternateContent>
          <mc:Choice Requires="wps">
            <w:drawing>
              <wp:anchor distT="0" distB="0" distL="114300" distR="114300" simplePos="0" relativeHeight="251666436" behindDoc="0" locked="0" layoutInCell="1" allowOverlap="1" wp14:anchorId="4FEF2D71" wp14:editId="25AF1BBF">
                <wp:simplePos x="0" y="0"/>
                <wp:positionH relativeFrom="column">
                  <wp:posOffset>3568824</wp:posOffset>
                </wp:positionH>
                <wp:positionV relativeFrom="paragraph">
                  <wp:posOffset>2403476</wp:posOffset>
                </wp:positionV>
                <wp:extent cx="1345459" cy="464024"/>
                <wp:effectExtent l="0" t="57150" r="7620" b="69850"/>
                <wp:wrapNone/>
                <wp:docPr id="727794144" name="Ovale 6"/>
                <wp:cNvGraphicFramePr/>
                <a:graphic xmlns:a="http://schemas.openxmlformats.org/drawingml/2006/main">
                  <a:graphicData uri="http://schemas.microsoft.com/office/word/2010/wordprocessingShape">
                    <wps:wsp>
                      <wps:cNvSpPr/>
                      <wps:spPr>
                        <a:xfrm rot="827370">
                          <a:off x="0" y="0"/>
                          <a:ext cx="1345459" cy="464024"/>
                        </a:xfrm>
                        <a:prstGeom prst="ellipse">
                          <a:avLst/>
                        </a:prstGeom>
                        <a:noFill/>
                        <a:ln>
                          <a:solidFill>
                            <a:srgbClr val="3CDE1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EF13078" id="Ovale 6" o:spid="_x0000_s1026" style="position:absolute;margin-left:281pt;margin-top:189.25pt;width:105.95pt;height:36.55pt;rotation:903709fd;z-index:2516664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" filled="f" strokecolor="#3cde10" strokeweight="1.75pt">
                <v:stroke endcap="round"/>
              </v:oval>
            </w:pict>
          </mc:Fallback>
        </mc:AlternateContent>
      </w:r>
      <w:r>
        <w:rPr>
          <w:rFonts w:ascii="Calibri" w:eastAsia="Calibri" w:hAnsi="Calibri" w:cs="Arial"/>
          <w:i/>
          <w:iCs/>
          <w:noProof/>
          <w:color w:val="003366"/>
          <w:sz w:val="18"/>
          <w:szCs w:val="18"/>
        </w:rPr>
        <mc:AlternateContent>
          <mc:Choice Requires="wps">
            <w:drawing>
              <wp:anchor distT="0" distB="0" distL="114300" distR="114300" simplePos="0" relativeHeight="251667460" behindDoc="0" locked="0" layoutInCell="1" allowOverlap="1" wp14:anchorId="49C8441B" wp14:editId="22E991DB">
                <wp:simplePos x="0" y="0"/>
                <wp:positionH relativeFrom="column">
                  <wp:posOffset>608113</wp:posOffset>
                </wp:positionH>
                <wp:positionV relativeFrom="paragraph">
                  <wp:posOffset>1364619</wp:posOffset>
                </wp:positionV>
                <wp:extent cx="2456226" cy="1146457"/>
                <wp:effectExtent l="293052" t="0" r="294323" b="0"/>
                <wp:wrapNone/>
                <wp:docPr id="1940811725" name="Ovale 6"/>
                <wp:cNvGraphicFramePr/>
                <a:graphic xmlns:a="http://schemas.openxmlformats.org/drawingml/2006/main">
                  <a:graphicData uri="http://schemas.microsoft.com/office/word/2010/wordprocessingShape">
                    <wps:wsp>
                      <wps:cNvSpPr/>
                      <wps:spPr>
                        <a:xfrm rot="3282566">
                          <a:off x="0" y="0"/>
                          <a:ext cx="2456226" cy="1146457"/>
                        </a:xfrm>
                        <a:prstGeom prst="ellipse">
                          <a:avLst/>
                        </a:prstGeom>
                        <a:no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C671E5" id="Ovale 6" o:spid="_x0000_s1026" style="position:absolute;margin-left:47.9pt;margin-top:107.45pt;width:193.4pt;height:90.25pt;rotation:3585437fd;z-index:251667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" filled="f" strokecolor="#59a9f2 [1940]" strokeweight="1.75pt">
                <v:stroke endcap="round"/>
              </v:oval>
            </w:pict>
          </mc:Fallback>
        </mc:AlternateContent>
      </w:r>
      <w:r>
        <w:rPr>
          <w:rFonts w:ascii="Calibri" w:eastAsia="Calibri" w:hAnsi="Calibri" w:cs="Arial"/>
          <w:i/>
          <w:iCs/>
          <w:noProof/>
          <w:color w:val="003366"/>
          <w:sz w:val="18"/>
          <w:szCs w:val="18"/>
        </w:rPr>
        <w:drawing>
          <wp:inline distT="0" distB="0" distL="0" distR="0" wp14:anchorId="758D546C" wp14:editId="49ECB995">
            <wp:extent cx="5759450" cy="4072890"/>
            <wp:effectExtent l="0" t="0" r="0" b="3810"/>
            <wp:docPr id="1416696945" name="Immagine 5"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96945" name="Immagine 5" descr="Immagine che contiene testo, mappa, diagramma, atlante&#10;&#10;Descrizione generata automaticament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366B7F53" w14:textId="27719654" w:rsidR="00162229" w:rsidRPr="00AD01C5" w:rsidRDefault="00162229" w:rsidP="00162229">
      <w:pPr>
        <w:spacing w:after="200" w:line="240" w:lineRule="auto"/>
        <w:jc w:val="center"/>
        <w:rPr>
          <w:rFonts w:ascii="Calibri" w:eastAsia="Calibri" w:hAnsi="Calibri" w:cs="Times New Roman"/>
          <w:i/>
          <w:iCs/>
          <w:color w:val="003366"/>
          <w:sz w:val="18"/>
          <w:szCs w:val="18"/>
        </w:rPr>
      </w:pPr>
      <w:r w:rsidRPr="00AD01C5">
        <w:rPr>
          <w:rFonts w:ascii="Calibri" w:eastAsia="Calibri" w:hAnsi="Calibri" w:cs="Arial"/>
          <w:i/>
          <w:iCs/>
          <w:color w:val="003366"/>
          <w:sz w:val="18"/>
          <w:szCs w:val="18"/>
        </w:rPr>
        <w:t xml:space="preserve">Figura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Figura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33</w:t>
      </w:r>
      <w:r w:rsidRPr="00AD01C5">
        <w:rPr>
          <w:rFonts w:ascii="Calibri" w:eastAsia="Calibri" w:hAnsi="Calibri" w:cs="Arial"/>
          <w:i/>
          <w:iCs/>
          <w:color w:val="003366"/>
          <w:sz w:val="18"/>
          <w:szCs w:val="18"/>
        </w:rPr>
        <w:fldChar w:fldCharType="end"/>
      </w:r>
      <w:r w:rsidRPr="00AD01C5">
        <w:rPr>
          <w:rFonts w:ascii="Calibri" w:eastAsia="Calibri" w:hAnsi="Calibri" w:cs="Arial"/>
          <w:i/>
          <w:iCs/>
          <w:color w:val="003366"/>
          <w:sz w:val="18"/>
          <w:szCs w:val="18"/>
        </w:rPr>
        <w:t xml:space="preserve"> – Distribuzione dei servizi nei </w:t>
      </w:r>
      <w:r>
        <w:rPr>
          <w:rFonts w:ascii="Calibri" w:eastAsia="Calibri" w:hAnsi="Calibri" w:cs="Arial"/>
          <w:i/>
          <w:iCs/>
          <w:color w:val="003366"/>
          <w:sz w:val="18"/>
          <w:szCs w:val="18"/>
        </w:rPr>
        <w:t>tre</w:t>
      </w:r>
      <w:r w:rsidRPr="00AD01C5">
        <w:rPr>
          <w:rFonts w:ascii="Calibri" w:eastAsia="Calibri" w:hAnsi="Calibri" w:cs="Arial"/>
          <w:i/>
          <w:iCs/>
          <w:color w:val="003366"/>
          <w:sz w:val="18"/>
          <w:szCs w:val="18"/>
        </w:rPr>
        <w:t xml:space="preserve"> lotti</w:t>
      </w:r>
    </w:p>
    <w:p w14:paraId="55006DD1" w14:textId="77777777" w:rsidR="00162229" w:rsidRPr="005B534B" w:rsidRDefault="00162229" w:rsidP="00162229">
      <w:pPr>
        <w:pStyle w:val="Titolo3"/>
        <w:ind w:left="720"/>
      </w:pPr>
      <w:bookmarkStart w:id="447" w:name="_Toc205213770"/>
      <w:r w:rsidRPr="005B534B">
        <w:t>Analisi costo standard</w:t>
      </w:r>
      <w:bookmarkEnd w:id="445"/>
      <w:bookmarkEnd w:id="446"/>
      <w:bookmarkEnd w:id="447"/>
    </w:p>
    <w:p w14:paraId="0C81BC87"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Per definire gli importi a base di gara si procede con la determinazione del costo standard in applicazione del DM 157/2018 ed ai sensi di quanto disposto all’art. 1 comma 5</w:t>
      </w:r>
      <w:r w:rsidRPr="00AD01C5">
        <w:rPr>
          <w:rFonts w:ascii="Calibri" w:eastAsia="Calibri" w:hAnsi="Calibri" w:cs="Arial"/>
          <w:vertAlign w:val="superscript"/>
        </w:rPr>
        <w:footnoteReference w:id="50"/>
      </w:r>
      <w:r w:rsidRPr="00AD01C5">
        <w:rPr>
          <w:rFonts w:ascii="Calibri" w:eastAsia="Calibri" w:hAnsi="Calibri" w:cs="Arial"/>
        </w:rPr>
        <w:t xml:space="preserve"> ove prevede che “</w:t>
      </w:r>
      <w:r w:rsidRPr="00AD01C5">
        <w:rPr>
          <w:rFonts w:ascii="Calibri" w:eastAsia="Calibri" w:hAnsi="Calibri" w:cs="Arial"/>
          <w:i/>
          <w:iCs/>
        </w:rPr>
        <w:t>I costi standard …sono utilizzati dagli enti che affidano i servizi di trasporto pubblico locale e regionale come elemento di riferimento per la quantificazione delle compensazioni economiche e dei corrispettivi da porre a base d’asta …</w:t>
      </w:r>
      <w:r w:rsidRPr="00AD01C5">
        <w:rPr>
          <w:rFonts w:ascii="Calibri" w:eastAsia="Calibri" w:hAnsi="Calibri" w:cs="Arial"/>
        </w:rPr>
        <w:t>”</w:t>
      </w:r>
    </w:p>
    <w:p w14:paraId="682A3319"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 presente paragrafo sono calcolati i costi standard, con l’applicazione della metodologia e l’adeguamento inflattivo descritta nei precedenti paragrafi, relativi alle differenti configurazioni in lotti da porre a base di gara, nonché le rispettive compensazioni dovute per l'assolvimento degli obblighi di </w:t>
      </w:r>
      <w:r w:rsidRPr="00AD01C5">
        <w:rPr>
          <w:rFonts w:ascii="Calibri" w:eastAsia="Calibri" w:hAnsi="Calibri" w:cs="Arial"/>
        </w:rPr>
        <w:lastRenderedPageBreak/>
        <w:t>servizio valutate nell’ordine del 65% dei costi standard di produzione, al netto dell’infrastruttura, per perseguire e migliorare l’obiettivo fissato dall’art 19 comma 5 del D.Lgs. 422/1997 e richiamato dalla delibera ART 64/2024 (Annesso 7). Nel calcolo dei fattori di rettifica dell’ammortamento del costo standard si è scelto, dopo valutazioni riguardanti l’attuale parco mezzi in utilizzo, di adoperare i costi  unitari standard per il calcolo del k2 di rettifica per costo effettivo di acquisto autobus (pari a 244.110,00€ per gli allestimenti urbani e 221.450,00€ per gli allestimenti extraurbani), di stabilire la vita utile effettiva pari a 15 anni per il k3 e di considerare una Quota effettiva di autofinanziamento pari al 50% per la rettifica k4.</w:t>
      </w:r>
    </w:p>
    <w:p w14:paraId="35F73ECB" w14:textId="77777777" w:rsidR="00162229" w:rsidRPr="00AD01C5" w:rsidRDefault="00162229" w:rsidP="00162229">
      <w:pPr>
        <w:spacing w:before="120" w:after="0" w:line="240" w:lineRule="auto"/>
        <w:rPr>
          <w:rFonts w:ascii="Calibri" w:eastAsia="Calibri" w:hAnsi="Calibri" w:cs="Arial"/>
        </w:rPr>
      </w:pPr>
    </w:p>
    <w:p w14:paraId="6930BD1F" w14:textId="77777777" w:rsidR="00162229" w:rsidRPr="005B534B" w:rsidRDefault="00162229" w:rsidP="00162229">
      <w:pPr>
        <w:spacing w:before="120" w:after="0" w:line="240" w:lineRule="auto"/>
        <w:rPr>
          <w:rFonts w:ascii="Calibri" w:eastAsia="Calibri" w:hAnsi="Calibri" w:cs="Arial"/>
          <w:b/>
          <w:bCs/>
        </w:rPr>
      </w:pPr>
      <w:r w:rsidRPr="005B534B">
        <w:rPr>
          <w:rFonts w:ascii="Calibri" w:eastAsia="Calibri" w:hAnsi="Calibri" w:cs="Arial"/>
          <w:b/>
          <w:bCs/>
        </w:rPr>
        <w:t>Ipotesi 3 lotti di gara (+ sub</w:t>
      </w:r>
      <w:r>
        <w:rPr>
          <w:rFonts w:ascii="Calibri" w:eastAsia="Calibri" w:hAnsi="Calibri" w:cs="Arial"/>
          <w:b/>
          <w:bCs/>
        </w:rPr>
        <w:t>-</w:t>
      </w:r>
      <w:r w:rsidRPr="005B534B">
        <w:rPr>
          <w:rFonts w:ascii="Calibri" w:eastAsia="Calibri" w:hAnsi="Calibri" w:cs="Arial"/>
          <w:b/>
          <w:bCs/>
        </w:rPr>
        <w:t>lotto area a domanda debole)</w:t>
      </w:r>
    </w:p>
    <w:p w14:paraId="0DD44421" w14:textId="76314DE0" w:rsidR="00162229" w:rsidRPr="00AD01C5" w:rsidRDefault="00162229" w:rsidP="00162229">
      <w:pPr>
        <w:spacing w:before="120" w:after="0" w:line="240" w:lineRule="auto"/>
        <w:jc w:val="center"/>
        <w:rPr>
          <w:rFonts w:ascii="Calibri" w:eastAsia="Calibri" w:hAnsi="Calibri" w:cs="Arial"/>
          <w:i/>
          <w:iCs/>
          <w:color w:val="003366"/>
          <w:sz w:val="18"/>
          <w:szCs w:val="18"/>
        </w:rPr>
      </w:pPr>
      <w:r w:rsidRPr="00F47B34">
        <w:rPr>
          <w:noProof/>
          <w:color w:val="EE0000"/>
        </w:rPr>
        <w:drawing>
          <wp:inline distT="0" distB="0" distL="0" distR="0" wp14:anchorId="199856D5" wp14:editId="0447EAB8">
            <wp:extent cx="5759450" cy="1221740"/>
            <wp:effectExtent l="0" t="0" r="0" b="0"/>
            <wp:docPr id="8196559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59450" cy="1221740"/>
                    </a:xfrm>
                    <a:prstGeom prst="rect">
                      <a:avLst/>
                    </a:prstGeom>
                    <a:noFill/>
                    <a:ln>
                      <a:noFill/>
                    </a:ln>
                  </pic:spPr>
                </pic:pic>
              </a:graphicData>
            </a:graphic>
          </wp:inline>
        </w:drawing>
      </w:r>
      <w:r w:rsidRPr="005B534B">
        <w:rPr>
          <w:rFonts w:ascii="Calibri" w:eastAsia="Calibri" w:hAnsi="Calibri" w:cs="Arial"/>
          <w:i/>
          <w:iCs/>
          <w:color w:val="003366"/>
          <w:sz w:val="18"/>
          <w:szCs w:val="18"/>
        </w:rPr>
        <w:t xml:space="preserve"> </w:t>
      </w: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60</w:t>
      </w:r>
      <w:r w:rsidRPr="00AD01C5">
        <w:rPr>
          <w:rFonts w:ascii="Calibri" w:eastAsia="Calibri" w:hAnsi="Calibri" w:cs="Arial"/>
          <w:i/>
          <w:iCs/>
          <w:noProof/>
          <w:color w:val="003366"/>
          <w:sz w:val="18"/>
          <w:szCs w:val="18"/>
        </w:rPr>
        <w:fldChar w:fldCharType="end"/>
      </w:r>
      <w:r w:rsidRPr="00AD01C5">
        <w:rPr>
          <w:rFonts w:ascii="Calibri" w:eastAsia="Calibri" w:hAnsi="Calibri" w:cs="Arial"/>
          <w:color w:val="003366"/>
          <w:sz w:val="18"/>
          <w:szCs w:val="18"/>
        </w:rPr>
        <w:t xml:space="preserve"> – </w:t>
      </w:r>
      <w:r w:rsidRPr="00AD01C5">
        <w:rPr>
          <w:rFonts w:ascii="Calibri" w:eastAsia="Calibri" w:hAnsi="Calibri" w:cs="Arial"/>
          <w:i/>
          <w:iCs/>
          <w:color w:val="003366"/>
          <w:sz w:val="18"/>
          <w:szCs w:val="18"/>
        </w:rPr>
        <w:t xml:space="preserve">Valore delle Compensazioni ipotesi </w:t>
      </w:r>
      <w:r>
        <w:rPr>
          <w:rFonts w:ascii="Calibri" w:eastAsia="Calibri" w:hAnsi="Calibri" w:cs="Arial"/>
          <w:i/>
          <w:iCs/>
          <w:color w:val="003366"/>
          <w:sz w:val="18"/>
          <w:szCs w:val="18"/>
        </w:rPr>
        <w:t>3</w:t>
      </w:r>
      <w:r w:rsidRPr="00AD01C5">
        <w:rPr>
          <w:rFonts w:ascii="Calibri" w:eastAsia="Calibri" w:hAnsi="Calibri" w:cs="Arial"/>
          <w:i/>
          <w:iCs/>
          <w:color w:val="003366"/>
          <w:sz w:val="18"/>
          <w:szCs w:val="18"/>
        </w:rPr>
        <w:t xml:space="preserve"> lotti</w:t>
      </w:r>
      <w:r>
        <w:rPr>
          <w:rFonts w:ascii="Calibri" w:eastAsia="Calibri" w:hAnsi="Calibri" w:cs="Arial"/>
          <w:i/>
          <w:iCs/>
          <w:color w:val="003366"/>
          <w:sz w:val="18"/>
          <w:szCs w:val="18"/>
        </w:rPr>
        <w:t xml:space="preserve"> di gara</w:t>
      </w:r>
    </w:p>
    <w:p w14:paraId="23464EC0" w14:textId="77777777" w:rsidR="00162229" w:rsidRPr="005B534B" w:rsidRDefault="00162229" w:rsidP="00162229">
      <w:pPr>
        <w:spacing w:before="120" w:after="0" w:line="240" w:lineRule="auto"/>
        <w:rPr>
          <w:rFonts w:ascii="Calibri" w:eastAsia="Calibri" w:hAnsi="Calibri" w:cs="Arial"/>
        </w:rPr>
      </w:pPr>
    </w:p>
    <w:p w14:paraId="5B47EE65" w14:textId="77777777" w:rsidR="00162229" w:rsidRPr="005B534B" w:rsidRDefault="00162229" w:rsidP="00162229">
      <w:pPr>
        <w:spacing w:before="120" w:after="0" w:line="240" w:lineRule="auto"/>
        <w:rPr>
          <w:rFonts w:ascii="Calibri" w:eastAsia="Calibri" w:hAnsi="Calibri" w:cs="Arial"/>
        </w:rPr>
      </w:pPr>
      <w:r w:rsidRPr="005B534B">
        <w:rPr>
          <w:rFonts w:ascii="Calibri" w:eastAsia="Calibri" w:hAnsi="Calibri" w:cs="Arial"/>
        </w:rPr>
        <w:t>Per ogni unità di rete è calcolato il costo standard unitario, il costo totale annuo del servizio e la compensazione annua derivante; dalla somma dei 3 valori (per l’unità di rete 3 si individua il sublotto in area a domanda debole) si ottengono anche i valori medi per l’intero</w:t>
      </w:r>
      <w:r>
        <w:rPr>
          <w:rFonts w:ascii="Calibri" w:eastAsia="Calibri" w:hAnsi="Calibri" w:cs="Arial"/>
        </w:rPr>
        <w:t xml:space="preserve"> </w:t>
      </w:r>
      <w:r w:rsidRPr="005B534B">
        <w:rPr>
          <w:rFonts w:ascii="Calibri" w:eastAsia="Calibri" w:hAnsi="Calibri" w:cs="Arial"/>
        </w:rPr>
        <w:t>bacino.</w:t>
      </w:r>
    </w:p>
    <w:p w14:paraId="71917FF1" w14:textId="77777777" w:rsidR="00162229" w:rsidRPr="0055365B" w:rsidRDefault="00162229" w:rsidP="00162229">
      <w:pPr>
        <w:spacing w:before="120" w:after="0" w:line="240" w:lineRule="auto"/>
        <w:rPr>
          <w:rFonts w:ascii="Calibri" w:eastAsia="Calibri" w:hAnsi="Calibri" w:cs="Arial"/>
        </w:rPr>
      </w:pPr>
      <w:r w:rsidRPr="0055365B">
        <w:rPr>
          <w:rFonts w:ascii="Calibri" w:eastAsia="Calibri" w:hAnsi="Calibri" w:cs="Arial"/>
        </w:rPr>
        <w:t>Per il sublotto UR3–ADD si ritiene di poter mantenere un valore di costo analogo all’unità di rete 3 da cui è stato scorporato in quanto l’affidamento diretto deve comunque consentire all’Ente di perseguire l’efficienza economica ed organizzativa. Una valutazione puntuale dell’effettivo costo di produzione ed il relativo confronto con il costo standard sarà sviluppata nella relazione di affidamento.</w:t>
      </w:r>
    </w:p>
    <w:p w14:paraId="75E625ED" w14:textId="77777777" w:rsidR="00162229" w:rsidRDefault="00162229" w:rsidP="00162229">
      <w:pPr>
        <w:spacing w:before="120" w:after="0" w:line="240" w:lineRule="auto"/>
        <w:rPr>
          <w:rFonts w:ascii="Calibri" w:eastAsia="Calibri" w:hAnsi="Calibri" w:cs="Arial"/>
        </w:rPr>
      </w:pPr>
      <w:r w:rsidRPr="0055365B">
        <w:rPr>
          <w:rFonts w:ascii="Calibri" w:eastAsia="Calibri" w:hAnsi="Calibri" w:cs="Arial"/>
        </w:rPr>
        <w:t>Analoga valutazione è effettuata ipotizzando che si proceda con l’accorpamento con le unità di rete in due lotti.</w:t>
      </w:r>
    </w:p>
    <w:p w14:paraId="08F7BDBD" w14:textId="77777777" w:rsidR="00691FEF" w:rsidRDefault="00691FEF" w:rsidP="00162229">
      <w:pPr>
        <w:spacing w:before="120" w:after="0" w:line="240" w:lineRule="auto"/>
        <w:rPr>
          <w:rFonts w:ascii="Calibri" w:eastAsia="Calibri" w:hAnsi="Calibri" w:cs="Arial"/>
        </w:rPr>
      </w:pPr>
    </w:p>
    <w:p w14:paraId="1949EC29" w14:textId="77777777" w:rsidR="00162229" w:rsidRPr="0055365B" w:rsidRDefault="00162229" w:rsidP="00162229">
      <w:pPr>
        <w:spacing w:before="120" w:after="0" w:line="240" w:lineRule="auto"/>
        <w:rPr>
          <w:rFonts w:ascii="Calibri" w:eastAsia="Calibri" w:hAnsi="Calibri" w:cs="Arial"/>
          <w:b/>
          <w:bCs/>
        </w:rPr>
      </w:pPr>
      <w:r w:rsidRPr="0055365B">
        <w:rPr>
          <w:rFonts w:ascii="Calibri" w:eastAsia="Calibri" w:hAnsi="Calibri" w:cs="Arial"/>
          <w:b/>
          <w:bCs/>
        </w:rPr>
        <w:t>Ipotesi 2 lotti di gara (+sub</w:t>
      </w:r>
      <w:r>
        <w:rPr>
          <w:rFonts w:ascii="Calibri" w:eastAsia="Calibri" w:hAnsi="Calibri" w:cs="Arial"/>
          <w:b/>
          <w:bCs/>
        </w:rPr>
        <w:t>-</w:t>
      </w:r>
      <w:r w:rsidRPr="0055365B">
        <w:rPr>
          <w:rFonts w:ascii="Calibri" w:eastAsia="Calibri" w:hAnsi="Calibri" w:cs="Arial"/>
          <w:b/>
          <w:bCs/>
        </w:rPr>
        <w:t>lotto area a domanda debole)</w:t>
      </w:r>
    </w:p>
    <w:p w14:paraId="43F5AC7F" w14:textId="035E2964" w:rsidR="00162229" w:rsidRPr="00AD01C5" w:rsidRDefault="00162229" w:rsidP="00162229">
      <w:pPr>
        <w:spacing w:after="0" w:line="240" w:lineRule="auto"/>
        <w:jc w:val="center"/>
        <w:rPr>
          <w:rFonts w:ascii="Calibri" w:eastAsia="Calibri" w:hAnsi="Calibri" w:cs="Arial"/>
          <w:i/>
          <w:color w:val="003366"/>
          <w:sz w:val="18"/>
          <w:szCs w:val="18"/>
        </w:rPr>
      </w:pPr>
      <w:r w:rsidRPr="00F47B34">
        <w:rPr>
          <w:noProof/>
          <w:color w:val="EE0000"/>
        </w:rPr>
        <w:drawing>
          <wp:inline distT="0" distB="0" distL="0" distR="0" wp14:anchorId="5604574E" wp14:editId="7F962998">
            <wp:extent cx="5759450" cy="1082040"/>
            <wp:effectExtent l="0" t="0" r="0" b="3810"/>
            <wp:docPr id="101805305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9450" cy="1082040"/>
                    </a:xfrm>
                    <a:prstGeom prst="rect">
                      <a:avLst/>
                    </a:prstGeom>
                    <a:noFill/>
                    <a:ln>
                      <a:noFill/>
                    </a:ln>
                  </pic:spPr>
                </pic:pic>
              </a:graphicData>
            </a:graphic>
          </wp:inline>
        </w:drawing>
      </w:r>
      <w:r w:rsidRPr="0055365B">
        <w:rPr>
          <w:rFonts w:ascii="Calibri" w:eastAsia="Calibri" w:hAnsi="Calibri" w:cs="Arial"/>
          <w:i/>
          <w:iCs/>
          <w:color w:val="003366"/>
          <w:sz w:val="18"/>
          <w:szCs w:val="18"/>
        </w:rPr>
        <w:t xml:space="preserve"> </w:t>
      </w: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61</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 xml:space="preserve">Valore delle Compensazioni ipotesi </w:t>
      </w:r>
      <w:r>
        <w:rPr>
          <w:rFonts w:ascii="Calibri" w:eastAsia="Calibri" w:hAnsi="Calibri" w:cs="Arial"/>
          <w:i/>
          <w:color w:val="003366"/>
          <w:sz w:val="18"/>
          <w:szCs w:val="18"/>
        </w:rPr>
        <w:t>2</w:t>
      </w:r>
      <w:r w:rsidRPr="00AD01C5">
        <w:rPr>
          <w:rFonts w:ascii="Calibri" w:eastAsia="Calibri" w:hAnsi="Calibri" w:cs="Arial"/>
          <w:i/>
          <w:color w:val="003366"/>
          <w:sz w:val="18"/>
          <w:szCs w:val="18"/>
        </w:rPr>
        <w:t xml:space="preserve"> lotti</w:t>
      </w:r>
      <w:r>
        <w:rPr>
          <w:rFonts w:ascii="Calibri" w:eastAsia="Calibri" w:hAnsi="Calibri" w:cs="Arial"/>
          <w:i/>
          <w:color w:val="003366"/>
          <w:sz w:val="18"/>
          <w:szCs w:val="18"/>
        </w:rPr>
        <w:t xml:space="preserve"> di gara</w:t>
      </w:r>
    </w:p>
    <w:p w14:paraId="42E7688A"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Anche se è già stata ampiamente giustificata l’esclusione dell’ipotesi a lotto unico, sia dal punto di vista normativo che dal punto di vista qualitativo, si riporta per completezza la valutazione del costo totale standard di tale soluzione.</w:t>
      </w:r>
    </w:p>
    <w:p w14:paraId="4F83F417" w14:textId="77777777" w:rsidR="00691FEF" w:rsidRDefault="00691FEF" w:rsidP="00162229">
      <w:pPr>
        <w:spacing w:before="120" w:after="0" w:line="240" w:lineRule="auto"/>
        <w:rPr>
          <w:rFonts w:ascii="Calibri" w:eastAsia="Calibri" w:hAnsi="Calibri" w:cs="Arial"/>
          <w:b/>
          <w:bCs/>
        </w:rPr>
      </w:pPr>
      <w:r>
        <w:rPr>
          <w:rFonts w:ascii="Calibri" w:eastAsia="Calibri" w:hAnsi="Calibri" w:cs="Arial"/>
          <w:b/>
          <w:bCs/>
        </w:rPr>
        <w:br w:type="page"/>
      </w:r>
    </w:p>
    <w:p w14:paraId="42A25F42" w14:textId="18CEC5B8" w:rsidR="00162229" w:rsidRPr="00AD01C5" w:rsidRDefault="00162229" w:rsidP="00162229">
      <w:pPr>
        <w:spacing w:before="120" w:after="0" w:line="240" w:lineRule="auto"/>
        <w:rPr>
          <w:rFonts w:ascii="Calibri" w:eastAsia="Calibri" w:hAnsi="Calibri" w:cs="Arial"/>
          <w:b/>
          <w:bCs/>
        </w:rPr>
      </w:pPr>
      <w:r w:rsidRPr="00AD01C5">
        <w:rPr>
          <w:rFonts w:ascii="Calibri" w:eastAsia="Calibri" w:hAnsi="Calibri" w:cs="Arial"/>
          <w:b/>
          <w:bCs/>
        </w:rPr>
        <w:lastRenderedPageBreak/>
        <w:t>Ipotesi lotto unico</w:t>
      </w:r>
    </w:p>
    <w:p w14:paraId="6A2D3ABF" w14:textId="77777777" w:rsidR="00162229" w:rsidRDefault="00162229" w:rsidP="00162229">
      <w:pPr>
        <w:spacing w:after="200" w:line="240" w:lineRule="auto"/>
        <w:jc w:val="center"/>
        <w:rPr>
          <w:rFonts w:ascii="Calibri" w:eastAsia="Calibri" w:hAnsi="Calibri" w:cs="Arial"/>
          <w:i/>
          <w:iCs/>
          <w:color w:val="EE0000"/>
          <w:sz w:val="18"/>
          <w:szCs w:val="18"/>
        </w:rPr>
      </w:pPr>
      <w:r w:rsidRPr="00F47B34">
        <w:rPr>
          <w:noProof/>
          <w:color w:val="EE0000"/>
        </w:rPr>
        <w:drawing>
          <wp:inline distT="0" distB="0" distL="0" distR="0" wp14:anchorId="3EC69964" wp14:editId="63F75DD4">
            <wp:extent cx="5759450" cy="1082040"/>
            <wp:effectExtent l="0" t="0" r="0" b="3810"/>
            <wp:docPr id="19580695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59450" cy="1082040"/>
                    </a:xfrm>
                    <a:prstGeom prst="rect">
                      <a:avLst/>
                    </a:prstGeom>
                    <a:noFill/>
                    <a:ln>
                      <a:noFill/>
                    </a:ln>
                  </pic:spPr>
                </pic:pic>
              </a:graphicData>
            </a:graphic>
          </wp:inline>
        </w:drawing>
      </w:r>
    </w:p>
    <w:p w14:paraId="64338E12" w14:textId="5244F403" w:rsidR="00162229" w:rsidRPr="00AD01C5" w:rsidRDefault="00162229" w:rsidP="00162229">
      <w:pPr>
        <w:spacing w:after="200" w:line="240" w:lineRule="auto"/>
        <w:jc w:val="center"/>
        <w:rPr>
          <w:rFonts w:ascii="Calibri" w:eastAsia="Calibri" w:hAnsi="Calibri" w:cs="Arial"/>
          <w:i/>
          <w:color w:val="003366"/>
          <w:sz w:val="18"/>
          <w:szCs w:val="18"/>
        </w:rPr>
      </w:pPr>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62</w:t>
      </w:r>
      <w:r w:rsidRPr="00AD01C5">
        <w:rPr>
          <w:rFonts w:ascii="Calibri" w:eastAsia="Calibri" w:hAnsi="Calibri" w:cs="Arial"/>
          <w:i/>
          <w:iCs/>
          <w:color w:val="003366"/>
          <w:sz w:val="18"/>
          <w:szCs w:val="18"/>
        </w:rPr>
        <w:fldChar w:fldCharType="end"/>
      </w:r>
      <w:r w:rsidRPr="00AD01C5">
        <w:rPr>
          <w:rFonts w:ascii="Calibri" w:eastAsia="Calibri" w:hAnsi="Calibri" w:cs="Arial"/>
          <w:iCs/>
          <w:color w:val="003366"/>
          <w:sz w:val="18"/>
          <w:szCs w:val="18"/>
        </w:rPr>
        <w:t xml:space="preserve"> – </w:t>
      </w:r>
      <w:r w:rsidRPr="00AD01C5">
        <w:rPr>
          <w:rFonts w:ascii="Calibri" w:eastAsia="Calibri" w:hAnsi="Calibri" w:cs="Arial"/>
          <w:i/>
          <w:color w:val="003366"/>
          <w:sz w:val="18"/>
          <w:szCs w:val="18"/>
        </w:rPr>
        <w:t>Valore delle Compensazioni ipotesi lotto unic</w:t>
      </w:r>
      <w:r>
        <w:rPr>
          <w:rFonts w:ascii="Calibri" w:eastAsia="Calibri" w:hAnsi="Calibri" w:cs="Arial"/>
          <w:i/>
          <w:color w:val="003366"/>
          <w:sz w:val="18"/>
          <w:szCs w:val="18"/>
        </w:rPr>
        <w:t>o di gara</w:t>
      </w:r>
    </w:p>
    <w:p w14:paraId="28DE3CD4"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Analizzando le tre ipotesi sopra citate appare evidente che la scelta in base al costo standard porterebbe all’individuazione di </w:t>
      </w:r>
      <w:r>
        <w:rPr>
          <w:rFonts w:ascii="Calibri" w:eastAsia="Calibri" w:hAnsi="Calibri" w:cs="Arial"/>
        </w:rPr>
        <w:t>3</w:t>
      </w:r>
      <w:r w:rsidRPr="00AD01C5">
        <w:rPr>
          <w:rFonts w:ascii="Calibri" w:eastAsia="Calibri" w:hAnsi="Calibri" w:cs="Arial"/>
        </w:rPr>
        <w:t xml:space="preserve"> lotti</w:t>
      </w:r>
      <w:r>
        <w:rPr>
          <w:rFonts w:ascii="Calibri" w:eastAsia="Calibri" w:hAnsi="Calibri" w:cs="Arial"/>
        </w:rPr>
        <w:t xml:space="preserve"> di gara</w:t>
      </w:r>
      <w:r w:rsidRPr="00AD01C5">
        <w:rPr>
          <w:rFonts w:ascii="Calibri" w:eastAsia="Calibri" w:hAnsi="Calibri" w:cs="Arial"/>
        </w:rPr>
        <w:t xml:space="preserve">. Tuttavia, la suddivisione in </w:t>
      </w:r>
      <w:r>
        <w:rPr>
          <w:rFonts w:ascii="Calibri" w:eastAsia="Calibri" w:hAnsi="Calibri" w:cs="Arial"/>
        </w:rPr>
        <w:t>3</w:t>
      </w:r>
      <w:r w:rsidRPr="00AD01C5">
        <w:rPr>
          <w:rFonts w:ascii="Calibri" w:eastAsia="Calibri" w:hAnsi="Calibri" w:cs="Arial"/>
        </w:rPr>
        <w:t xml:space="preserve"> lotti si rivela una scelta strategica e vantaggiosa perché persegue diversi obiettivi:</w:t>
      </w:r>
    </w:p>
    <w:p w14:paraId="70D06741" w14:textId="77777777" w:rsidR="00162229" w:rsidRPr="00AD01C5" w:rsidRDefault="00162229" w:rsidP="00162229">
      <w:pPr>
        <w:numPr>
          <w:ilvl w:val="0"/>
          <w:numId w:val="72"/>
        </w:numPr>
        <w:spacing w:before="120" w:after="0" w:line="240" w:lineRule="auto"/>
        <w:rPr>
          <w:rFonts w:ascii="Calibri" w:eastAsia="Calibri" w:hAnsi="Calibri" w:cs="Arial"/>
        </w:rPr>
      </w:pPr>
      <w:r w:rsidRPr="00AD01C5">
        <w:rPr>
          <w:rFonts w:ascii="Calibri" w:eastAsia="Calibri" w:hAnsi="Calibri" w:cs="Arial"/>
          <w:b/>
        </w:rPr>
        <w:t>Efficientamento gestionale</w:t>
      </w:r>
      <w:r w:rsidRPr="00AD01C5">
        <w:rPr>
          <w:rFonts w:ascii="Calibri" w:eastAsia="Calibri" w:hAnsi="Calibri" w:cs="Arial"/>
        </w:rPr>
        <w:t>: L'effetto della velocità commerciale standard è significativo, basato su ipotesi derivanti dalle modalità di organizzazione e ottimizzazione dei turni uomo e mezzo. Operare su due unità di rete accorpate, individuando un numero di depositi più contenuto e utilizzando idonee aree di sosta per incrementare le residenze, garantisce maggiore flessibilità organizzativa. Questo approccio consente di ridurre i tempi morti e migliorare l'efficienza operativa, ottimizzando l'uso delle risorse disponibili.</w:t>
      </w:r>
    </w:p>
    <w:p w14:paraId="06162B71" w14:textId="77777777" w:rsidR="00162229" w:rsidRPr="00AD01C5" w:rsidRDefault="00162229" w:rsidP="00162229">
      <w:pPr>
        <w:numPr>
          <w:ilvl w:val="0"/>
          <w:numId w:val="72"/>
        </w:numPr>
        <w:spacing w:before="120" w:after="0" w:line="240" w:lineRule="auto"/>
        <w:rPr>
          <w:rFonts w:ascii="Calibri" w:eastAsia="Calibri" w:hAnsi="Calibri" w:cs="Arial"/>
        </w:rPr>
      </w:pPr>
      <w:r w:rsidRPr="00AD01C5">
        <w:rPr>
          <w:rFonts w:ascii="Calibri" w:eastAsia="Calibri" w:hAnsi="Calibri" w:cs="Arial"/>
          <w:b/>
        </w:rPr>
        <w:t>Riduzione dei costi di gara</w:t>
      </w:r>
      <w:r w:rsidRPr="00AD01C5">
        <w:rPr>
          <w:rFonts w:ascii="Calibri" w:eastAsia="Calibri" w:hAnsi="Calibri" w:cs="Arial"/>
        </w:rPr>
        <w:t>: Un numero inferiore di lotti semplifica ed economicizza sia le procedure di gara che la successiva gestione dei contratti di servizio. La riduzione del numero di lotti comporta una diminuzione dei costi amministrativi e legali associati alla preparazione e gestione delle gare, oltre a facilitare il monitoraggio e il controllo delle prestazioni dei concessionari.</w:t>
      </w:r>
    </w:p>
    <w:p w14:paraId="1B8D4739" w14:textId="77777777" w:rsidR="00162229" w:rsidRPr="00AD01C5" w:rsidRDefault="00162229" w:rsidP="00162229">
      <w:pPr>
        <w:numPr>
          <w:ilvl w:val="0"/>
          <w:numId w:val="72"/>
        </w:numPr>
        <w:spacing w:before="120" w:after="0" w:line="240" w:lineRule="auto"/>
        <w:rPr>
          <w:rFonts w:ascii="Calibri" w:eastAsia="Calibri" w:hAnsi="Calibri" w:cs="Arial"/>
        </w:rPr>
      </w:pPr>
      <w:r w:rsidRPr="00AD01C5">
        <w:rPr>
          <w:rFonts w:ascii="Calibri" w:eastAsia="Calibri" w:hAnsi="Calibri" w:cs="Arial"/>
          <w:b/>
        </w:rPr>
        <w:t>Mantenimento dell’equilibrio economico</w:t>
      </w:r>
      <w:r w:rsidRPr="00AD01C5">
        <w:rPr>
          <w:rFonts w:ascii="Calibri" w:eastAsia="Calibri" w:hAnsi="Calibri" w:cs="Arial"/>
        </w:rPr>
        <w:t>: La ricerca dell’equilibrio economico può trovare maggiori ambiti di manovra, prevedendo una riduzione dei costi generali. La suddivisione in due lotti permette di sfruttare economie di scala, riducendo i costi operativi e migliorando la sostenibilità finanziaria del servizio. Inoltre, consente una maggiore flessibilità nella gestione delle risorse finanziarie, permettendo di allocare i fondi in modo più efficiente e mirato.</w:t>
      </w:r>
    </w:p>
    <w:p w14:paraId="15F21FE4" w14:textId="77777777" w:rsidR="00162229" w:rsidRPr="00586031" w:rsidRDefault="00162229" w:rsidP="00162229">
      <w:pPr>
        <w:spacing w:before="120" w:after="0" w:line="240" w:lineRule="auto"/>
        <w:rPr>
          <w:rFonts w:ascii="Calibri" w:eastAsia="Calibri" w:hAnsi="Calibri" w:cs="Arial"/>
        </w:rPr>
      </w:pPr>
      <w:r w:rsidRPr="00586031">
        <w:rPr>
          <w:rFonts w:ascii="Calibri" w:eastAsia="Calibri" w:hAnsi="Calibri" w:cs="Arial"/>
        </w:rPr>
        <w:t>Il riferimento ai 3 lotti di gara oppure ai 2 lotti di gara è considerato comunque a valle della separazione dei servizi in area domanda debole dell’unità di rete 3.</w:t>
      </w:r>
    </w:p>
    <w:p w14:paraId="04BE1A90"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Come già analizzato nella fase di ottimizzazione dell’organizzazione delle linee e dei depositi, i recuperi di efficienza si ottengono proprio negli ambiti delle unità di rete; infatti ogni servizio sarà organizzato intorno ad un ambito geografico contenuto, considerato che la lunghezza media delle corse è di circa 1</w:t>
      </w:r>
      <w:r>
        <w:rPr>
          <w:rFonts w:ascii="Calibri" w:eastAsia="Calibri" w:hAnsi="Calibri" w:cs="Arial"/>
        </w:rPr>
        <w:t>7</w:t>
      </w:r>
      <w:r w:rsidRPr="00AD01C5">
        <w:rPr>
          <w:rFonts w:ascii="Calibri" w:eastAsia="Calibri" w:hAnsi="Calibri" w:cs="Arial"/>
        </w:rPr>
        <w:t xml:space="preserve"> km, e pertanto, ogni impresa cercherà di ottenere il massimo recupero di efficienza in base a questo assetto dimensionale.</w:t>
      </w:r>
    </w:p>
    <w:p w14:paraId="0C0DCAA7" w14:textId="77777777"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La base di gara può essere coerentemente assunta come somma delle basi di gara delle due unità di rete accorpate; questo elemento rappresenta una opportunità/sfida per la ricerca della migliora efficienza gestionale sia sull’ottimizzazione dei fattori di produzione, sia sull’ottimizzazione dei cicli manutentivi. Ogni operatore che gestisce il lotto avrà la possibilità di implementare soluzioni organizzative per recuperare efficienze economiche e operative sulle due unità di rete accorpate.</w:t>
      </w:r>
    </w:p>
    <w:p w14:paraId="08240EF6"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Pertanto, </w:t>
      </w:r>
      <w:r>
        <w:rPr>
          <w:rFonts w:ascii="Calibri" w:eastAsia="Calibri" w:hAnsi="Calibri" w:cs="Arial"/>
        </w:rPr>
        <w:t>si</w:t>
      </w:r>
      <w:r w:rsidRPr="00AD01C5">
        <w:rPr>
          <w:rFonts w:ascii="Calibri" w:eastAsia="Calibri" w:hAnsi="Calibri" w:cs="Arial"/>
        </w:rPr>
        <w:t xml:space="preserve"> ritiene che la scelta di suddividere il servizio in </w:t>
      </w:r>
      <w:r>
        <w:rPr>
          <w:rFonts w:ascii="Calibri" w:eastAsia="Calibri" w:hAnsi="Calibri" w:cs="Arial"/>
          <w:b/>
        </w:rPr>
        <w:t>2</w:t>
      </w:r>
      <w:r w:rsidRPr="00AD01C5">
        <w:rPr>
          <w:rFonts w:ascii="Calibri" w:eastAsia="Calibri" w:hAnsi="Calibri" w:cs="Arial"/>
          <w:b/>
        </w:rPr>
        <w:t xml:space="preserve"> lotti</w:t>
      </w:r>
      <w:r w:rsidRPr="00AD01C5">
        <w:rPr>
          <w:rFonts w:ascii="Calibri" w:eastAsia="Calibri" w:hAnsi="Calibri" w:cs="Arial"/>
        </w:rPr>
        <w:t xml:space="preserve"> </w:t>
      </w:r>
      <w:r>
        <w:rPr>
          <w:rFonts w:ascii="Calibri" w:eastAsia="Calibri" w:hAnsi="Calibri" w:cs="Arial"/>
        </w:rPr>
        <w:t xml:space="preserve">di gara più 1 lotto in Area a domanda debole </w:t>
      </w:r>
      <w:r w:rsidRPr="00AD01C5">
        <w:rPr>
          <w:rFonts w:ascii="Calibri" w:eastAsia="Calibri" w:hAnsi="Calibri" w:cs="Arial"/>
        </w:rPr>
        <w:t>sia preferibile dal punto di vista strategico, poiché consente non solo di semplificare le operazioni amministrative e contrattuali, ma anche di promuovere economie di scala e migliorare l’efficienza complessiva della gestione del servizio.</w:t>
      </w:r>
      <w:r>
        <w:rPr>
          <w:rFonts w:ascii="Calibri" w:eastAsia="Calibri" w:hAnsi="Calibri" w:cs="Arial"/>
        </w:rPr>
        <w:t xml:space="preserve"> </w:t>
      </w:r>
    </w:p>
    <w:p w14:paraId="6A5E9FDF"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lastRenderedPageBreak/>
        <w:t>Si intende segnalare che qualora si realizzasse la presentazione di una sola offerta, sarà</w:t>
      </w:r>
      <w:r>
        <w:rPr>
          <w:rFonts w:ascii="Calibri" w:eastAsia="Calibri" w:hAnsi="Calibri" w:cs="Arial"/>
        </w:rPr>
        <w:t xml:space="preserve"> valutata l’</w:t>
      </w:r>
      <w:r w:rsidRPr="00AD01C5">
        <w:rPr>
          <w:rFonts w:ascii="Calibri" w:eastAsia="Calibri" w:hAnsi="Calibri" w:cs="Arial"/>
        </w:rPr>
        <w:t>attiva</w:t>
      </w:r>
      <w:r>
        <w:rPr>
          <w:rFonts w:ascii="Calibri" w:eastAsia="Calibri" w:hAnsi="Calibri" w:cs="Arial"/>
        </w:rPr>
        <w:t>zione di</w:t>
      </w:r>
      <w:r w:rsidRPr="00AD01C5">
        <w:rPr>
          <w:rFonts w:ascii="Calibri" w:eastAsia="Calibri" w:hAnsi="Calibri" w:cs="Arial"/>
        </w:rPr>
        <w:t xml:space="preserve"> quanto previsto dalla misura 6 paragrafo 4 della Delibera ART n. 48/2017</w:t>
      </w:r>
      <w:r w:rsidRPr="00AD01C5">
        <w:rPr>
          <w:rFonts w:ascii="Calibri" w:eastAsia="Calibri" w:hAnsi="Calibri" w:cs="Arial"/>
          <w:vertAlign w:val="superscript"/>
        </w:rPr>
        <w:footnoteReference w:id="51"/>
      </w:r>
      <w:r w:rsidRPr="00AD01C5">
        <w:rPr>
          <w:rFonts w:ascii="Calibri" w:eastAsia="Calibri" w:hAnsi="Calibri" w:cs="Arial"/>
        </w:rPr>
        <w:t xml:space="preserve"> attivando il principio di autotutela e riproponendo la procedure di gara con una diversa organizzazione a maggiore contendibilità, riproponendo all’Autorità la documentazione con </w:t>
      </w:r>
      <w:r>
        <w:rPr>
          <w:rFonts w:ascii="Calibri" w:eastAsia="Calibri" w:hAnsi="Calibri" w:cs="Arial"/>
        </w:rPr>
        <w:t>il</w:t>
      </w:r>
      <w:r w:rsidRPr="00AD01C5">
        <w:rPr>
          <w:rFonts w:ascii="Calibri" w:eastAsia="Calibri" w:hAnsi="Calibri" w:cs="Arial"/>
        </w:rPr>
        <w:t xml:space="preserve"> nuovo assetto di gara.</w:t>
      </w:r>
    </w:p>
    <w:p w14:paraId="4B282A2B"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Resta fermo che l’aggiudicazione del servizio potrà prevedere l’accorpamento dei lotti fino ad avere un unico aggiudicatario per l’intero bacino</w:t>
      </w:r>
      <w:r>
        <w:rPr>
          <w:rFonts w:ascii="Calibri" w:eastAsia="Calibri" w:hAnsi="Calibri" w:cs="Arial"/>
        </w:rPr>
        <w:t>, ad eccezione del Lotto a Domanda Debole della Val Borbera.</w:t>
      </w:r>
    </w:p>
    <w:p w14:paraId="5EE68CA2" w14:textId="77777777" w:rsidR="00162229" w:rsidRPr="00AD01C5" w:rsidRDefault="00162229" w:rsidP="00162229">
      <w:pPr>
        <w:pStyle w:val="Titolo3"/>
        <w:ind w:left="720"/>
      </w:pPr>
      <w:bookmarkStart w:id="448" w:name="_Toc204328771"/>
      <w:bookmarkStart w:id="449" w:name="_Toc205213771"/>
      <w:r w:rsidRPr="00AD01C5">
        <w:t>Definizione degli importi a base di gara</w:t>
      </w:r>
      <w:bookmarkEnd w:id="448"/>
      <w:bookmarkEnd w:id="449"/>
    </w:p>
    <w:p w14:paraId="4DAE1AF6"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Considerato che, come sopra descritto, l’accorpamento delle unità di rete può generare un efficientamento gestionale senza compromettere la possibilità di gestire in modo indipendente l’ottimizzazione dei fattori di produzione per ciascuna unità di rete; appare pertanto opportuno, proprio per stimolare la ricerca dell’efficienza, e porre a base di gara una compensazione calcolata come somma delle compensazioni delle due unità di rete. Pertanto, le aziende partecipanti alla gara potranno formulare delle proposte di servizio i cui costi complessivi rientrino nella somma dei costi risultanti per le singole unità di rete. </w:t>
      </w:r>
    </w:p>
    <w:p w14:paraId="2B4D2FBA" w14:textId="4907A0E1" w:rsidR="00162229" w:rsidRDefault="00162229" w:rsidP="00162229">
      <w:pPr>
        <w:spacing w:before="120" w:after="0" w:line="240" w:lineRule="auto"/>
        <w:rPr>
          <w:rFonts w:ascii="Calibri" w:eastAsia="Calibri" w:hAnsi="Calibri" w:cs="Arial"/>
        </w:rPr>
      </w:pPr>
      <w:bookmarkStart w:id="450" w:name="_Hlk205146826"/>
      <w:r w:rsidRPr="00AD01C5">
        <w:rPr>
          <w:rFonts w:ascii="Calibri" w:eastAsia="Calibri" w:hAnsi="Calibri" w:cs="Arial"/>
        </w:rPr>
        <w:t>L’Agenzia porrà a gara due lotti la cui compensazione complessiva deriva dall’accorpamento delle compensazioni delle singole unità di rete</w:t>
      </w:r>
      <w:r>
        <w:rPr>
          <w:rFonts w:ascii="Calibri" w:eastAsia="Calibri" w:hAnsi="Calibri" w:cs="Arial"/>
        </w:rPr>
        <w:t xml:space="preserve"> nell’ipotesi 3 lotti in cui si ha un costo standard complessivo pari a 44.816.912,12 € dei quali 825.031,92 € per l’area a domanda debole e complessivamente 43.</w:t>
      </w:r>
      <w:r w:rsidR="00AA1AE6">
        <w:rPr>
          <w:rFonts w:ascii="Calibri" w:eastAsia="Calibri" w:hAnsi="Calibri" w:cs="Arial"/>
        </w:rPr>
        <w:t>99</w:t>
      </w:r>
      <w:r>
        <w:rPr>
          <w:rFonts w:ascii="Calibri" w:eastAsia="Calibri" w:hAnsi="Calibri" w:cs="Arial"/>
        </w:rPr>
        <w:t>1.880,20 € per le Unità di rete da mettere a gara, come meglio rappresentato nella tabella seguente:</w:t>
      </w:r>
    </w:p>
    <w:p w14:paraId="4B2CBCAD" w14:textId="77777777" w:rsidR="00162229" w:rsidRDefault="00162229" w:rsidP="00162229">
      <w:pPr>
        <w:spacing w:before="120" w:after="0" w:line="240" w:lineRule="auto"/>
        <w:rPr>
          <w:rFonts w:ascii="Calibri" w:eastAsia="Calibri" w:hAnsi="Calibri" w:cs="Arial"/>
        </w:rPr>
      </w:pPr>
      <w:bookmarkStart w:id="451" w:name="_Hlk205146742"/>
      <w:bookmarkEnd w:id="450"/>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4A0" w:firstRow="1" w:lastRow="0" w:firstColumn="1" w:lastColumn="0" w:noHBand="0" w:noVBand="1"/>
      </w:tblPr>
      <w:tblGrid>
        <w:gridCol w:w="2263"/>
        <w:gridCol w:w="1701"/>
        <w:gridCol w:w="1698"/>
        <w:gridCol w:w="1698"/>
        <w:gridCol w:w="1700"/>
      </w:tblGrid>
      <w:tr w:rsidR="00162229" w:rsidRPr="004B1923" w14:paraId="50D28DEF" w14:textId="77777777" w:rsidTr="002A21C0">
        <w:trPr>
          <w:trHeight w:val="900"/>
        </w:trPr>
        <w:tc>
          <w:tcPr>
            <w:tcW w:w="1249" w:type="pct"/>
            <w:shd w:val="clear" w:color="auto" w:fill="A5C34C" w:themeFill="accent6" w:themeFillShade="BF"/>
            <w:tcMar>
              <w:top w:w="15" w:type="dxa"/>
              <w:left w:w="15" w:type="dxa"/>
              <w:bottom w:w="0" w:type="dxa"/>
              <w:right w:w="15" w:type="dxa"/>
            </w:tcMar>
            <w:vAlign w:val="center"/>
            <w:hideMark/>
          </w:tcPr>
          <w:p w14:paraId="0E4F04FA" w14:textId="77777777" w:rsidR="00162229" w:rsidRPr="004B1923" w:rsidRDefault="00162229" w:rsidP="002A21C0">
            <w:pPr>
              <w:spacing w:after="0" w:line="240" w:lineRule="auto"/>
              <w:jc w:val="center"/>
              <w:rPr>
                <w:rFonts w:ascii="Calibri" w:eastAsia="Calibri" w:hAnsi="Calibri" w:cs="Calibri"/>
                <w:b/>
                <w:bCs/>
              </w:rPr>
            </w:pPr>
            <w:r>
              <w:rPr>
                <w:rFonts w:ascii="Calibri" w:eastAsia="Calibri" w:hAnsi="Calibri" w:cs="Calibri"/>
                <w:b/>
                <w:bCs/>
              </w:rPr>
              <w:t>Lotti di gara</w:t>
            </w:r>
          </w:p>
        </w:tc>
        <w:tc>
          <w:tcPr>
            <w:tcW w:w="939" w:type="pct"/>
            <w:shd w:val="clear" w:color="auto" w:fill="A5C34C" w:themeFill="accent6" w:themeFillShade="BF"/>
            <w:tcMar>
              <w:top w:w="15" w:type="dxa"/>
              <w:left w:w="15" w:type="dxa"/>
              <w:bottom w:w="0" w:type="dxa"/>
              <w:right w:w="15" w:type="dxa"/>
            </w:tcMar>
            <w:vAlign w:val="center"/>
            <w:hideMark/>
          </w:tcPr>
          <w:p w14:paraId="087EB348"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Produzione</w:t>
            </w:r>
          </w:p>
        </w:tc>
        <w:tc>
          <w:tcPr>
            <w:tcW w:w="937" w:type="pct"/>
            <w:shd w:val="clear" w:color="auto" w:fill="A5C34C" w:themeFill="accent6" w:themeFillShade="BF"/>
            <w:tcMar>
              <w:top w:w="15" w:type="dxa"/>
              <w:left w:w="15" w:type="dxa"/>
              <w:bottom w:w="0" w:type="dxa"/>
              <w:right w:w="15" w:type="dxa"/>
            </w:tcMar>
            <w:vAlign w:val="center"/>
            <w:hideMark/>
          </w:tcPr>
          <w:p w14:paraId="7FB07711"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Costo</w:t>
            </w:r>
            <w:r>
              <w:rPr>
                <w:rFonts w:ascii="Calibri" w:eastAsia="Calibri" w:hAnsi="Calibri" w:cs="Calibri"/>
                <w:b/>
                <w:bCs/>
              </w:rPr>
              <w:t xml:space="preserve"> Standard </w:t>
            </w:r>
            <w:r w:rsidRPr="004B1923">
              <w:rPr>
                <w:rFonts w:ascii="Calibri" w:eastAsia="Calibri" w:hAnsi="Calibri" w:cs="Calibri"/>
                <w:b/>
                <w:bCs/>
              </w:rPr>
              <w:t>totale</w:t>
            </w:r>
          </w:p>
        </w:tc>
        <w:tc>
          <w:tcPr>
            <w:tcW w:w="937" w:type="pct"/>
            <w:shd w:val="clear" w:color="auto" w:fill="A5C34C" w:themeFill="accent6" w:themeFillShade="BF"/>
            <w:vAlign w:val="center"/>
          </w:tcPr>
          <w:p w14:paraId="2FD4C3EF"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Base</w:t>
            </w:r>
            <w:r>
              <w:rPr>
                <w:rFonts w:ascii="Calibri" w:eastAsia="Calibri" w:hAnsi="Calibri" w:cs="Calibri"/>
                <w:b/>
                <w:bCs/>
              </w:rPr>
              <w:t xml:space="preserve"> </w:t>
            </w:r>
            <w:r w:rsidRPr="004B1923">
              <w:rPr>
                <w:rFonts w:ascii="Calibri" w:eastAsia="Calibri" w:hAnsi="Calibri" w:cs="Calibri"/>
                <w:b/>
                <w:bCs/>
              </w:rPr>
              <w:t>Gara</w:t>
            </w:r>
            <w:r>
              <w:rPr>
                <w:rFonts w:ascii="Calibri" w:eastAsia="Calibri" w:hAnsi="Calibri" w:cs="Calibri"/>
                <w:b/>
                <w:bCs/>
              </w:rPr>
              <w:t xml:space="preserve"> </w:t>
            </w:r>
            <w:r w:rsidRPr="004B1923">
              <w:rPr>
                <w:rFonts w:ascii="Calibri" w:eastAsia="Calibri" w:hAnsi="Calibri" w:cs="Calibri"/>
                <w:b/>
                <w:bCs/>
              </w:rPr>
              <w:t>65%</w:t>
            </w:r>
          </w:p>
        </w:tc>
        <w:tc>
          <w:tcPr>
            <w:tcW w:w="938" w:type="pct"/>
            <w:shd w:val="clear" w:color="auto" w:fill="A5C34C" w:themeFill="accent6" w:themeFillShade="BF"/>
            <w:tcMar>
              <w:top w:w="15" w:type="dxa"/>
              <w:left w:w="15" w:type="dxa"/>
              <w:bottom w:w="0" w:type="dxa"/>
              <w:right w:w="15" w:type="dxa"/>
            </w:tcMar>
            <w:vAlign w:val="center"/>
            <w:hideMark/>
          </w:tcPr>
          <w:p w14:paraId="106D6BF0"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Ricavi</w:t>
            </w:r>
            <w:r>
              <w:rPr>
                <w:rFonts w:ascii="Calibri" w:eastAsia="Calibri" w:hAnsi="Calibri" w:cs="Calibri"/>
                <w:b/>
                <w:bCs/>
              </w:rPr>
              <w:t xml:space="preserve"> </w:t>
            </w:r>
            <w:r w:rsidRPr="004B1923">
              <w:rPr>
                <w:rFonts w:ascii="Calibri" w:eastAsia="Calibri" w:hAnsi="Calibri" w:cs="Calibri"/>
                <w:b/>
                <w:bCs/>
              </w:rPr>
              <w:t>35%</w:t>
            </w:r>
          </w:p>
        </w:tc>
      </w:tr>
      <w:tr w:rsidR="00162229" w:rsidRPr="004B1923" w14:paraId="052D62A8" w14:textId="77777777" w:rsidTr="002A21C0">
        <w:trPr>
          <w:trHeight w:val="300"/>
        </w:trPr>
        <w:tc>
          <w:tcPr>
            <w:tcW w:w="1249" w:type="pct"/>
            <w:shd w:val="clear" w:color="auto" w:fill="A5C34C" w:themeFill="accent6" w:themeFillShade="BF"/>
            <w:tcMar>
              <w:top w:w="15" w:type="dxa"/>
              <w:left w:w="15" w:type="dxa"/>
              <w:bottom w:w="0" w:type="dxa"/>
              <w:right w:w="15" w:type="dxa"/>
            </w:tcMar>
            <w:vAlign w:val="center"/>
            <w:hideMark/>
          </w:tcPr>
          <w:p w14:paraId="389BE90F" w14:textId="77777777" w:rsidR="00162229" w:rsidRPr="004B1923" w:rsidRDefault="00162229" w:rsidP="002A21C0">
            <w:pPr>
              <w:spacing w:after="0" w:line="240" w:lineRule="auto"/>
              <w:jc w:val="center"/>
              <w:rPr>
                <w:rFonts w:ascii="Calibri" w:eastAsia="Calibri" w:hAnsi="Calibri" w:cs="Calibri"/>
                <w:b/>
                <w:bCs/>
              </w:rPr>
            </w:pPr>
          </w:p>
        </w:tc>
        <w:tc>
          <w:tcPr>
            <w:tcW w:w="939" w:type="pct"/>
            <w:shd w:val="clear" w:color="auto" w:fill="A5C34C" w:themeFill="accent6" w:themeFillShade="BF"/>
            <w:noWrap/>
            <w:tcMar>
              <w:top w:w="15" w:type="dxa"/>
              <w:left w:w="15" w:type="dxa"/>
              <w:bottom w:w="0" w:type="dxa"/>
              <w:right w:w="15" w:type="dxa"/>
            </w:tcMar>
            <w:vAlign w:val="center"/>
            <w:hideMark/>
          </w:tcPr>
          <w:p w14:paraId="5048B91E"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(veic-km/anno)</w:t>
            </w:r>
          </w:p>
        </w:tc>
        <w:tc>
          <w:tcPr>
            <w:tcW w:w="937" w:type="pct"/>
            <w:shd w:val="clear" w:color="auto" w:fill="A5C34C" w:themeFill="accent6" w:themeFillShade="BF"/>
            <w:tcMar>
              <w:top w:w="15" w:type="dxa"/>
              <w:left w:w="15" w:type="dxa"/>
              <w:bottom w:w="0" w:type="dxa"/>
              <w:right w:w="15" w:type="dxa"/>
            </w:tcMar>
            <w:vAlign w:val="center"/>
            <w:hideMark/>
          </w:tcPr>
          <w:p w14:paraId="10F2977B"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w:t>
            </w:r>
          </w:p>
        </w:tc>
        <w:tc>
          <w:tcPr>
            <w:tcW w:w="937" w:type="pct"/>
            <w:shd w:val="clear" w:color="auto" w:fill="A5C34C" w:themeFill="accent6" w:themeFillShade="BF"/>
            <w:vAlign w:val="center"/>
          </w:tcPr>
          <w:p w14:paraId="45AA0C85"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w:t>
            </w:r>
          </w:p>
        </w:tc>
        <w:tc>
          <w:tcPr>
            <w:tcW w:w="938" w:type="pct"/>
            <w:shd w:val="clear" w:color="auto" w:fill="A5C34C" w:themeFill="accent6" w:themeFillShade="BF"/>
            <w:tcMar>
              <w:top w:w="15" w:type="dxa"/>
              <w:left w:w="15" w:type="dxa"/>
              <w:bottom w:w="0" w:type="dxa"/>
              <w:right w:w="15" w:type="dxa"/>
            </w:tcMar>
            <w:vAlign w:val="center"/>
            <w:hideMark/>
          </w:tcPr>
          <w:p w14:paraId="27AF250E" w14:textId="77777777" w:rsidR="00162229" w:rsidRPr="004B1923" w:rsidRDefault="00162229" w:rsidP="002A21C0">
            <w:pPr>
              <w:spacing w:after="0" w:line="240" w:lineRule="auto"/>
              <w:jc w:val="center"/>
              <w:rPr>
                <w:rFonts w:ascii="Calibri" w:eastAsia="Calibri" w:hAnsi="Calibri" w:cs="Calibri"/>
                <w:b/>
                <w:bCs/>
              </w:rPr>
            </w:pPr>
            <w:r w:rsidRPr="004B1923">
              <w:rPr>
                <w:rFonts w:ascii="Calibri" w:eastAsia="Calibri" w:hAnsi="Calibri" w:cs="Calibri"/>
                <w:b/>
                <w:bCs/>
              </w:rPr>
              <w:t>(€)</w:t>
            </w:r>
          </w:p>
        </w:tc>
      </w:tr>
      <w:tr w:rsidR="00162229" w:rsidRPr="004B1923" w14:paraId="283297C4" w14:textId="77777777" w:rsidTr="002A21C0">
        <w:trPr>
          <w:trHeight w:val="300"/>
        </w:trPr>
        <w:tc>
          <w:tcPr>
            <w:tcW w:w="1249" w:type="pct"/>
            <w:noWrap/>
            <w:tcMar>
              <w:top w:w="15" w:type="dxa"/>
              <w:left w:w="15" w:type="dxa"/>
              <w:bottom w:w="0" w:type="dxa"/>
              <w:right w:w="15" w:type="dxa"/>
            </w:tcMar>
            <w:vAlign w:val="center"/>
            <w:hideMark/>
          </w:tcPr>
          <w:p w14:paraId="392E6EF8" w14:textId="77777777" w:rsidR="00162229" w:rsidRPr="004B1923" w:rsidRDefault="00162229" w:rsidP="002A21C0">
            <w:pPr>
              <w:spacing w:after="0" w:line="240" w:lineRule="auto"/>
              <w:jc w:val="left"/>
              <w:rPr>
                <w:rFonts w:ascii="Calibri" w:eastAsia="Calibri" w:hAnsi="Calibri" w:cs="Calibri"/>
              </w:rPr>
            </w:pPr>
            <w:r w:rsidRPr="004B1923">
              <w:rPr>
                <w:rFonts w:ascii="Calibri" w:eastAsia="Calibri" w:hAnsi="Calibri" w:cs="Calibri"/>
              </w:rPr>
              <w:t>Lotto1AT</w:t>
            </w:r>
          </w:p>
        </w:tc>
        <w:tc>
          <w:tcPr>
            <w:tcW w:w="939" w:type="pct"/>
            <w:noWrap/>
            <w:tcMar>
              <w:top w:w="15" w:type="dxa"/>
              <w:left w:w="15" w:type="dxa"/>
              <w:bottom w:w="0" w:type="dxa"/>
              <w:right w:w="15" w:type="dxa"/>
            </w:tcMar>
            <w:hideMark/>
          </w:tcPr>
          <w:p w14:paraId="4563F2D1" w14:textId="77777777" w:rsidR="00162229" w:rsidRPr="004B1923" w:rsidRDefault="00162229" w:rsidP="002A21C0">
            <w:pPr>
              <w:spacing w:after="0" w:line="240" w:lineRule="auto"/>
              <w:jc w:val="right"/>
              <w:rPr>
                <w:rFonts w:ascii="Calibri" w:eastAsia="Calibri" w:hAnsi="Calibri" w:cs="Calibri"/>
              </w:rPr>
            </w:pPr>
            <w:r w:rsidRPr="004B1923">
              <w:t>5.144.088</w:t>
            </w:r>
          </w:p>
        </w:tc>
        <w:tc>
          <w:tcPr>
            <w:tcW w:w="937" w:type="pct"/>
            <w:noWrap/>
            <w:tcMar>
              <w:top w:w="15" w:type="dxa"/>
              <w:left w:w="15" w:type="dxa"/>
              <w:bottom w:w="0" w:type="dxa"/>
              <w:right w:w="15" w:type="dxa"/>
            </w:tcMar>
            <w:hideMark/>
          </w:tcPr>
          <w:p w14:paraId="266703C9" w14:textId="77777777" w:rsidR="00162229" w:rsidRPr="004B1923" w:rsidRDefault="00162229" w:rsidP="002A21C0">
            <w:pPr>
              <w:spacing w:after="0" w:line="240" w:lineRule="auto"/>
              <w:jc w:val="right"/>
              <w:rPr>
                <w:rFonts w:ascii="Calibri" w:eastAsia="Calibri" w:hAnsi="Calibri" w:cs="Calibri"/>
              </w:rPr>
            </w:pPr>
            <w:r w:rsidRPr="004B1923">
              <w:t>16.180.078,44€</w:t>
            </w:r>
          </w:p>
        </w:tc>
        <w:tc>
          <w:tcPr>
            <w:tcW w:w="937" w:type="pct"/>
          </w:tcPr>
          <w:p w14:paraId="5908F0E9" w14:textId="77777777" w:rsidR="00162229" w:rsidRPr="004B1923" w:rsidRDefault="00162229" w:rsidP="002A21C0">
            <w:pPr>
              <w:spacing w:after="0" w:line="240" w:lineRule="auto"/>
              <w:jc w:val="right"/>
              <w:rPr>
                <w:rFonts w:ascii="Calibri" w:eastAsia="Calibri" w:hAnsi="Calibri" w:cs="Calibri"/>
              </w:rPr>
            </w:pPr>
            <w:r w:rsidRPr="004B1923">
              <w:t>10.517.050,99€</w:t>
            </w:r>
          </w:p>
        </w:tc>
        <w:tc>
          <w:tcPr>
            <w:tcW w:w="938" w:type="pct"/>
            <w:noWrap/>
            <w:tcMar>
              <w:top w:w="15" w:type="dxa"/>
              <w:left w:w="15" w:type="dxa"/>
              <w:bottom w:w="0" w:type="dxa"/>
              <w:right w:w="15" w:type="dxa"/>
            </w:tcMar>
            <w:hideMark/>
          </w:tcPr>
          <w:p w14:paraId="470F1201" w14:textId="77777777" w:rsidR="00162229" w:rsidRPr="004B1923" w:rsidRDefault="00162229" w:rsidP="002A21C0">
            <w:pPr>
              <w:spacing w:after="0" w:line="240" w:lineRule="auto"/>
              <w:jc w:val="right"/>
              <w:rPr>
                <w:rFonts w:ascii="Calibri" w:eastAsia="Calibri" w:hAnsi="Calibri" w:cs="Calibri"/>
              </w:rPr>
            </w:pPr>
            <w:r w:rsidRPr="004B1923">
              <w:t>5.663.027,4</w:t>
            </w:r>
            <w:r>
              <w:t>5</w:t>
            </w:r>
            <w:r w:rsidRPr="004B1923">
              <w:t>€</w:t>
            </w:r>
          </w:p>
        </w:tc>
      </w:tr>
      <w:tr w:rsidR="00162229" w:rsidRPr="004B1923" w14:paraId="6BBCA347" w14:textId="77777777" w:rsidTr="002A21C0">
        <w:trPr>
          <w:trHeight w:val="300"/>
        </w:trPr>
        <w:tc>
          <w:tcPr>
            <w:tcW w:w="1249" w:type="pct"/>
            <w:noWrap/>
            <w:tcMar>
              <w:top w:w="15" w:type="dxa"/>
              <w:left w:w="15" w:type="dxa"/>
              <w:bottom w:w="0" w:type="dxa"/>
              <w:right w:w="15" w:type="dxa"/>
            </w:tcMar>
            <w:vAlign w:val="center"/>
            <w:hideMark/>
          </w:tcPr>
          <w:p w14:paraId="37F50728" w14:textId="77777777" w:rsidR="00162229" w:rsidRPr="004B1923" w:rsidRDefault="00162229" w:rsidP="002A21C0">
            <w:pPr>
              <w:spacing w:after="0" w:line="240" w:lineRule="auto"/>
              <w:jc w:val="left"/>
              <w:rPr>
                <w:rFonts w:ascii="Calibri" w:eastAsia="Calibri" w:hAnsi="Calibri" w:cs="Calibri"/>
              </w:rPr>
            </w:pPr>
            <w:r w:rsidRPr="004B1923">
              <w:rPr>
                <w:rFonts w:ascii="Calibri" w:eastAsia="Calibri" w:hAnsi="Calibri" w:cs="Calibri"/>
              </w:rPr>
              <w:t>Lotto2AL</w:t>
            </w:r>
          </w:p>
        </w:tc>
        <w:tc>
          <w:tcPr>
            <w:tcW w:w="939" w:type="pct"/>
            <w:tcBorders>
              <w:bottom w:val="single" w:sz="4" w:space="0" w:color="D9D9D9"/>
            </w:tcBorders>
            <w:noWrap/>
            <w:tcMar>
              <w:top w:w="15" w:type="dxa"/>
              <w:left w:w="15" w:type="dxa"/>
              <w:bottom w:w="0" w:type="dxa"/>
              <w:right w:w="15" w:type="dxa"/>
            </w:tcMar>
            <w:hideMark/>
          </w:tcPr>
          <w:p w14:paraId="4E2051E9" w14:textId="77777777" w:rsidR="00162229" w:rsidRPr="004B1923" w:rsidRDefault="00162229" w:rsidP="002A21C0">
            <w:pPr>
              <w:spacing w:after="0" w:line="240" w:lineRule="auto"/>
              <w:jc w:val="right"/>
              <w:rPr>
                <w:rFonts w:ascii="Calibri" w:eastAsia="Calibri" w:hAnsi="Calibri" w:cs="Calibri"/>
              </w:rPr>
            </w:pPr>
            <w:r w:rsidRPr="004B1923">
              <w:t>8.726.198</w:t>
            </w:r>
          </w:p>
        </w:tc>
        <w:tc>
          <w:tcPr>
            <w:tcW w:w="937" w:type="pct"/>
            <w:noWrap/>
            <w:tcMar>
              <w:top w:w="15" w:type="dxa"/>
              <w:left w:w="15" w:type="dxa"/>
              <w:bottom w:w="0" w:type="dxa"/>
              <w:right w:w="15" w:type="dxa"/>
            </w:tcMar>
            <w:hideMark/>
          </w:tcPr>
          <w:p w14:paraId="48F34351" w14:textId="77777777" w:rsidR="00162229" w:rsidRPr="004B1923" w:rsidRDefault="00162229" w:rsidP="002A21C0">
            <w:pPr>
              <w:spacing w:after="0" w:line="240" w:lineRule="auto"/>
              <w:jc w:val="right"/>
              <w:rPr>
                <w:rFonts w:ascii="Calibri" w:eastAsia="Calibri" w:hAnsi="Calibri" w:cs="Calibri"/>
              </w:rPr>
            </w:pPr>
            <w:r w:rsidRPr="004B1923">
              <w:t>27.811.801,76€</w:t>
            </w:r>
          </w:p>
        </w:tc>
        <w:tc>
          <w:tcPr>
            <w:tcW w:w="937" w:type="pct"/>
          </w:tcPr>
          <w:p w14:paraId="376A54F1" w14:textId="77777777" w:rsidR="00162229" w:rsidRPr="004B1923" w:rsidRDefault="00162229" w:rsidP="002A21C0">
            <w:pPr>
              <w:spacing w:after="0" w:line="240" w:lineRule="auto"/>
              <w:jc w:val="right"/>
              <w:rPr>
                <w:rFonts w:ascii="Calibri" w:eastAsia="Calibri" w:hAnsi="Calibri" w:cs="Calibri"/>
              </w:rPr>
            </w:pPr>
            <w:r w:rsidRPr="004B1923">
              <w:t>18.077.671,1</w:t>
            </w:r>
            <w:r>
              <w:t>4</w:t>
            </w:r>
            <w:r w:rsidRPr="004B1923">
              <w:t>€</w:t>
            </w:r>
          </w:p>
        </w:tc>
        <w:tc>
          <w:tcPr>
            <w:tcW w:w="938" w:type="pct"/>
            <w:noWrap/>
            <w:tcMar>
              <w:top w:w="15" w:type="dxa"/>
              <w:left w:w="15" w:type="dxa"/>
              <w:bottom w:w="0" w:type="dxa"/>
              <w:right w:w="15" w:type="dxa"/>
            </w:tcMar>
            <w:hideMark/>
          </w:tcPr>
          <w:p w14:paraId="05496537" w14:textId="77777777" w:rsidR="00162229" w:rsidRPr="004B1923" w:rsidRDefault="00162229" w:rsidP="002A21C0">
            <w:pPr>
              <w:spacing w:after="0" w:line="240" w:lineRule="auto"/>
              <w:jc w:val="right"/>
              <w:rPr>
                <w:rFonts w:ascii="Calibri" w:eastAsia="Calibri" w:hAnsi="Calibri" w:cs="Calibri"/>
              </w:rPr>
            </w:pPr>
            <w:r w:rsidRPr="004B1923">
              <w:t>9.734.130,62€</w:t>
            </w:r>
          </w:p>
        </w:tc>
      </w:tr>
      <w:tr w:rsidR="00162229" w:rsidRPr="004B1923" w14:paraId="688C0EBD" w14:textId="77777777" w:rsidTr="002A21C0">
        <w:trPr>
          <w:trHeight w:val="300"/>
        </w:trPr>
        <w:tc>
          <w:tcPr>
            <w:tcW w:w="1249" w:type="pct"/>
            <w:noWrap/>
            <w:tcMar>
              <w:top w:w="15" w:type="dxa"/>
              <w:left w:w="15" w:type="dxa"/>
              <w:bottom w:w="0" w:type="dxa"/>
              <w:right w:w="15" w:type="dxa"/>
            </w:tcMar>
            <w:vAlign w:val="center"/>
            <w:hideMark/>
          </w:tcPr>
          <w:p w14:paraId="3ED0D2C1" w14:textId="77777777" w:rsidR="00162229" w:rsidRPr="004B1923" w:rsidRDefault="00162229" w:rsidP="002A21C0">
            <w:pPr>
              <w:spacing w:after="0" w:line="240" w:lineRule="auto"/>
              <w:jc w:val="left"/>
              <w:rPr>
                <w:rFonts w:ascii="Calibri" w:eastAsia="Calibri" w:hAnsi="Calibri" w:cs="Calibri"/>
                <w:b/>
                <w:bCs/>
              </w:rPr>
            </w:pPr>
            <w:r w:rsidRPr="004B1923">
              <w:rPr>
                <w:rFonts w:ascii="Calibri" w:eastAsia="Calibri" w:hAnsi="Calibri" w:cs="Calibri"/>
                <w:b/>
                <w:bCs/>
              </w:rPr>
              <w:t>Totale</w:t>
            </w:r>
            <w:r>
              <w:rPr>
                <w:rFonts w:ascii="Calibri" w:eastAsia="Calibri" w:hAnsi="Calibri" w:cs="Calibri"/>
                <w:b/>
                <w:bCs/>
              </w:rPr>
              <w:t xml:space="preserve"> </w:t>
            </w:r>
            <w:r w:rsidRPr="004B1923">
              <w:rPr>
                <w:rFonts w:ascii="Calibri" w:eastAsia="Calibri" w:hAnsi="Calibri" w:cs="Calibri"/>
                <w:b/>
                <w:bCs/>
              </w:rPr>
              <w:t>bacino</w:t>
            </w:r>
          </w:p>
        </w:tc>
        <w:tc>
          <w:tcPr>
            <w:tcW w:w="939" w:type="pct"/>
            <w:tcBorders>
              <w:bottom w:val="single" w:sz="4" w:space="0" w:color="D9D9D9"/>
            </w:tcBorders>
            <w:noWrap/>
            <w:tcMar>
              <w:top w:w="15" w:type="dxa"/>
              <w:left w:w="15" w:type="dxa"/>
              <w:bottom w:w="0" w:type="dxa"/>
              <w:right w:w="15" w:type="dxa"/>
            </w:tcMar>
            <w:hideMark/>
          </w:tcPr>
          <w:p w14:paraId="6C32089B" w14:textId="77777777" w:rsidR="00162229" w:rsidRPr="004B1923" w:rsidRDefault="00162229" w:rsidP="002A21C0">
            <w:pPr>
              <w:spacing w:after="0" w:line="240" w:lineRule="auto"/>
              <w:jc w:val="right"/>
              <w:rPr>
                <w:rFonts w:ascii="Calibri" w:hAnsi="Calibri" w:cs="Calibri"/>
                <w:b/>
                <w:bCs/>
              </w:rPr>
            </w:pPr>
            <w:r w:rsidRPr="004B1923">
              <w:rPr>
                <w:b/>
                <w:bCs/>
              </w:rPr>
              <w:t>13.870.286</w:t>
            </w:r>
          </w:p>
        </w:tc>
        <w:tc>
          <w:tcPr>
            <w:tcW w:w="937" w:type="pct"/>
            <w:noWrap/>
            <w:tcMar>
              <w:top w:w="15" w:type="dxa"/>
              <w:left w:w="15" w:type="dxa"/>
              <w:bottom w:w="0" w:type="dxa"/>
              <w:right w:w="15" w:type="dxa"/>
            </w:tcMar>
            <w:hideMark/>
          </w:tcPr>
          <w:p w14:paraId="568121FC" w14:textId="77777777" w:rsidR="00162229" w:rsidRPr="004B1923" w:rsidRDefault="00162229" w:rsidP="002A21C0">
            <w:pPr>
              <w:spacing w:after="0" w:line="240" w:lineRule="auto"/>
              <w:jc w:val="right"/>
              <w:rPr>
                <w:rFonts w:ascii="Calibri" w:eastAsia="Calibri" w:hAnsi="Calibri" w:cs="Calibri"/>
                <w:b/>
                <w:bCs/>
              </w:rPr>
            </w:pPr>
            <w:r w:rsidRPr="004B1923">
              <w:rPr>
                <w:b/>
                <w:bCs/>
              </w:rPr>
              <w:t>43.991.880,2</w:t>
            </w:r>
            <w:r>
              <w:rPr>
                <w:b/>
                <w:bCs/>
              </w:rPr>
              <w:t>0</w:t>
            </w:r>
            <w:r w:rsidRPr="004B1923">
              <w:rPr>
                <w:b/>
                <w:bCs/>
              </w:rPr>
              <w:t>€</w:t>
            </w:r>
          </w:p>
        </w:tc>
        <w:tc>
          <w:tcPr>
            <w:tcW w:w="937" w:type="pct"/>
          </w:tcPr>
          <w:p w14:paraId="3301AE2B" w14:textId="77777777" w:rsidR="00162229" w:rsidRPr="004B1923" w:rsidRDefault="00162229" w:rsidP="002A21C0">
            <w:pPr>
              <w:spacing w:after="0" w:line="240" w:lineRule="auto"/>
              <w:jc w:val="right"/>
              <w:rPr>
                <w:rFonts w:ascii="Calibri" w:eastAsia="Calibri" w:hAnsi="Calibri" w:cs="Calibri"/>
                <w:b/>
                <w:bCs/>
              </w:rPr>
            </w:pPr>
            <w:r w:rsidRPr="004B1923">
              <w:rPr>
                <w:b/>
                <w:bCs/>
              </w:rPr>
              <w:t>28.594.722,1</w:t>
            </w:r>
            <w:r>
              <w:rPr>
                <w:b/>
                <w:bCs/>
              </w:rPr>
              <w:t>3</w:t>
            </w:r>
            <w:r w:rsidRPr="004B1923">
              <w:rPr>
                <w:b/>
                <w:bCs/>
              </w:rPr>
              <w:t>€</w:t>
            </w:r>
          </w:p>
        </w:tc>
        <w:tc>
          <w:tcPr>
            <w:tcW w:w="938" w:type="pct"/>
            <w:noWrap/>
            <w:tcMar>
              <w:top w:w="15" w:type="dxa"/>
              <w:left w:w="15" w:type="dxa"/>
              <w:bottom w:w="0" w:type="dxa"/>
              <w:right w:w="15" w:type="dxa"/>
            </w:tcMar>
            <w:hideMark/>
          </w:tcPr>
          <w:p w14:paraId="6283777E" w14:textId="77777777" w:rsidR="00162229" w:rsidRPr="004B1923" w:rsidRDefault="00162229" w:rsidP="002A21C0">
            <w:pPr>
              <w:spacing w:after="0" w:line="240" w:lineRule="auto"/>
              <w:jc w:val="right"/>
              <w:rPr>
                <w:rFonts w:ascii="Calibri" w:eastAsia="Calibri" w:hAnsi="Calibri" w:cs="Calibri"/>
                <w:b/>
                <w:bCs/>
              </w:rPr>
            </w:pPr>
            <w:r w:rsidRPr="004B1923">
              <w:rPr>
                <w:b/>
                <w:bCs/>
              </w:rPr>
              <w:t>15.397.158,07€</w:t>
            </w:r>
          </w:p>
        </w:tc>
      </w:tr>
    </w:tbl>
    <w:p w14:paraId="601E4D10" w14:textId="29A43A93" w:rsidR="00162229" w:rsidRPr="00AD01C5" w:rsidRDefault="00162229" w:rsidP="00162229">
      <w:pPr>
        <w:spacing w:after="0" w:line="240" w:lineRule="auto"/>
        <w:jc w:val="center"/>
        <w:rPr>
          <w:rFonts w:ascii="Calibri" w:eastAsia="Calibri" w:hAnsi="Calibri" w:cs="Arial"/>
          <w:iCs/>
          <w:color w:val="003366"/>
          <w:sz w:val="18"/>
          <w:szCs w:val="18"/>
        </w:rPr>
      </w:pPr>
      <w:bookmarkStart w:id="452" w:name="_Ref194076306"/>
      <w:r w:rsidRPr="00AD01C5">
        <w:rPr>
          <w:rFonts w:ascii="Calibri" w:eastAsia="Calibri" w:hAnsi="Calibri" w:cs="Arial"/>
          <w:i/>
          <w:iCs/>
          <w:color w:val="003366"/>
          <w:sz w:val="18"/>
          <w:szCs w:val="18"/>
        </w:rPr>
        <w:t xml:space="preserve">Tabella </w:t>
      </w:r>
      <w:r w:rsidRPr="00AD01C5">
        <w:rPr>
          <w:rFonts w:ascii="Calibri" w:eastAsia="Calibri" w:hAnsi="Calibri" w:cs="Arial"/>
          <w:i/>
          <w:iCs/>
          <w:color w:val="003366"/>
          <w:sz w:val="18"/>
          <w:szCs w:val="18"/>
        </w:rPr>
        <w:fldChar w:fldCharType="begin"/>
      </w:r>
      <w:r w:rsidRPr="00AD01C5">
        <w:rPr>
          <w:rFonts w:ascii="Calibri" w:eastAsia="Calibri" w:hAnsi="Calibri" w:cs="Arial"/>
          <w:i/>
          <w:iCs/>
          <w:color w:val="003366"/>
          <w:sz w:val="18"/>
          <w:szCs w:val="18"/>
        </w:rPr>
        <w:instrText xml:space="preserve"> SEQ Tabella \* ARABIC </w:instrText>
      </w:r>
      <w:r w:rsidRPr="00AD01C5">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63</w:t>
      </w:r>
      <w:r w:rsidRPr="00AD01C5">
        <w:rPr>
          <w:rFonts w:ascii="Calibri" w:eastAsia="Calibri" w:hAnsi="Calibri" w:cs="Arial"/>
          <w:i/>
          <w:iCs/>
          <w:color w:val="003366"/>
          <w:sz w:val="18"/>
          <w:szCs w:val="18"/>
        </w:rPr>
        <w:fldChar w:fldCharType="end"/>
      </w:r>
      <w:bookmarkEnd w:id="452"/>
      <w:r w:rsidRPr="00AD01C5">
        <w:rPr>
          <w:rFonts w:ascii="Calibri" w:eastAsia="Calibri" w:hAnsi="Calibri" w:cs="Arial"/>
          <w:iCs/>
          <w:color w:val="003366"/>
          <w:sz w:val="18"/>
          <w:szCs w:val="18"/>
        </w:rPr>
        <w:t xml:space="preserve"> </w:t>
      </w:r>
      <w:r w:rsidRPr="00AD01C5">
        <w:rPr>
          <w:rFonts w:ascii="Calibri" w:eastAsia="Calibri" w:hAnsi="Calibri" w:cs="Arial"/>
          <w:i/>
          <w:color w:val="003366"/>
          <w:sz w:val="18"/>
          <w:szCs w:val="18"/>
        </w:rPr>
        <w:t>– Importi a base di gara per ciascun lotto</w:t>
      </w:r>
    </w:p>
    <w:p w14:paraId="057F47F1" w14:textId="68D95F40" w:rsidR="00162229" w:rsidRPr="00555449" w:rsidRDefault="00162229" w:rsidP="00162229">
      <w:pPr>
        <w:spacing w:before="120" w:after="0" w:line="240" w:lineRule="auto"/>
        <w:rPr>
          <w:rFonts w:ascii="Calibri" w:eastAsia="Calibri" w:hAnsi="Calibri" w:cs="Arial"/>
        </w:rPr>
      </w:pPr>
      <w:r w:rsidRPr="00555449">
        <w:rPr>
          <w:rFonts w:ascii="Calibri" w:eastAsia="Calibri" w:hAnsi="Calibri" w:cs="Arial"/>
        </w:rPr>
        <w:t>Il complesso delle risorse da</w:t>
      </w:r>
      <w:r>
        <w:rPr>
          <w:rFonts w:ascii="Calibri" w:eastAsia="Calibri" w:hAnsi="Calibri" w:cs="Arial"/>
        </w:rPr>
        <w:t xml:space="preserve"> </w:t>
      </w:r>
      <w:r w:rsidRPr="00555449">
        <w:rPr>
          <w:rFonts w:ascii="Calibri" w:eastAsia="Calibri" w:hAnsi="Calibri" w:cs="Arial"/>
        </w:rPr>
        <w:t xml:space="preserve">mettere a base di gara è pertanto il medesimo che si ottiene dalla </w:t>
      </w:r>
      <w:r w:rsidRPr="00555449">
        <w:rPr>
          <w:rFonts w:ascii="Calibri" w:eastAsia="Calibri" w:hAnsi="Calibri" w:cs="Arial"/>
          <w:highlight w:val="yellow"/>
        </w:rPr>
        <w:fldChar w:fldCharType="begin"/>
      </w:r>
      <w:r w:rsidRPr="00555449">
        <w:rPr>
          <w:rFonts w:ascii="Calibri" w:eastAsia="Calibri" w:hAnsi="Calibri" w:cs="Arial"/>
          <w:highlight w:val="yellow"/>
        </w:rPr>
        <w:instrText xml:space="preserve"> REF _Ref194076306 \h  \* MERGEFORMAT </w:instrText>
      </w:r>
      <w:r w:rsidRPr="00555449">
        <w:rPr>
          <w:rFonts w:ascii="Calibri" w:eastAsia="Calibri" w:hAnsi="Calibri" w:cs="Arial"/>
          <w:highlight w:val="yellow"/>
        </w:rPr>
      </w:r>
      <w:r w:rsidRPr="00555449">
        <w:rPr>
          <w:rFonts w:ascii="Calibri" w:eastAsia="Calibri" w:hAnsi="Calibri" w:cs="Arial"/>
          <w:highlight w:val="yellow"/>
        </w:rPr>
        <w:fldChar w:fldCharType="separate"/>
      </w:r>
      <w:r w:rsidR="00670903" w:rsidRPr="00670903">
        <w:rPr>
          <w:rFonts w:ascii="Calibri" w:eastAsia="Calibri" w:hAnsi="Calibri" w:cs="Arial"/>
          <w:i/>
          <w:iCs/>
        </w:rPr>
        <w:t>Tabella</w:t>
      </w:r>
      <w:r w:rsidR="00670903" w:rsidRPr="00AD01C5">
        <w:rPr>
          <w:rFonts w:ascii="Calibri" w:eastAsia="Calibri" w:hAnsi="Calibri" w:cs="Arial"/>
          <w:i/>
          <w:iCs/>
          <w:color w:val="003366"/>
          <w:sz w:val="18"/>
          <w:szCs w:val="18"/>
        </w:rPr>
        <w:t xml:space="preserve"> </w:t>
      </w:r>
      <w:r w:rsidR="00670903">
        <w:rPr>
          <w:rFonts w:ascii="Calibri" w:eastAsia="Calibri" w:hAnsi="Calibri" w:cs="Arial"/>
          <w:i/>
          <w:iCs/>
          <w:noProof/>
          <w:color w:val="003366"/>
          <w:sz w:val="18"/>
          <w:szCs w:val="18"/>
        </w:rPr>
        <w:t>63</w:t>
      </w:r>
      <w:r w:rsidRPr="00555449">
        <w:rPr>
          <w:rFonts w:ascii="Calibri" w:eastAsia="Calibri" w:hAnsi="Calibri" w:cs="Arial"/>
          <w:highlight w:val="yellow"/>
        </w:rPr>
        <w:fldChar w:fldCharType="end"/>
      </w:r>
      <w:r w:rsidRPr="00555449">
        <w:rPr>
          <w:rFonts w:ascii="Calibri" w:eastAsia="Calibri" w:hAnsi="Calibri" w:cs="Arial"/>
        </w:rPr>
        <w:t xml:space="preserve"> ovvero pari a circa 28,6 milioni di €/anno oltre iva per un totale di 31,5 milioni di €/anno.</w:t>
      </w:r>
    </w:p>
    <w:p w14:paraId="7EF795F4" w14:textId="77777777" w:rsidR="00162229" w:rsidRPr="00555449" w:rsidRDefault="00162229" w:rsidP="00162229">
      <w:pPr>
        <w:spacing w:before="120" w:after="0" w:line="240" w:lineRule="auto"/>
        <w:rPr>
          <w:rFonts w:ascii="Calibri" w:eastAsia="Calibri" w:hAnsi="Calibri" w:cs="Arial"/>
        </w:rPr>
      </w:pPr>
      <w:r w:rsidRPr="00555449">
        <w:rPr>
          <w:rFonts w:ascii="Calibri" w:eastAsia="Calibri" w:hAnsi="Calibri" w:cs="Arial"/>
        </w:rPr>
        <w:t>Per il Lotto a domanda debole della Val Borbera con una produzione programmata di 274.502 veic-km/anno, affidato direttamente, saranno previsti 590.000 €/anno iva inclusa</w:t>
      </w:r>
      <w:r w:rsidRPr="00555449">
        <w:rPr>
          <w:rFonts w:ascii="Calibri" w:eastAsia="Calibri" w:hAnsi="Calibri" w:cs="Arial"/>
          <w:sz w:val="18"/>
          <w:szCs w:val="18"/>
        </w:rPr>
        <w:t>.</w:t>
      </w:r>
    </w:p>
    <w:p w14:paraId="7B40B4B0" w14:textId="77777777" w:rsidR="00162229" w:rsidRPr="00555449" w:rsidRDefault="00162229" w:rsidP="00162229">
      <w:pPr>
        <w:pStyle w:val="Titolo3"/>
        <w:ind w:left="720"/>
      </w:pPr>
      <w:bookmarkStart w:id="453" w:name="_Toc1956863428"/>
      <w:bookmarkStart w:id="454" w:name="_Toc197695732"/>
      <w:bookmarkStart w:id="455" w:name="_Toc204616541"/>
      <w:bookmarkStart w:id="456" w:name="_Toc205213772"/>
      <w:bookmarkEnd w:id="451"/>
      <w:r w:rsidRPr="00555449">
        <w:t>Congruità delle risorse</w:t>
      </w:r>
      <w:bookmarkEnd w:id="453"/>
      <w:bookmarkEnd w:id="454"/>
      <w:bookmarkEnd w:id="455"/>
      <w:bookmarkEnd w:id="456"/>
    </w:p>
    <w:p w14:paraId="7C60B84C" w14:textId="51DFD54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 paragrafo </w:t>
      </w:r>
      <w:r w:rsidRPr="00AD01C5">
        <w:rPr>
          <w:rFonts w:ascii="Calibri" w:eastAsia="Calibri" w:hAnsi="Calibri" w:cs="Arial"/>
        </w:rPr>
        <w:fldChar w:fldCharType="begin"/>
      </w:r>
      <w:r w:rsidRPr="00AD01C5">
        <w:rPr>
          <w:rFonts w:ascii="Calibri" w:eastAsia="Calibri" w:hAnsi="Calibri" w:cs="Arial"/>
        </w:rPr>
        <w:instrText xml:space="preserve"> REF _Ref193816441 \r \h </w:instrText>
      </w:r>
      <w:r w:rsidRPr="00AD01C5">
        <w:rPr>
          <w:rFonts w:ascii="Calibri" w:eastAsia="Calibri" w:hAnsi="Calibri" w:cs="Arial"/>
        </w:rPr>
      </w:r>
      <w:r w:rsidRPr="00AD01C5">
        <w:rPr>
          <w:rFonts w:ascii="Calibri" w:eastAsia="Calibri" w:hAnsi="Calibri" w:cs="Arial"/>
        </w:rPr>
        <w:fldChar w:fldCharType="separate"/>
      </w:r>
      <w:r w:rsidR="00670903">
        <w:rPr>
          <w:rFonts w:ascii="Calibri" w:eastAsia="Calibri" w:hAnsi="Calibri" w:cs="Arial"/>
        </w:rPr>
        <w:t>5.3</w:t>
      </w:r>
      <w:r w:rsidRPr="00AD01C5">
        <w:rPr>
          <w:rFonts w:ascii="Calibri" w:eastAsia="Calibri" w:hAnsi="Calibri" w:cs="Arial"/>
        </w:rPr>
        <w:fldChar w:fldCharType="end"/>
      </w:r>
      <w:r w:rsidRPr="00AD01C5">
        <w:rPr>
          <w:rFonts w:ascii="Calibri" w:eastAsia="Calibri" w:hAnsi="Calibri" w:cs="Arial"/>
        </w:rPr>
        <w:t xml:space="preserve"> è stato presentato il quadro delle risorse attualmente impegnate per i servizi operati nell’ambito dei servizi del Bacino </w:t>
      </w:r>
      <w:r>
        <w:rPr>
          <w:rFonts w:ascii="Calibri" w:eastAsia="Calibri" w:hAnsi="Calibri" w:cs="Arial"/>
        </w:rPr>
        <w:t>Sud Est</w:t>
      </w:r>
      <w:r w:rsidRPr="00AD01C5">
        <w:rPr>
          <w:rFonts w:ascii="Calibri" w:eastAsia="Calibri" w:hAnsi="Calibri" w:cs="Arial"/>
        </w:rPr>
        <w:t xml:space="preserve"> che ammontano a circa </w:t>
      </w:r>
      <w:r>
        <w:rPr>
          <w:rFonts w:ascii="Calibri" w:eastAsia="Calibri" w:hAnsi="Calibri" w:cs="Arial"/>
        </w:rPr>
        <w:t>32</w:t>
      </w:r>
      <w:r w:rsidRPr="00AD01C5">
        <w:rPr>
          <w:rFonts w:ascii="Calibri" w:eastAsia="Calibri" w:hAnsi="Calibri" w:cs="Arial"/>
        </w:rPr>
        <w:t xml:space="preserve"> milioni di euro, nonché la sintesi ricavi per gli stessi servizi che nel 2023 ammontavano a circa </w:t>
      </w:r>
      <w:r>
        <w:rPr>
          <w:rFonts w:ascii="Calibri" w:eastAsia="Calibri" w:hAnsi="Calibri" w:cs="Arial"/>
        </w:rPr>
        <w:t>8,8</w:t>
      </w:r>
      <w:r w:rsidRPr="00AD01C5">
        <w:rPr>
          <w:rFonts w:ascii="Calibri" w:eastAsia="Calibri" w:hAnsi="Calibri" w:cs="Arial"/>
        </w:rPr>
        <w:t xml:space="preserve"> milioni di euro.</w:t>
      </w:r>
    </w:p>
    <w:p w14:paraId="258B3F43" w14:textId="77777777" w:rsidR="00162229" w:rsidRPr="00AD01C5" w:rsidRDefault="00162229" w:rsidP="00162229">
      <w:pPr>
        <w:spacing w:before="120" w:after="0" w:line="240" w:lineRule="auto"/>
        <w:rPr>
          <w:rFonts w:ascii="Calibri" w:eastAsia="Calibri" w:hAnsi="Calibri" w:cs="Arial"/>
        </w:rPr>
      </w:pPr>
      <w:r w:rsidRPr="00AD01C5">
        <w:rPr>
          <w:rFonts w:ascii="Calibri" w:eastAsia="Calibri" w:hAnsi="Calibri" w:cs="Arial"/>
        </w:rPr>
        <w:lastRenderedPageBreak/>
        <w:t>Le unità di rete definite, secondo la metodologia precedentemente descritta, e i conseguenti lotti di gara includono però anche dei servizi costituiti da linee extraurbane interbacino. Per l’erogazione di tali servizi sono state stimate le compensazioni relative all’annualità 2023.</w:t>
      </w:r>
    </w:p>
    <w:p w14:paraId="6A06A65C" w14:textId="2CBAC88F" w:rsidR="00162229" w:rsidRPr="00AA1AE6" w:rsidRDefault="00817F3B" w:rsidP="00162229">
      <w:pPr>
        <w:spacing w:before="120" w:after="0" w:line="240" w:lineRule="auto"/>
        <w:rPr>
          <w:rFonts w:ascii="Calibri" w:eastAsia="Calibri" w:hAnsi="Calibri" w:cs="Arial"/>
          <w:i/>
          <w:iCs/>
        </w:rPr>
      </w:pPr>
      <w:r>
        <w:rPr>
          <w:rFonts w:ascii="Calibri" w:eastAsia="Calibri" w:hAnsi="Calibri" w:cs="Arial"/>
        </w:rPr>
        <w:t>S</w:t>
      </w:r>
      <w:r w:rsidRPr="00AD01C5">
        <w:rPr>
          <w:rFonts w:ascii="Calibri" w:eastAsia="Calibri" w:hAnsi="Calibri" w:cs="Arial"/>
        </w:rPr>
        <w:t>i è proceduto</w:t>
      </w:r>
      <w:r>
        <w:rPr>
          <w:rFonts w:ascii="Calibri" w:eastAsia="Calibri" w:hAnsi="Calibri" w:cs="Arial"/>
        </w:rPr>
        <w:t>,</w:t>
      </w:r>
      <w:r w:rsidRPr="00AD01C5">
        <w:rPr>
          <w:rFonts w:ascii="Calibri" w:eastAsia="Calibri" w:hAnsi="Calibri" w:cs="Arial"/>
        </w:rPr>
        <w:t xml:space="preserve"> avvalendosi delle informazioni messe a disposizione dall’Autorità di Regolazione attraverso il monitoraggio della contabilità regolatoria annualità 2023 (COREG)</w:t>
      </w:r>
      <w:r>
        <w:rPr>
          <w:rFonts w:ascii="Calibri" w:eastAsia="Calibri" w:hAnsi="Calibri" w:cs="Arial"/>
        </w:rPr>
        <w:t>, a</w:t>
      </w:r>
      <w:r w:rsidR="00162229" w:rsidRPr="00AD01C5">
        <w:rPr>
          <w:rFonts w:ascii="Calibri" w:eastAsia="Calibri" w:hAnsi="Calibri" w:cs="Arial"/>
        </w:rPr>
        <w:t xml:space="preserve"> stimare i ricavi da traffico</w:t>
      </w:r>
      <w:r w:rsidR="00162229">
        <w:rPr>
          <w:rFonts w:ascii="Calibri" w:eastAsia="Calibri" w:hAnsi="Calibri" w:cs="Arial"/>
        </w:rPr>
        <w:t xml:space="preserve">, i ricavi totali </w:t>
      </w:r>
      <w:r w:rsidR="00162229" w:rsidRPr="00AD01C5">
        <w:rPr>
          <w:rFonts w:ascii="Calibri" w:eastAsia="Calibri" w:hAnsi="Calibri" w:cs="Arial"/>
        </w:rPr>
        <w:t>e le compensazioni per le 6 linee interbacino, di cui al</w:t>
      </w:r>
      <w:r w:rsidR="00AA1AE6">
        <w:rPr>
          <w:rFonts w:ascii="Calibri" w:eastAsia="Calibri" w:hAnsi="Calibri" w:cs="Arial"/>
        </w:rPr>
        <w:t xml:space="preserve">la </w:t>
      </w:r>
      <w:r w:rsidR="00162229" w:rsidRPr="00555449">
        <w:rPr>
          <w:rFonts w:ascii="Calibri" w:eastAsia="Calibri" w:hAnsi="Calibri" w:cs="Arial"/>
          <w:i/>
          <w:iCs/>
        </w:rPr>
        <w:fldChar w:fldCharType="begin"/>
      </w:r>
      <w:r w:rsidR="00162229" w:rsidRPr="00555449">
        <w:rPr>
          <w:rFonts w:ascii="Calibri" w:eastAsia="Calibri" w:hAnsi="Calibri" w:cs="Arial"/>
          <w:i/>
          <w:iCs/>
        </w:rPr>
        <w:instrText xml:space="preserve"> REF _Ref204248331 \h  \* MERGEFORMAT </w:instrText>
      </w:r>
      <w:r w:rsidR="00162229" w:rsidRPr="00555449">
        <w:rPr>
          <w:rFonts w:ascii="Calibri" w:eastAsia="Calibri" w:hAnsi="Calibri" w:cs="Arial"/>
          <w:i/>
          <w:iCs/>
        </w:rPr>
      </w:r>
      <w:r w:rsidR="00162229" w:rsidRPr="00555449">
        <w:rPr>
          <w:rFonts w:ascii="Calibri" w:eastAsia="Calibri" w:hAnsi="Calibri" w:cs="Arial"/>
          <w:i/>
          <w:iCs/>
        </w:rPr>
        <w:fldChar w:fldCharType="separate"/>
      </w:r>
      <w:r w:rsidR="00670903" w:rsidRPr="00670903">
        <w:rPr>
          <w:rFonts w:ascii="Calibri" w:eastAsia="Calibri" w:hAnsi="Calibri" w:cs="Arial"/>
          <w:i/>
          <w:iCs/>
        </w:rPr>
        <w:t xml:space="preserve">Tabella 51 – Elenco linee integrate nel Bacino </w:t>
      </w:r>
      <w:r w:rsidR="00162229" w:rsidRPr="00555449">
        <w:rPr>
          <w:rFonts w:ascii="Calibri" w:eastAsia="Calibri" w:hAnsi="Calibri" w:cs="Arial"/>
          <w:i/>
          <w:iCs/>
        </w:rPr>
        <w:fldChar w:fldCharType="end"/>
      </w:r>
      <w:r w:rsidR="00162229" w:rsidRPr="00AD01C5">
        <w:rPr>
          <w:rFonts w:ascii="Calibri" w:eastAsia="Calibri" w:hAnsi="Calibri" w:cs="Arial"/>
        </w:rPr>
        <w:t xml:space="preserve">assegnate al Bacino </w:t>
      </w:r>
      <w:r w:rsidR="00162229">
        <w:rPr>
          <w:rFonts w:ascii="Calibri" w:eastAsia="Calibri" w:hAnsi="Calibri" w:cs="Arial"/>
        </w:rPr>
        <w:t>Sud Est</w:t>
      </w:r>
      <w:r w:rsidR="00162229" w:rsidRPr="00AD01C5">
        <w:rPr>
          <w:rFonts w:ascii="Calibri" w:eastAsia="Calibri" w:hAnsi="Calibri" w:cs="Arial"/>
        </w:rPr>
        <w:t>.</w:t>
      </w:r>
      <w:r w:rsidR="00162229">
        <w:rPr>
          <w:rFonts w:ascii="Calibri" w:eastAsia="Calibri" w:hAnsi="Calibri" w:cs="Arial"/>
        </w:rPr>
        <w:t xml:space="preserve"> Si ricorda che le compensazioni pubbliche per CCNL non sono state considerate come Ricavi ma confluiscono nelle compensazioni.</w:t>
      </w:r>
    </w:p>
    <w:p w14:paraId="1C28FA08" w14:textId="7BD0DD83" w:rsidR="00162229" w:rsidRPr="00C62445" w:rsidRDefault="00162229" w:rsidP="00162229">
      <w:pPr>
        <w:spacing w:before="120" w:after="0" w:line="240" w:lineRule="auto"/>
        <w:rPr>
          <w:rFonts w:ascii="Calibri" w:eastAsia="Calibri" w:hAnsi="Calibri" w:cs="Arial"/>
        </w:rPr>
      </w:pPr>
      <w:r w:rsidRPr="00C62445">
        <w:rPr>
          <w:rFonts w:ascii="Calibri" w:eastAsia="Calibri" w:hAnsi="Calibri" w:cs="Arial"/>
        </w:rPr>
        <w:t>Si sono estratti i valori del conto economico e i dati tecnici per le aziende e per i contratti all’interno dei quali sono operate le linee in questione; sono stati calcolati i seguenti indicatori (per soggetto e per contratto): (RICAVITRAFFICO)/KM, (RICAVITOTALIesclusoCCNL)/KM, (CORRISPETTIVO)/KM). Questi tre indicatori sono stati moltiplicati per i KMPEA al fine di ottenere i valori relativi alle 6 linee. Si ottengono circa 2milioni di compensazioni e circa 725 mila€ di ricavi da traffico.</w:t>
      </w:r>
      <w:r>
        <w:rPr>
          <w:rFonts w:ascii="Calibri" w:eastAsia="Calibri" w:hAnsi="Calibri" w:cs="Arial"/>
        </w:rPr>
        <w:t xml:space="preserve"> </w:t>
      </w:r>
    </w:p>
    <w:p w14:paraId="6B0CB9E1" w14:textId="5BE2F8FE" w:rsidR="00162229" w:rsidRDefault="00162229" w:rsidP="00162229">
      <w:pPr>
        <w:spacing w:before="120" w:after="0" w:line="240" w:lineRule="auto"/>
        <w:rPr>
          <w:rFonts w:ascii="Calibri" w:eastAsia="Calibri" w:hAnsi="Calibri" w:cs="Arial"/>
        </w:rPr>
      </w:pPr>
      <w:r w:rsidRPr="00AD01C5">
        <w:rPr>
          <w:rFonts w:ascii="Calibri" w:eastAsia="Calibri" w:hAnsi="Calibri" w:cs="Arial"/>
        </w:rPr>
        <w:t xml:space="preserve">Nella tabella seguente si riporta un quadro complessivo delle risorse pubbliche destinate ai servizi complessivamente messi a gara per il Bacino </w:t>
      </w:r>
      <w:r>
        <w:rPr>
          <w:rFonts w:ascii="Calibri" w:eastAsia="Calibri" w:hAnsi="Calibri" w:cs="Arial"/>
        </w:rPr>
        <w:t>Sud Est</w:t>
      </w:r>
      <w:r w:rsidR="00136B70">
        <w:rPr>
          <w:rFonts w:ascii="Calibri" w:eastAsia="Calibri" w:hAnsi="Calibri" w:cs="Arial"/>
        </w:rPr>
        <w:t xml:space="preserve"> (al netto dei servizi in area a domanda debole)</w:t>
      </w:r>
      <w:r w:rsidRPr="00AD01C5">
        <w:rPr>
          <w:rFonts w:ascii="Calibri" w:eastAsia="Calibri" w:hAnsi="Calibri" w:cs="Arial"/>
        </w:rPr>
        <w:t xml:space="preserve"> e i rispettivi ricavi per l’anno 2023 (base dati si è utilizzato l’Osservatorio Nazionale per il TPL e la contabilità Regolatoria ART come sopra specificato</w:t>
      </w:r>
      <w:r w:rsidR="00136B70">
        <w:rPr>
          <w:rFonts w:ascii="Calibri" w:eastAsia="Calibri" w:hAnsi="Calibri" w:cs="Arial"/>
        </w:rPr>
        <w:t>)</w:t>
      </w:r>
      <w:r w:rsidRPr="00AD01C5">
        <w:rPr>
          <w:rFonts w:ascii="Calibri" w:eastAsia="Calibri" w:hAnsi="Calibri" w:cs="Arial"/>
        </w:rPr>
        <w:t>.</w:t>
      </w:r>
    </w:p>
    <w:p w14:paraId="6243D6AF" w14:textId="77777777" w:rsidR="00162229" w:rsidRPr="00C62445" w:rsidRDefault="00162229" w:rsidP="00162229">
      <w:pPr>
        <w:spacing w:before="120" w:after="0" w:line="240" w:lineRule="auto"/>
        <w:rPr>
          <w:rFonts w:ascii="Calibri" w:eastAsia="Calibri" w:hAnsi="Calibri" w:cs="Arial"/>
        </w:rPr>
      </w:pPr>
    </w:p>
    <w:tbl>
      <w:tblPr>
        <w:tblW w:w="9050" w:type="dxa"/>
        <w:tblLayout w:type="fixed"/>
        <w:tblCellMar>
          <w:left w:w="70" w:type="dxa"/>
          <w:right w:w="70" w:type="dxa"/>
        </w:tblCellMar>
        <w:tblLook w:val="04A0" w:firstRow="1" w:lastRow="0" w:firstColumn="1" w:lastColumn="0" w:noHBand="0" w:noVBand="1"/>
      </w:tblPr>
      <w:tblGrid>
        <w:gridCol w:w="2547"/>
        <w:gridCol w:w="2126"/>
        <w:gridCol w:w="2552"/>
        <w:gridCol w:w="1825"/>
      </w:tblGrid>
      <w:tr w:rsidR="00162229" w:rsidRPr="00C62445" w14:paraId="03AB5BA6" w14:textId="77777777" w:rsidTr="002A21C0">
        <w:trPr>
          <w:trHeight w:val="900"/>
        </w:trPr>
        <w:tc>
          <w:tcPr>
            <w:tcW w:w="2547" w:type="dxa"/>
            <w:tcBorders>
              <w:top w:val="single" w:sz="4" w:space="0" w:color="A6A6A6"/>
              <w:left w:val="single" w:sz="4" w:space="0" w:color="A6A6A6"/>
              <w:bottom w:val="single" w:sz="4" w:space="0" w:color="A6A6A6"/>
              <w:right w:val="single" w:sz="4" w:space="0" w:color="A6A6A6"/>
            </w:tcBorders>
            <w:shd w:val="clear" w:color="000000" w:fill="A5C34C"/>
            <w:vAlign w:val="center"/>
            <w:hideMark/>
          </w:tcPr>
          <w:p w14:paraId="5F8FF1C8" w14:textId="77777777" w:rsidR="00162229" w:rsidRPr="00C62445" w:rsidRDefault="00162229" w:rsidP="002A21C0">
            <w:pPr>
              <w:spacing w:after="0" w:line="240" w:lineRule="auto"/>
              <w:jc w:val="center"/>
              <w:rPr>
                <w:rFonts w:ascii="Calibri" w:eastAsia="Times New Roman" w:hAnsi="Calibri" w:cs="Calibri"/>
                <w:b/>
                <w:bCs/>
              </w:rPr>
            </w:pPr>
          </w:p>
        </w:tc>
        <w:tc>
          <w:tcPr>
            <w:tcW w:w="2126" w:type="dxa"/>
            <w:tcBorders>
              <w:top w:val="single" w:sz="4" w:space="0" w:color="A6A6A6"/>
              <w:left w:val="nil"/>
              <w:bottom w:val="single" w:sz="4" w:space="0" w:color="A6A6A6"/>
              <w:right w:val="single" w:sz="4" w:space="0" w:color="A6A6A6"/>
            </w:tcBorders>
            <w:shd w:val="clear" w:color="000000" w:fill="A5C34C"/>
            <w:vAlign w:val="center"/>
            <w:hideMark/>
          </w:tcPr>
          <w:p w14:paraId="303B6950"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Servizi</w:t>
            </w:r>
            <w:r>
              <w:rPr>
                <w:rFonts w:ascii="Calibri" w:eastAsia="Times New Roman" w:hAnsi="Calibri" w:cs="Calibri"/>
                <w:b/>
                <w:bCs/>
              </w:rPr>
              <w:t xml:space="preserve"> </w:t>
            </w:r>
            <w:r w:rsidRPr="00C62445">
              <w:rPr>
                <w:rFonts w:ascii="Calibri" w:eastAsia="Times New Roman" w:hAnsi="Calibri" w:cs="Calibri"/>
                <w:b/>
                <w:bCs/>
              </w:rPr>
              <w:t>urbani</w:t>
            </w:r>
            <w:r>
              <w:rPr>
                <w:rFonts w:ascii="Calibri" w:eastAsia="Times New Roman" w:hAnsi="Calibri" w:cs="Calibri"/>
                <w:b/>
                <w:bCs/>
              </w:rPr>
              <w:t xml:space="preserve"> </w:t>
            </w:r>
            <w:r w:rsidRPr="00C62445">
              <w:rPr>
                <w:rFonts w:ascii="Calibri" w:eastAsia="Times New Roman" w:hAnsi="Calibri" w:cs="Calibri"/>
                <w:b/>
                <w:bCs/>
              </w:rPr>
              <w:t>ed</w:t>
            </w:r>
            <w:r>
              <w:rPr>
                <w:rFonts w:ascii="Calibri" w:eastAsia="Times New Roman" w:hAnsi="Calibri" w:cs="Calibri"/>
                <w:b/>
                <w:bCs/>
              </w:rPr>
              <w:t xml:space="preserve"> </w:t>
            </w:r>
            <w:r w:rsidRPr="00C62445">
              <w:rPr>
                <w:rFonts w:ascii="Calibri" w:eastAsia="Times New Roman" w:hAnsi="Calibri" w:cs="Calibri"/>
                <w:b/>
                <w:bCs/>
              </w:rPr>
              <w:t>extraurbani</w:t>
            </w:r>
          </w:p>
        </w:tc>
        <w:tc>
          <w:tcPr>
            <w:tcW w:w="2552" w:type="dxa"/>
            <w:tcBorders>
              <w:top w:val="single" w:sz="4" w:space="0" w:color="A6A6A6"/>
              <w:left w:val="nil"/>
              <w:bottom w:val="single" w:sz="4" w:space="0" w:color="A6A6A6"/>
              <w:right w:val="single" w:sz="4" w:space="0" w:color="A6A6A6"/>
            </w:tcBorders>
            <w:shd w:val="clear" w:color="000000" w:fill="A5C34C"/>
            <w:vAlign w:val="center"/>
            <w:hideMark/>
          </w:tcPr>
          <w:p w14:paraId="7243EBDD"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Servizi</w:t>
            </w:r>
            <w:r>
              <w:rPr>
                <w:rFonts w:ascii="Calibri" w:eastAsia="Times New Roman" w:hAnsi="Calibri" w:cs="Calibri"/>
                <w:b/>
                <w:bCs/>
              </w:rPr>
              <w:t xml:space="preserve"> </w:t>
            </w:r>
            <w:r w:rsidRPr="00C62445">
              <w:rPr>
                <w:rFonts w:ascii="Calibri" w:eastAsia="Times New Roman" w:hAnsi="Calibri" w:cs="Calibri"/>
                <w:b/>
                <w:bCs/>
              </w:rPr>
              <w:t>extraurbani</w:t>
            </w:r>
            <w:r>
              <w:rPr>
                <w:rFonts w:ascii="Calibri" w:eastAsia="Times New Roman" w:hAnsi="Calibri" w:cs="Calibri"/>
                <w:b/>
                <w:bCs/>
              </w:rPr>
              <w:t xml:space="preserve"> </w:t>
            </w:r>
            <w:r w:rsidRPr="00C62445">
              <w:rPr>
                <w:rFonts w:ascii="Calibri" w:eastAsia="Times New Roman" w:hAnsi="Calibri" w:cs="Calibri"/>
                <w:b/>
                <w:bCs/>
              </w:rPr>
              <w:t>interbacino</w:t>
            </w:r>
          </w:p>
        </w:tc>
        <w:tc>
          <w:tcPr>
            <w:tcW w:w="1825" w:type="dxa"/>
            <w:tcBorders>
              <w:top w:val="single" w:sz="4" w:space="0" w:color="A6A6A6"/>
              <w:left w:val="nil"/>
              <w:bottom w:val="single" w:sz="4" w:space="0" w:color="A6A6A6"/>
              <w:right w:val="single" w:sz="4" w:space="0" w:color="A6A6A6"/>
            </w:tcBorders>
            <w:shd w:val="clear" w:color="000000" w:fill="A5C34C"/>
            <w:vAlign w:val="center"/>
            <w:hideMark/>
          </w:tcPr>
          <w:p w14:paraId="32BC7A44"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Totale</w:t>
            </w:r>
          </w:p>
        </w:tc>
      </w:tr>
      <w:tr w:rsidR="00162229" w:rsidRPr="00C62445" w14:paraId="67A592E2" w14:textId="77777777" w:rsidTr="002A21C0">
        <w:trPr>
          <w:trHeight w:val="300"/>
        </w:trPr>
        <w:tc>
          <w:tcPr>
            <w:tcW w:w="2547" w:type="dxa"/>
            <w:tcBorders>
              <w:top w:val="nil"/>
              <w:left w:val="single" w:sz="4" w:space="0" w:color="A6A6A6"/>
              <w:bottom w:val="single" w:sz="4" w:space="0" w:color="A6A6A6"/>
              <w:right w:val="single" w:sz="4" w:space="0" w:color="A6A6A6"/>
            </w:tcBorders>
            <w:vAlign w:val="center"/>
            <w:hideMark/>
          </w:tcPr>
          <w:p w14:paraId="5FE793B8" w14:textId="77777777" w:rsidR="00162229" w:rsidRPr="00C62445" w:rsidRDefault="00162229" w:rsidP="002A21C0">
            <w:pPr>
              <w:spacing w:after="0" w:line="240" w:lineRule="auto"/>
              <w:jc w:val="left"/>
              <w:rPr>
                <w:rFonts w:ascii="Calibri" w:eastAsia="Times New Roman" w:hAnsi="Calibri" w:cs="Calibri"/>
              </w:rPr>
            </w:pPr>
            <w:r w:rsidRPr="00C62445">
              <w:rPr>
                <w:rFonts w:ascii="Calibri" w:eastAsia="Times New Roman" w:hAnsi="Calibri" w:cs="Calibri"/>
              </w:rPr>
              <w:t>Compensazioni</w:t>
            </w:r>
          </w:p>
        </w:tc>
        <w:tc>
          <w:tcPr>
            <w:tcW w:w="2126" w:type="dxa"/>
            <w:tcBorders>
              <w:top w:val="nil"/>
              <w:left w:val="nil"/>
              <w:bottom w:val="single" w:sz="4" w:space="0" w:color="A6A6A6"/>
              <w:right w:val="single" w:sz="4" w:space="0" w:color="A6A6A6"/>
            </w:tcBorders>
            <w:vAlign w:val="center"/>
            <w:hideMark/>
          </w:tcPr>
          <w:p w14:paraId="521ADE52"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26.056.688€</w:t>
            </w:r>
          </w:p>
        </w:tc>
        <w:tc>
          <w:tcPr>
            <w:tcW w:w="2552" w:type="dxa"/>
            <w:tcBorders>
              <w:top w:val="nil"/>
              <w:left w:val="nil"/>
              <w:bottom w:val="single" w:sz="4" w:space="0" w:color="A6A6A6"/>
              <w:right w:val="single" w:sz="4" w:space="0" w:color="A6A6A6"/>
            </w:tcBorders>
            <w:vAlign w:val="center"/>
            <w:hideMark/>
          </w:tcPr>
          <w:p w14:paraId="6BCFDFE1"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1.858.031,19€</w:t>
            </w:r>
          </w:p>
        </w:tc>
        <w:tc>
          <w:tcPr>
            <w:tcW w:w="1825" w:type="dxa"/>
            <w:tcBorders>
              <w:top w:val="nil"/>
              <w:left w:val="nil"/>
              <w:bottom w:val="single" w:sz="4" w:space="0" w:color="A6A6A6"/>
              <w:right w:val="single" w:sz="4" w:space="0" w:color="A6A6A6"/>
            </w:tcBorders>
            <w:vAlign w:val="center"/>
            <w:hideMark/>
          </w:tcPr>
          <w:p w14:paraId="20CCB0C1"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27.914.719€</w:t>
            </w:r>
          </w:p>
        </w:tc>
      </w:tr>
      <w:tr w:rsidR="00162229" w:rsidRPr="00C62445" w14:paraId="484A47AE" w14:textId="77777777" w:rsidTr="002A21C0">
        <w:trPr>
          <w:trHeight w:val="300"/>
        </w:trPr>
        <w:tc>
          <w:tcPr>
            <w:tcW w:w="2547" w:type="dxa"/>
            <w:tcBorders>
              <w:top w:val="nil"/>
              <w:left w:val="single" w:sz="4" w:space="0" w:color="A6A6A6"/>
              <w:bottom w:val="single" w:sz="4" w:space="0" w:color="A6A6A6"/>
              <w:right w:val="single" w:sz="4" w:space="0" w:color="A6A6A6"/>
            </w:tcBorders>
            <w:vAlign w:val="center"/>
            <w:hideMark/>
          </w:tcPr>
          <w:p w14:paraId="5600DFD6" w14:textId="77777777" w:rsidR="00162229" w:rsidRPr="00C62445" w:rsidRDefault="00162229" w:rsidP="002A21C0">
            <w:pPr>
              <w:spacing w:after="0" w:line="240" w:lineRule="auto"/>
              <w:jc w:val="left"/>
              <w:rPr>
                <w:rFonts w:ascii="Calibri" w:eastAsia="Times New Roman" w:hAnsi="Calibri" w:cs="Calibri"/>
              </w:rPr>
            </w:pPr>
            <w:r w:rsidRPr="00C62445">
              <w:rPr>
                <w:rFonts w:ascii="Calibri" w:eastAsia="Times New Roman" w:hAnsi="Calibri" w:cs="Calibri"/>
              </w:rPr>
              <w:t>CCNL</w:t>
            </w:r>
          </w:p>
        </w:tc>
        <w:tc>
          <w:tcPr>
            <w:tcW w:w="2126" w:type="dxa"/>
            <w:tcBorders>
              <w:top w:val="nil"/>
              <w:left w:val="nil"/>
              <w:bottom w:val="single" w:sz="4" w:space="0" w:color="A6A6A6"/>
              <w:right w:val="single" w:sz="4" w:space="0" w:color="A6A6A6"/>
            </w:tcBorders>
            <w:vAlign w:val="center"/>
            <w:hideMark/>
          </w:tcPr>
          <w:p w14:paraId="7A97F89E"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2.585.910€</w:t>
            </w:r>
          </w:p>
        </w:tc>
        <w:tc>
          <w:tcPr>
            <w:tcW w:w="2552" w:type="dxa"/>
            <w:tcBorders>
              <w:top w:val="nil"/>
              <w:left w:val="nil"/>
              <w:bottom w:val="single" w:sz="4" w:space="0" w:color="A6A6A6"/>
              <w:right w:val="single" w:sz="4" w:space="0" w:color="A6A6A6"/>
            </w:tcBorders>
            <w:vAlign w:val="center"/>
            <w:hideMark/>
          </w:tcPr>
          <w:p w14:paraId="3329CA79"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205.572,65€</w:t>
            </w:r>
          </w:p>
        </w:tc>
        <w:tc>
          <w:tcPr>
            <w:tcW w:w="1825" w:type="dxa"/>
            <w:tcBorders>
              <w:top w:val="nil"/>
              <w:left w:val="nil"/>
              <w:bottom w:val="single" w:sz="4" w:space="0" w:color="A6A6A6"/>
              <w:right w:val="single" w:sz="4" w:space="0" w:color="A6A6A6"/>
            </w:tcBorders>
            <w:vAlign w:val="center"/>
            <w:hideMark/>
          </w:tcPr>
          <w:p w14:paraId="65494E36"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2.791.483€</w:t>
            </w:r>
          </w:p>
        </w:tc>
      </w:tr>
      <w:tr w:rsidR="00162229" w:rsidRPr="00C62445" w14:paraId="7652D10A" w14:textId="77777777" w:rsidTr="002A21C0">
        <w:trPr>
          <w:trHeight w:val="300"/>
        </w:trPr>
        <w:tc>
          <w:tcPr>
            <w:tcW w:w="2547" w:type="dxa"/>
            <w:tcBorders>
              <w:top w:val="nil"/>
              <w:left w:val="single" w:sz="4" w:space="0" w:color="A6A6A6"/>
              <w:bottom w:val="single" w:sz="4" w:space="0" w:color="A6A6A6"/>
              <w:right w:val="single" w:sz="4" w:space="0" w:color="A6A6A6"/>
            </w:tcBorders>
            <w:vAlign w:val="center"/>
            <w:hideMark/>
          </w:tcPr>
          <w:p w14:paraId="64ACC4C9" w14:textId="77777777" w:rsidR="00162229" w:rsidRPr="00C62445" w:rsidRDefault="00162229" w:rsidP="002A21C0">
            <w:pPr>
              <w:spacing w:after="0" w:line="240" w:lineRule="auto"/>
              <w:jc w:val="left"/>
              <w:rPr>
                <w:rFonts w:ascii="Calibri" w:eastAsia="Times New Roman" w:hAnsi="Calibri" w:cs="Calibri"/>
                <w:b/>
                <w:bCs/>
              </w:rPr>
            </w:pPr>
            <w:r w:rsidRPr="00C62445">
              <w:rPr>
                <w:rFonts w:ascii="Calibri" w:eastAsia="Times New Roman" w:hAnsi="Calibri" w:cs="Calibri"/>
                <w:b/>
                <w:bCs/>
              </w:rPr>
              <w:t>Totale</w:t>
            </w:r>
            <w:r>
              <w:rPr>
                <w:rFonts w:ascii="Calibri" w:eastAsia="Times New Roman" w:hAnsi="Calibri" w:cs="Calibri"/>
                <w:b/>
                <w:bCs/>
              </w:rPr>
              <w:t xml:space="preserve"> </w:t>
            </w:r>
            <w:r w:rsidRPr="00C62445">
              <w:rPr>
                <w:rFonts w:ascii="Calibri" w:eastAsia="Times New Roman" w:hAnsi="Calibri" w:cs="Calibri"/>
                <w:b/>
                <w:bCs/>
              </w:rPr>
              <w:t>risorse</w:t>
            </w:r>
            <w:r>
              <w:rPr>
                <w:rFonts w:ascii="Calibri" w:eastAsia="Times New Roman" w:hAnsi="Calibri" w:cs="Calibri"/>
                <w:b/>
                <w:bCs/>
              </w:rPr>
              <w:t xml:space="preserve"> </w:t>
            </w:r>
            <w:r w:rsidRPr="00C62445">
              <w:rPr>
                <w:rFonts w:ascii="Calibri" w:eastAsia="Times New Roman" w:hAnsi="Calibri" w:cs="Calibri"/>
                <w:b/>
                <w:bCs/>
              </w:rPr>
              <w:t>impegnate</w:t>
            </w:r>
          </w:p>
        </w:tc>
        <w:tc>
          <w:tcPr>
            <w:tcW w:w="2126" w:type="dxa"/>
            <w:tcBorders>
              <w:top w:val="nil"/>
              <w:left w:val="nil"/>
              <w:bottom w:val="single" w:sz="4" w:space="0" w:color="A6A6A6"/>
              <w:right w:val="single" w:sz="4" w:space="0" w:color="A6A6A6"/>
            </w:tcBorders>
            <w:vAlign w:val="center"/>
            <w:hideMark/>
          </w:tcPr>
          <w:p w14:paraId="53064669" w14:textId="77777777" w:rsidR="00162229" w:rsidRPr="00C62445" w:rsidRDefault="00162229" w:rsidP="002A21C0">
            <w:pPr>
              <w:spacing w:after="0" w:line="240" w:lineRule="auto"/>
              <w:jc w:val="right"/>
              <w:rPr>
                <w:rFonts w:ascii="Calibri" w:eastAsia="Times New Roman" w:hAnsi="Calibri" w:cs="Calibri"/>
                <w:b/>
                <w:bCs/>
              </w:rPr>
            </w:pPr>
            <w:r w:rsidRPr="00C62445">
              <w:rPr>
                <w:rFonts w:ascii="Calibri" w:eastAsia="Times New Roman" w:hAnsi="Calibri" w:cs="Calibri"/>
                <w:b/>
                <w:bCs/>
              </w:rPr>
              <w:t>28.642.598€</w:t>
            </w:r>
          </w:p>
        </w:tc>
        <w:tc>
          <w:tcPr>
            <w:tcW w:w="2552" w:type="dxa"/>
            <w:tcBorders>
              <w:top w:val="nil"/>
              <w:left w:val="nil"/>
              <w:bottom w:val="single" w:sz="4" w:space="0" w:color="A6A6A6"/>
              <w:right w:val="single" w:sz="4" w:space="0" w:color="A6A6A6"/>
            </w:tcBorders>
            <w:vAlign w:val="center"/>
            <w:hideMark/>
          </w:tcPr>
          <w:p w14:paraId="32C7F97F" w14:textId="77777777" w:rsidR="00162229" w:rsidRPr="00C62445" w:rsidRDefault="00162229" w:rsidP="002A21C0">
            <w:pPr>
              <w:spacing w:after="0" w:line="240" w:lineRule="auto"/>
              <w:jc w:val="right"/>
              <w:rPr>
                <w:rFonts w:ascii="Calibri" w:eastAsia="Times New Roman" w:hAnsi="Calibri" w:cs="Calibri"/>
                <w:b/>
                <w:bCs/>
              </w:rPr>
            </w:pPr>
            <w:r w:rsidRPr="00C62445">
              <w:rPr>
                <w:rFonts w:ascii="Calibri" w:eastAsia="Times New Roman" w:hAnsi="Calibri" w:cs="Calibri"/>
                <w:b/>
                <w:bCs/>
              </w:rPr>
              <w:t>2.063.604€</w:t>
            </w:r>
          </w:p>
        </w:tc>
        <w:tc>
          <w:tcPr>
            <w:tcW w:w="1825" w:type="dxa"/>
            <w:tcBorders>
              <w:top w:val="nil"/>
              <w:left w:val="nil"/>
              <w:bottom w:val="single" w:sz="4" w:space="0" w:color="A6A6A6"/>
              <w:right w:val="single" w:sz="4" w:space="0" w:color="A6A6A6"/>
            </w:tcBorders>
            <w:vAlign w:val="center"/>
            <w:hideMark/>
          </w:tcPr>
          <w:p w14:paraId="3CBB3E53" w14:textId="77777777" w:rsidR="00162229" w:rsidRPr="00C62445" w:rsidRDefault="00162229" w:rsidP="002A21C0">
            <w:pPr>
              <w:spacing w:after="0" w:line="240" w:lineRule="auto"/>
              <w:jc w:val="right"/>
              <w:rPr>
                <w:rFonts w:ascii="Calibri" w:eastAsia="Times New Roman" w:hAnsi="Calibri" w:cs="Calibri"/>
                <w:b/>
                <w:bCs/>
              </w:rPr>
            </w:pPr>
            <w:r w:rsidRPr="00C62445">
              <w:rPr>
                <w:rFonts w:ascii="Calibri" w:eastAsia="Times New Roman" w:hAnsi="Calibri" w:cs="Calibri"/>
                <w:b/>
                <w:bCs/>
              </w:rPr>
              <w:t>30.706.202€</w:t>
            </w:r>
          </w:p>
        </w:tc>
      </w:tr>
    </w:tbl>
    <w:p w14:paraId="622A5322" w14:textId="77777777" w:rsidR="00162229" w:rsidRPr="00C62445" w:rsidRDefault="00162229" w:rsidP="00162229">
      <w:pPr>
        <w:spacing w:before="120" w:after="0" w:line="240" w:lineRule="auto"/>
        <w:rPr>
          <w:rFonts w:ascii="Calibri" w:eastAsia="Calibri" w:hAnsi="Calibri" w:cs="Arial"/>
        </w:rPr>
      </w:pPr>
    </w:p>
    <w:tbl>
      <w:tblPr>
        <w:tblW w:w="9067" w:type="dxa"/>
        <w:tblLayout w:type="fixed"/>
        <w:tblCellMar>
          <w:left w:w="70" w:type="dxa"/>
          <w:right w:w="70" w:type="dxa"/>
        </w:tblCellMar>
        <w:tblLook w:val="04A0" w:firstRow="1" w:lastRow="0" w:firstColumn="1" w:lastColumn="0" w:noHBand="0" w:noVBand="1"/>
      </w:tblPr>
      <w:tblGrid>
        <w:gridCol w:w="2547"/>
        <w:gridCol w:w="2126"/>
        <w:gridCol w:w="2552"/>
        <w:gridCol w:w="1842"/>
      </w:tblGrid>
      <w:tr w:rsidR="00162229" w:rsidRPr="00C62445" w14:paraId="35003A37" w14:textId="77777777" w:rsidTr="002A21C0">
        <w:trPr>
          <w:trHeight w:val="900"/>
        </w:trPr>
        <w:tc>
          <w:tcPr>
            <w:tcW w:w="2547" w:type="dxa"/>
            <w:tcBorders>
              <w:top w:val="single" w:sz="4" w:space="0" w:color="A6A6A6"/>
              <w:left w:val="single" w:sz="4" w:space="0" w:color="A6A6A6"/>
              <w:bottom w:val="single" w:sz="4" w:space="0" w:color="A6A6A6"/>
              <w:right w:val="single" w:sz="4" w:space="0" w:color="A6A6A6"/>
            </w:tcBorders>
            <w:shd w:val="clear" w:color="000000" w:fill="A5C34C"/>
            <w:vAlign w:val="center"/>
            <w:hideMark/>
          </w:tcPr>
          <w:p w14:paraId="0CC42BC7" w14:textId="77777777" w:rsidR="00162229" w:rsidRPr="00C62445" w:rsidRDefault="00162229" w:rsidP="002A21C0">
            <w:pPr>
              <w:spacing w:after="0" w:line="240" w:lineRule="auto"/>
              <w:jc w:val="center"/>
              <w:rPr>
                <w:rFonts w:ascii="Calibri" w:eastAsia="Times New Roman" w:hAnsi="Calibri" w:cs="Calibri"/>
                <w:b/>
                <w:bCs/>
              </w:rPr>
            </w:pPr>
          </w:p>
        </w:tc>
        <w:tc>
          <w:tcPr>
            <w:tcW w:w="2126" w:type="dxa"/>
            <w:tcBorders>
              <w:top w:val="single" w:sz="4" w:space="0" w:color="A6A6A6"/>
              <w:left w:val="nil"/>
              <w:bottom w:val="single" w:sz="4" w:space="0" w:color="A6A6A6"/>
              <w:right w:val="single" w:sz="4" w:space="0" w:color="A6A6A6"/>
            </w:tcBorders>
            <w:shd w:val="clear" w:color="000000" w:fill="A5C34C"/>
            <w:vAlign w:val="center"/>
            <w:hideMark/>
          </w:tcPr>
          <w:p w14:paraId="5CD01E66"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Servizi</w:t>
            </w:r>
            <w:r>
              <w:rPr>
                <w:rFonts w:ascii="Calibri" w:eastAsia="Times New Roman" w:hAnsi="Calibri" w:cs="Calibri"/>
                <w:b/>
                <w:bCs/>
              </w:rPr>
              <w:t xml:space="preserve"> </w:t>
            </w:r>
            <w:r w:rsidRPr="00C62445">
              <w:rPr>
                <w:rFonts w:ascii="Calibri" w:eastAsia="Times New Roman" w:hAnsi="Calibri" w:cs="Calibri"/>
                <w:b/>
                <w:bCs/>
              </w:rPr>
              <w:t>urbani</w:t>
            </w:r>
            <w:r>
              <w:rPr>
                <w:rFonts w:ascii="Calibri" w:eastAsia="Times New Roman" w:hAnsi="Calibri" w:cs="Calibri"/>
                <w:b/>
                <w:bCs/>
              </w:rPr>
              <w:t xml:space="preserve"> </w:t>
            </w:r>
            <w:r w:rsidRPr="00C62445">
              <w:rPr>
                <w:rFonts w:ascii="Calibri" w:eastAsia="Times New Roman" w:hAnsi="Calibri" w:cs="Calibri"/>
                <w:b/>
                <w:bCs/>
              </w:rPr>
              <w:t>ed</w:t>
            </w:r>
            <w:r>
              <w:rPr>
                <w:rFonts w:ascii="Calibri" w:eastAsia="Times New Roman" w:hAnsi="Calibri" w:cs="Calibri"/>
                <w:b/>
                <w:bCs/>
              </w:rPr>
              <w:t xml:space="preserve"> </w:t>
            </w:r>
            <w:r w:rsidRPr="00C62445">
              <w:rPr>
                <w:rFonts w:ascii="Calibri" w:eastAsia="Times New Roman" w:hAnsi="Calibri" w:cs="Calibri"/>
                <w:b/>
                <w:bCs/>
              </w:rPr>
              <w:t>extraurbani</w:t>
            </w:r>
          </w:p>
        </w:tc>
        <w:tc>
          <w:tcPr>
            <w:tcW w:w="2552" w:type="dxa"/>
            <w:tcBorders>
              <w:top w:val="single" w:sz="4" w:space="0" w:color="A6A6A6"/>
              <w:left w:val="nil"/>
              <w:bottom w:val="single" w:sz="4" w:space="0" w:color="A6A6A6"/>
              <w:right w:val="single" w:sz="4" w:space="0" w:color="A6A6A6"/>
            </w:tcBorders>
            <w:shd w:val="clear" w:color="000000" w:fill="A5C34C"/>
            <w:vAlign w:val="center"/>
            <w:hideMark/>
          </w:tcPr>
          <w:p w14:paraId="372B163B"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Servizi</w:t>
            </w:r>
            <w:r>
              <w:rPr>
                <w:rFonts w:ascii="Calibri" w:eastAsia="Times New Roman" w:hAnsi="Calibri" w:cs="Calibri"/>
                <w:b/>
                <w:bCs/>
              </w:rPr>
              <w:t xml:space="preserve"> </w:t>
            </w:r>
            <w:r w:rsidRPr="00C62445">
              <w:rPr>
                <w:rFonts w:ascii="Calibri" w:eastAsia="Times New Roman" w:hAnsi="Calibri" w:cs="Calibri"/>
                <w:b/>
                <w:bCs/>
              </w:rPr>
              <w:t>extraurbani</w:t>
            </w:r>
            <w:r>
              <w:rPr>
                <w:rFonts w:ascii="Calibri" w:eastAsia="Times New Roman" w:hAnsi="Calibri" w:cs="Calibri"/>
                <w:b/>
                <w:bCs/>
              </w:rPr>
              <w:t xml:space="preserve"> </w:t>
            </w:r>
            <w:r w:rsidRPr="00C62445">
              <w:rPr>
                <w:rFonts w:ascii="Calibri" w:eastAsia="Times New Roman" w:hAnsi="Calibri" w:cs="Calibri"/>
                <w:b/>
                <w:bCs/>
              </w:rPr>
              <w:t>interbacino</w:t>
            </w:r>
          </w:p>
        </w:tc>
        <w:tc>
          <w:tcPr>
            <w:tcW w:w="1842" w:type="dxa"/>
            <w:tcBorders>
              <w:top w:val="single" w:sz="4" w:space="0" w:color="A6A6A6"/>
              <w:left w:val="nil"/>
              <w:bottom w:val="single" w:sz="4" w:space="0" w:color="A6A6A6"/>
              <w:right w:val="single" w:sz="4" w:space="0" w:color="A6A6A6"/>
            </w:tcBorders>
            <w:shd w:val="clear" w:color="000000" w:fill="A5C34C"/>
            <w:vAlign w:val="center"/>
            <w:hideMark/>
          </w:tcPr>
          <w:p w14:paraId="0B00B3D9" w14:textId="77777777" w:rsidR="00162229" w:rsidRPr="00C62445" w:rsidRDefault="00162229" w:rsidP="002A21C0">
            <w:pPr>
              <w:spacing w:after="0" w:line="240" w:lineRule="auto"/>
              <w:jc w:val="center"/>
              <w:rPr>
                <w:rFonts w:ascii="Calibri" w:eastAsia="Times New Roman" w:hAnsi="Calibri" w:cs="Calibri"/>
                <w:b/>
                <w:bCs/>
              </w:rPr>
            </w:pPr>
            <w:r w:rsidRPr="00C62445">
              <w:rPr>
                <w:rFonts w:ascii="Calibri" w:eastAsia="Times New Roman" w:hAnsi="Calibri" w:cs="Calibri"/>
                <w:b/>
                <w:bCs/>
              </w:rPr>
              <w:t>Totale</w:t>
            </w:r>
          </w:p>
        </w:tc>
      </w:tr>
      <w:tr w:rsidR="00162229" w:rsidRPr="00C62445" w14:paraId="789CCF80" w14:textId="77777777" w:rsidTr="002A21C0">
        <w:trPr>
          <w:trHeight w:val="300"/>
        </w:trPr>
        <w:tc>
          <w:tcPr>
            <w:tcW w:w="2547" w:type="dxa"/>
            <w:tcBorders>
              <w:top w:val="nil"/>
              <w:left w:val="single" w:sz="4" w:space="0" w:color="A6A6A6"/>
              <w:bottom w:val="single" w:sz="4" w:space="0" w:color="A6A6A6"/>
              <w:right w:val="single" w:sz="4" w:space="0" w:color="A6A6A6"/>
            </w:tcBorders>
            <w:vAlign w:val="center"/>
            <w:hideMark/>
          </w:tcPr>
          <w:p w14:paraId="64C6142A" w14:textId="77777777" w:rsidR="00162229" w:rsidRPr="00C62445" w:rsidRDefault="00162229" w:rsidP="002A21C0">
            <w:pPr>
              <w:spacing w:after="0" w:line="240" w:lineRule="auto"/>
              <w:jc w:val="left"/>
              <w:rPr>
                <w:rFonts w:ascii="Calibri" w:eastAsia="Times New Roman" w:hAnsi="Calibri" w:cs="Calibri"/>
              </w:rPr>
            </w:pPr>
            <w:r w:rsidRPr="00C62445">
              <w:rPr>
                <w:rFonts w:ascii="Calibri" w:eastAsia="Times New Roman" w:hAnsi="Calibri" w:cs="Calibri"/>
              </w:rPr>
              <w:t>Ricavi</w:t>
            </w:r>
            <w:r>
              <w:rPr>
                <w:rFonts w:ascii="Calibri" w:eastAsia="Times New Roman" w:hAnsi="Calibri" w:cs="Calibri"/>
              </w:rPr>
              <w:t xml:space="preserve"> </w:t>
            </w:r>
            <w:r w:rsidRPr="00C62445">
              <w:rPr>
                <w:rFonts w:ascii="Calibri" w:eastAsia="Times New Roman" w:hAnsi="Calibri" w:cs="Calibri"/>
              </w:rPr>
              <w:t>totali</w:t>
            </w:r>
          </w:p>
        </w:tc>
        <w:tc>
          <w:tcPr>
            <w:tcW w:w="2126" w:type="dxa"/>
            <w:tcBorders>
              <w:top w:val="nil"/>
              <w:left w:val="nil"/>
              <w:bottom w:val="single" w:sz="4" w:space="0" w:color="A6A6A6"/>
              <w:right w:val="single" w:sz="4" w:space="0" w:color="A6A6A6"/>
            </w:tcBorders>
            <w:vAlign w:val="center"/>
            <w:hideMark/>
          </w:tcPr>
          <w:p w14:paraId="1E007457"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9.372.719€</w:t>
            </w:r>
          </w:p>
        </w:tc>
        <w:tc>
          <w:tcPr>
            <w:tcW w:w="2552" w:type="dxa"/>
            <w:tcBorders>
              <w:top w:val="nil"/>
              <w:left w:val="nil"/>
              <w:bottom w:val="single" w:sz="4" w:space="0" w:color="A6A6A6"/>
              <w:right w:val="single" w:sz="4" w:space="0" w:color="A6A6A6"/>
            </w:tcBorders>
            <w:vAlign w:val="center"/>
            <w:hideMark/>
          </w:tcPr>
          <w:p w14:paraId="127BE25C"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866.663,55€</w:t>
            </w:r>
          </w:p>
        </w:tc>
        <w:tc>
          <w:tcPr>
            <w:tcW w:w="1842" w:type="dxa"/>
            <w:tcBorders>
              <w:top w:val="nil"/>
              <w:left w:val="nil"/>
              <w:bottom w:val="single" w:sz="4" w:space="0" w:color="A6A6A6"/>
              <w:right w:val="single" w:sz="4" w:space="0" w:color="A6A6A6"/>
            </w:tcBorders>
            <w:vAlign w:val="center"/>
            <w:hideMark/>
          </w:tcPr>
          <w:p w14:paraId="35A7921A"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10.239.383€</w:t>
            </w:r>
          </w:p>
        </w:tc>
      </w:tr>
      <w:tr w:rsidR="00162229" w:rsidRPr="00C62445" w14:paraId="7F65EB05" w14:textId="77777777" w:rsidTr="002A21C0">
        <w:trPr>
          <w:trHeight w:val="300"/>
        </w:trPr>
        <w:tc>
          <w:tcPr>
            <w:tcW w:w="2547" w:type="dxa"/>
            <w:tcBorders>
              <w:top w:val="nil"/>
              <w:left w:val="single" w:sz="4" w:space="0" w:color="A6A6A6"/>
              <w:bottom w:val="single" w:sz="4" w:space="0" w:color="A6A6A6"/>
              <w:right w:val="single" w:sz="4" w:space="0" w:color="A6A6A6"/>
            </w:tcBorders>
            <w:vAlign w:val="center"/>
            <w:hideMark/>
          </w:tcPr>
          <w:p w14:paraId="32D15C75" w14:textId="77777777" w:rsidR="00162229" w:rsidRPr="00C62445" w:rsidRDefault="00162229" w:rsidP="002A21C0">
            <w:pPr>
              <w:spacing w:after="0" w:line="240" w:lineRule="auto"/>
              <w:jc w:val="left"/>
              <w:rPr>
                <w:rFonts w:ascii="Calibri" w:eastAsia="Times New Roman" w:hAnsi="Calibri" w:cs="Calibri"/>
              </w:rPr>
            </w:pPr>
            <w:r>
              <w:rPr>
                <w:rFonts w:ascii="Calibri" w:eastAsia="Times New Roman" w:hAnsi="Calibri" w:cs="Calibri"/>
              </w:rPr>
              <w:t>d</w:t>
            </w:r>
            <w:r w:rsidRPr="00C62445">
              <w:rPr>
                <w:rFonts w:ascii="Calibri" w:eastAsia="Times New Roman" w:hAnsi="Calibri" w:cs="Calibri"/>
              </w:rPr>
              <w:t>i</w:t>
            </w:r>
            <w:r>
              <w:rPr>
                <w:rFonts w:ascii="Calibri" w:eastAsia="Times New Roman" w:hAnsi="Calibri" w:cs="Calibri"/>
              </w:rPr>
              <w:t xml:space="preserve"> </w:t>
            </w:r>
            <w:r w:rsidRPr="00C62445">
              <w:rPr>
                <w:rFonts w:ascii="Calibri" w:eastAsia="Times New Roman" w:hAnsi="Calibri" w:cs="Calibri"/>
              </w:rPr>
              <w:t>cui</w:t>
            </w:r>
            <w:r>
              <w:rPr>
                <w:rFonts w:ascii="Calibri" w:eastAsia="Times New Roman" w:hAnsi="Calibri" w:cs="Calibri"/>
              </w:rPr>
              <w:t xml:space="preserve"> </w:t>
            </w:r>
            <w:r w:rsidRPr="00C62445">
              <w:rPr>
                <w:rFonts w:ascii="Calibri" w:eastAsia="Times New Roman" w:hAnsi="Calibri" w:cs="Calibri"/>
              </w:rPr>
              <w:t>Ricavi</w:t>
            </w:r>
            <w:r>
              <w:rPr>
                <w:rFonts w:ascii="Calibri" w:eastAsia="Times New Roman" w:hAnsi="Calibri" w:cs="Calibri"/>
              </w:rPr>
              <w:t xml:space="preserve"> </w:t>
            </w:r>
            <w:r w:rsidRPr="00C62445">
              <w:rPr>
                <w:rFonts w:ascii="Calibri" w:eastAsia="Times New Roman" w:hAnsi="Calibri" w:cs="Calibri"/>
              </w:rPr>
              <w:t>tdv</w:t>
            </w:r>
          </w:p>
        </w:tc>
        <w:tc>
          <w:tcPr>
            <w:tcW w:w="2126" w:type="dxa"/>
            <w:tcBorders>
              <w:top w:val="nil"/>
              <w:left w:val="nil"/>
              <w:bottom w:val="single" w:sz="4" w:space="0" w:color="A6A6A6"/>
              <w:right w:val="single" w:sz="4" w:space="0" w:color="A6A6A6"/>
            </w:tcBorders>
            <w:vAlign w:val="center"/>
            <w:hideMark/>
          </w:tcPr>
          <w:p w14:paraId="24D4D131" w14:textId="77777777" w:rsidR="00162229" w:rsidRPr="00C62445" w:rsidRDefault="00162229" w:rsidP="002A21C0">
            <w:pPr>
              <w:spacing w:after="0" w:line="240" w:lineRule="auto"/>
              <w:jc w:val="right"/>
              <w:rPr>
                <w:rFonts w:ascii="Calibri" w:eastAsia="Times New Roman" w:hAnsi="Calibri" w:cs="Calibri"/>
                <w:i/>
                <w:iCs/>
              </w:rPr>
            </w:pPr>
            <w:r w:rsidRPr="00C62445">
              <w:rPr>
                <w:rFonts w:ascii="Calibri" w:eastAsia="Times New Roman" w:hAnsi="Calibri" w:cs="Calibri"/>
                <w:i/>
                <w:iCs/>
              </w:rPr>
              <w:t>8.200.354€</w:t>
            </w:r>
          </w:p>
        </w:tc>
        <w:tc>
          <w:tcPr>
            <w:tcW w:w="2552" w:type="dxa"/>
            <w:tcBorders>
              <w:top w:val="nil"/>
              <w:left w:val="nil"/>
              <w:bottom w:val="single" w:sz="4" w:space="0" w:color="A6A6A6"/>
              <w:right w:val="single" w:sz="4" w:space="0" w:color="A6A6A6"/>
            </w:tcBorders>
            <w:vAlign w:val="center"/>
            <w:hideMark/>
          </w:tcPr>
          <w:p w14:paraId="136A12BB" w14:textId="77777777" w:rsidR="00162229" w:rsidRPr="00C62445" w:rsidRDefault="00162229" w:rsidP="002A21C0">
            <w:pPr>
              <w:spacing w:after="0" w:line="240" w:lineRule="auto"/>
              <w:jc w:val="right"/>
              <w:rPr>
                <w:rFonts w:ascii="Calibri" w:eastAsia="Times New Roman" w:hAnsi="Calibri" w:cs="Calibri"/>
                <w:i/>
                <w:iCs/>
              </w:rPr>
            </w:pPr>
            <w:r w:rsidRPr="00C62445">
              <w:rPr>
                <w:rFonts w:ascii="Calibri" w:eastAsia="Times New Roman" w:hAnsi="Calibri" w:cs="Calibri"/>
                <w:i/>
                <w:iCs/>
              </w:rPr>
              <w:t>725.005,78€</w:t>
            </w:r>
          </w:p>
        </w:tc>
        <w:tc>
          <w:tcPr>
            <w:tcW w:w="1842" w:type="dxa"/>
            <w:tcBorders>
              <w:top w:val="nil"/>
              <w:left w:val="nil"/>
              <w:bottom w:val="single" w:sz="4" w:space="0" w:color="A6A6A6"/>
              <w:right w:val="single" w:sz="4" w:space="0" w:color="A6A6A6"/>
            </w:tcBorders>
            <w:vAlign w:val="center"/>
            <w:hideMark/>
          </w:tcPr>
          <w:p w14:paraId="675D3FD0" w14:textId="77777777" w:rsidR="00162229" w:rsidRPr="00C62445" w:rsidRDefault="00162229" w:rsidP="002A21C0">
            <w:pPr>
              <w:spacing w:after="0" w:line="240" w:lineRule="auto"/>
              <w:jc w:val="right"/>
              <w:rPr>
                <w:rFonts w:ascii="Calibri" w:eastAsia="Times New Roman" w:hAnsi="Calibri" w:cs="Calibri"/>
              </w:rPr>
            </w:pPr>
            <w:r w:rsidRPr="00C62445">
              <w:rPr>
                <w:rFonts w:ascii="Calibri" w:eastAsia="Times New Roman" w:hAnsi="Calibri" w:cs="Calibri"/>
              </w:rPr>
              <w:t>8.925.360€</w:t>
            </w:r>
          </w:p>
        </w:tc>
      </w:tr>
    </w:tbl>
    <w:p w14:paraId="03F62491" w14:textId="595F0104" w:rsidR="00162229" w:rsidRPr="001D5603" w:rsidRDefault="00162229" w:rsidP="00162229">
      <w:pPr>
        <w:spacing w:after="0" w:line="240" w:lineRule="auto"/>
        <w:jc w:val="center"/>
        <w:rPr>
          <w:rFonts w:ascii="Calibri" w:eastAsia="Calibri" w:hAnsi="Calibri" w:cs="Arial"/>
          <w:i/>
          <w:iCs/>
          <w:color w:val="003366"/>
          <w:sz w:val="18"/>
          <w:szCs w:val="18"/>
        </w:rPr>
      </w:pPr>
      <w:bookmarkStart w:id="457" w:name="_Ref192757622"/>
      <w:bookmarkStart w:id="458" w:name="_Hlk193886076"/>
      <w:r w:rsidRPr="001D5603">
        <w:rPr>
          <w:rFonts w:ascii="Calibri" w:eastAsia="Calibri" w:hAnsi="Calibri" w:cs="Arial"/>
          <w:i/>
          <w:iCs/>
          <w:color w:val="003366"/>
          <w:sz w:val="18"/>
          <w:szCs w:val="18"/>
        </w:rPr>
        <w:t xml:space="preserve">Tabella </w:t>
      </w:r>
      <w:r w:rsidRPr="001D5603">
        <w:rPr>
          <w:rFonts w:ascii="Calibri" w:eastAsia="Calibri" w:hAnsi="Calibri" w:cs="Arial"/>
          <w:i/>
          <w:iCs/>
          <w:color w:val="003366"/>
          <w:sz w:val="18"/>
          <w:szCs w:val="18"/>
        </w:rPr>
        <w:fldChar w:fldCharType="begin"/>
      </w:r>
      <w:r w:rsidRPr="001D5603">
        <w:rPr>
          <w:rFonts w:ascii="Calibri" w:eastAsia="Calibri" w:hAnsi="Calibri" w:cs="Arial"/>
          <w:i/>
          <w:iCs/>
          <w:color w:val="003366"/>
          <w:sz w:val="18"/>
          <w:szCs w:val="18"/>
        </w:rPr>
        <w:instrText xml:space="preserve"> SEQ Tabella \* ARABIC </w:instrText>
      </w:r>
      <w:r w:rsidRPr="001D5603">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64</w:t>
      </w:r>
      <w:r w:rsidRPr="001D5603">
        <w:rPr>
          <w:rFonts w:ascii="Calibri" w:eastAsia="Calibri" w:hAnsi="Calibri" w:cs="Arial"/>
          <w:i/>
          <w:iCs/>
          <w:color w:val="003366"/>
          <w:sz w:val="18"/>
          <w:szCs w:val="18"/>
        </w:rPr>
        <w:fldChar w:fldCharType="end"/>
      </w:r>
      <w:r w:rsidRPr="001D5603">
        <w:rPr>
          <w:rFonts w:ascii="Calibri" w:eastAsia="Calibri" w:hAnsi="Calibri" w:cs="Arial"/>
          <w:i/>
          <w:iCs/>
          <w:color w:val="003366"/>
          <w:sz w:val="18"/>
          <w:szCs w:val="18"/>
        </w:rPr>
        <w:t xml:space="preserve"> – Quadro compensazioni e ricavi 2023 dei servizi a gara</w:t>
      </w:r>
      <w:bookmarkEnd w:id="457"/>
    </w:p>
    <w:bookmarkEnd w:id="458"/>
    <w:p w14:paraId="45121494" w14:textId="6E801CA2" w:rsidR="00162229" w:rsidRPr="00B04291" w:rsidRDefault="00162229" w:rsidP="00162229">
      <w:pPr>
        <w:spacing w:before="120" w:after="0" w:line="240" w:lineRule="auto"/>
        <w:rPr>
          <w:rFonts w:ascii="Calibri" w:eastAsia="Calibri" w:hAnsi="Calibri" w:cs="Arial"/>
        </w:rPr>
      </w:pPr>
      <w:r w:rsidRPr="00B04291">
        <w:rPr>
          <w:rFonts w:ascii="Calibri" w:eastAsia="Calibri" w:hAnsi="Calibri" w:cs="Arial"/>
        </w:rPr>
        <w:t xml:space="preserve">Il valore complessivo al 2023 dei servizi che saranno oggetto di affidamento ammonta quindi a circa </w:t>
      </w:r>
      <w:r w:rsidR="00B04291" w:rsidRPr="00B04291">
        <w:rPr>
          <w:rFonts w:ascii="Calibri" w:eastAsia="Calibri" w:hAnsi="Calibri" w:cs="Arial"/>
        </w:rPr>
        <w:t>44,8</w:t>
      </w:r>
      <w:r w:rsidRPr="00B04291">
        <w:rPr>
          <w:rFonts w:ascii="Calibri" w:eastAsia="Calibri" w:hAnsi="Calibri" w:cs="Arial"/>
        </w:rPr>
        <w:t xml:space="preserve"> milioni di euro</w:t>
      </w:r>
      <w:r w:rsidR="00B04291" w:rsidRPr="00B04291">
        <w:rPr>
          <w:rFonts w:ascii="Calibri" w:eastAsia="Calibri" w:hAnsi="Calibri" w:cs="Arial"/>
        </w:rPr>
        <w:t xml:space="preserve"> (IVA esclusa)</w:t>
      </w:r>
      <w:r w:rsidRPr="00B04291">
        <w:rPr>
          <w:rFonts w:ascii="Calibri" w:eastAsia="Calibri" w:hAnsi="Calibri" w:cs="Arial"/>
        </w:rPr>
        <w:t xml:space="preserve">, di cui </w:t>
      </w:r>
      <w:r w:rsidR="00B04291" w:rsidRPr="00B04291">
        <w:rPr>
          <w:rFonts w:ascii="Calibri" w:eastAsia="Calibri" w:hAnsi="Calibri" w:cs="Arial"/>
        </w:rPr>
        <w:t>29,1</w:t>
      </w:r>
      <w:r w:rsidRPr="00B04291">
        <w:rPr>
          <w:rFonts w:ascii="Calibri" w:eastAsia="Calibri" w:hAnsi="Calibri" w:cs="Arial"/>
        </w:rPr>
        <w:t xml:space="preserve"> milioni inclusivi delle spettanze CCNL, </w:t>
      </w:r>
      <w:r w:rsidR="00B04291" w:rsidRPr="00B04291">
        <w:rPr>
          <w:rFonts w:ascii="Calibri" w:eastAsia="Calibri" w:hAnsi="Calibri" w:cs="Arial"/>
        </w:rPr>
        <w:t>pari al</w:t>
      </w:r>
      <w:r w:rsidRPr="00B04291">
        <w:rPr>
          <w:rFonts w:ascii="Calibri" w:eastAsia="Calibri" w:hAnsi="Calibri" w:cs="Arial"/>
        </w:rPr>
        <w:t xml:space="preserve"> 65% dei costi complessivi, per le compensazioni per l’assolvimento degli obblighi di servizio. </w:t>
      </w:r>
    </w:p>
    <w:p w14:paraId="6AE3AC72" w14:textId="2AA90307" w:rsidR="00B04291" w:rsidRPr="00B04291" w:rsidRDefault="00B04291" w:rsidP="00B04291">
      <w:pPr>
        <w:spacing w:before="120" w:after="0" w:line="240" w:lineRule="auto"/>
        <w:rPr>
          <w:rFonts w:ascii="Calibri" w:eastAsia="Calibri" w:hAnsi="Calibri" w:cs="Arial"/>
        </w:rPr>
      </w:pPr>
      <w:r w:rsidRPr="00B04291">
        <w:rPr>
          <w:rFonts w:ascii="Calibri" w:eastAsia="Calibri" w:hAnsi="Calibri" w:cs="Arial"/>
        </w:rPr>
        <w:t xml:space="preserve">In particolare, il valore complessivo dei servizi che saranno oggetto di affidamento tramite procedure di gara ammonta a 43,9 </w:t>
      </w:r>
      <w:r w:rsidRPr="00B04291">
        <w:rPr>
          <w:rFonts w:ascii="Calibri" w:eastAsia="Calibri" w:hAnsi="Calibri" w:cs="Arial"/>
        </w:rPr>
        <w:t xml:space="preserve">milioni di euro (IVA esclusa), di cui </w:t>
      </w:r>
      <w:r w:rsidRPr="00B04291">
        <w:rPr>
          <w:rFonts w:ascii="Calibri" w:eastAsia="Calibri" w:hAnsi="Calibri" w:cs="Arial"/>
        </w:rPr>
        <w:t>28,5</w:t>
      </w:r>
      <w:r w:rsidRPr="00B04291">
        <w:rPr>
          <w:rFonts w:ascii="Calibri" w:eastAsia="Calibri" w:hAnsi="Calibri" w:cs="Arial"/>
        </w:rPr>
        <w:t xml:space="preserve"> milioni inclusivi delle spettanze CCNL,</w:t>
      </w:r>
      <w:r w:rsidRPr="00B04291">
        <w:rPr>
          <w:rFonts w:ascii="Calibri" w:eastAsia="Calibri" w:hAnsi="Calibri" w:cs="Arial"/>
        </w:rPr>
        <w:t xml:space="preserve"> </w:t>
      </w:r>
      <w:r w:rsidRPr="00B04291">
        <w:rPr>
          <w:rFonts w:ascii="Calibri" w:eastAsia="Calibri" w:hAnsi="Calibri" w:cs="Arial"/>
        </w:rPr>
        <w:t xml:space="preserve">pari al 65% dei costi complessivi, per le compensazioni per l’assolvimento degli obblighi di servizio. </w:t>
      </w:r>
    </w:p>
    <w:p w14:paraId="61AC5797" w14:textId="77777777" w:rsidR="00162229" w:rsidRPr="00B04291" w:rsidRDefault="00162229" w:rsidP="00162229">
      <w:pPr>
        <w:spacing w:before="120" w:after="0" w:line="240" w:lineRule="auto"/>
        <w:rPr>
          <w:rFonts w:ascii="Calibri" w:eastAsia="Calibri" w:hAnsi="Calibri" w:cs="Arial"/>
        </w:rPr>
      </w:pPr>
      <w:r w:rsidRPr="00B04291">
        <w:rPr>
          <w:rFonts w:ascii="Calibri" w:eastAsia="Calibri" w:hAnsi="Calibri" w:cs="Calibri"/>
          <w:shd w:val="clear" w:color="auto" w:fill="FFFFFF"/>
        </w:rPr>
        <w:t>Pertanto, assumendo che le risorse per la copertura dei servizi di trasporto pubblico di linea rimangano costanti fino al 2027 (come indicato nel paragrafo 5.4.4)</w:t>
      </w:r>
      <w:r w:rsidRPr="00B04291">
        <w:rPr>
          <w:rFonts w:ascii="Calibri" w:eastAsia="Calibri" w:hAnsi="Calibri" w:cs="Calibri"/>
        </w:rPr>
        <w:t xml:space="preserve">, le valutazioni economiche basate sul calcolo del costo standard risultano </w:t>
      </w:r>
      <w:r w:rsidRPr="00B04291">
        <w:rPr>
          <w:rFonts w:ascii="Calibri" w:eastAsia="Calibri" w:hAnsi="Calibri" w:cs="Arial"/>
        </w:rPr>
        <w:t>in linea con le risorse disponibili nella configurazione a 2 lotti a gara e 1 lotto a domanda debole affidato direttamente.</w:t>
      </w:r>
    </w:p>
    <w:p w14:paraId="2BA9364A" w14:textId="77777777" w:rsidR="00162229" w:rsidRPr="00C41A8C" w:rsidRDefault="00162229" w:rsidP="00162229">
      <w:pPr>
        <w:spacing w:before="120" w:after="0" w:line="240" w:lineRule="auto"/>
        <w:rPr>
          <w:rFonts w:ascii="Calibri" w:eastAsia="Calibri" w:hAnsi="Calibri" w:cs="Arial"/>
        </w:rPr>
      </w:pPr>
      <w:r w:rsidRPr="00C41A8C">
        <w:rPr>
          <w:rFonts w:ascii="Calibri" w:eastAsia="Calibri" w:hAnsi="Calibri" w:cs="Arial"/>
        </w:rPr>
        <w:t>Per quanto riguarda i ricavi, l’obiettivo del 35% previsto dalla norma rimane comunque un obiettivo da perseguire con i nuovi affidamenti. Ad oggi con i dati riferiti all’annualità 2023 si evidenzia uno scostamento di circa 6,5 milioni di € per l’intero bacino.</w:t>
      </w:r>
    </w:p>
    <w:p w14:paraId="15948715" w14:textId="77777777" w:rsidR="00162229" w:rsidRPr="009D07E5" w:rsidRDefault="00162229" w:rsidP="00162229">
      <w:pPr>
        <w:spacing w:before="120" w:after="0" w:line="240" w:lineRule="auto"/>
        <w:rPr>
          <w:rFonts w:ascii="Calibri" w:eastAsia="Calibri" w:hAnsi="Calibri" w:cs="Arial"/>
        </w:rPr>
      </w:pPr>
      <w:r w:rsidRPr="009D07E5">
        <w:rPr>
          <w:rFonts w:ascii="Calibri" w:eastAsia="Calibri" w:hAnsi="Calibri" w:cs="Arial"/>
        </w:rPr>
        <w:lastRenderedPageBreak/>
        <w:t>La procedura di gara, come sarà meglio illustrato nelle Relazioni di affidamento, richiederà alle aziende di sviluppare proposte di efficientamento gestionale. Queste proposte dovranno mirare a una riduzione complessiva dei costi operativi, attraverso l'ottimizzazione delle risorse e l'implementazione di processi più efficienti. L'obiettivo principale sarà quello di migliorare l'efficacia dei servizi offerti, garantendo al contempo un aumento dei ricavi da traffico.</w:t>
      </w:r>
    </w:p>
    <w:p w14:paraId="7E0EEE11" w14:textId="77777777" w:rsidR="00162229" w:rsidRPr="00835E4A" w:rsidRDefault="00162229" w:rsidP="00162229">
      <w:pPr>
        <w:spacing w:before="120" w:after="0" w:line="240" w:lineRule="auto"/>
        <w:rPr>
          <w:rFonts w:ascii="Calibri" w:eastAsia="Calibri" w:hAnsi="Calibri" w:cs="Arial"/>
          <w:b/>
          <w:bCs/>
        </w:rPr>
      </w:pPr>
      <w:r w:rsidRPr="00835E4A">
        <w:rPr>
          <w:rFonts w:ascii="Calibri" w:eastAsia="Calibri" w:hAnsi="Calibri" w:cs="Arial"/>
          <w:b/>
          <w:bCs/>
        </w:rPr>
        <w:t>Strategi</w:t>
      </w:r>
      <w:r w:rsidRPr="009D07E5">
        <w:rPr>
          <w:rFonts w:ascii="Calibri" w:eastAsia="Calibri" w:hAnsi="Calibri" w:cs="Arial"/>
          <w:b/>
          <w:bCs/>
        </w:rPr>
        <w:t>e</w:t>
      </w:r>
      <w:r w:rsidRPr="00835E4A">
        <w:rPr>
          <w:rFonts w:ascii="Calibri" w:eastAsia="Calibri" w:hAnsi="Calibri" w:cs="Arial"/>
          <w:b/>
          <w:bCs/>
        </w:rPr>
        <w:t xml:space="preserve"> di incremento dei ricavi nel TPL</w:t>
      </w:r>
    </w:p>
    <w:p w14:paraId="1DD00048" w14:textId="77777777" w:rsidR="00162229" w:rsidRPr="00835E4A" w:rsidRDefault="00162229" w:rsidP="00162229">
      <w:pPr>
        <w:spacing w:before="120" w:after="0" w:line="240" w:lineRule="auto"/>
        <w:rPr>
          <w:rFonts w:ascii="Calibri" w:eastAsia="Calibri" w:hAnsi="Calibri" w:cs="Arial"/>
        </w:rPr>
      </w:pPr>
      <w:r w:rsidRPr="00835E4A">
        <w:rPr>
          <w:rFonts w:ascii="Calibri" w:eastAsia="Calibri" w:hAnsi="Calibri" w:cs="Arial"/>
        </w:rPr>
        <w:t>L’incremento dei ricavi da traffico dovrà derivare prioritariamente da un aumento del volume di passeggeri trasportati, ottenibile attraverso una combinazione di interventi su domanda, offerta e qualità del servizio. In fase di predisposizione delle offerte, sarà richiesto agli operatori di proporre una revisione dell’assetto dei servizi che, nel loro complesso, consenta di raggiungere l’obiettivo del 35% di copertura dei costi operativi tramite ricavi da traffico.</w:t>
      </w:r>
    </w:p>
    <w:p w14:paraId="4FA7989B" w14:textId="77777777" w:rsidR="00162229" w:rsidRPr="00835E4A" w:rsidRDefault="00162229" w:rsidP="00162229">
      <w:pPr>
        <w:spacing w:before="120" w:after="0" w:line="240" w:lineRule="auto"/>
        <w:rPr>
          <w:rFonts w:ascii="Calibri" w:eastAsia="Calibri" w:hAnsi="Calibri" w:cs="Arial"/>
        </w:rPr>
      </w:pPr>
      <w:r w:rsidRPr="00835E4A">
        <w:rPr>
          <w:rFonts w:ascii="Calibri" w:eastAsia="Calibri" w:hAnsi="Calibri" w:cs="Arial"/>
        </w:rPr>
        <w:t xml:space="preserve">Per i </w:t>
      </w:r>
      <w:r w:rsidRPr="009D07E5">
        <w:rPr>
          <w:rFonts w:ascii="Calibri" w:eastAsia="Calibri" w:hAnsi="Calibri" w:cs="Arial"/>
        </w:rPr>
        <w:t xml:space="preserve">rimanenti </w:t>
      </w:r>
      <w:r w:rsidRPr="00835E4A">
        <w:rPr>
          <w:rFonts w:ascii="Calibri" w:eastAsia="Calibri" w:hAnsi="Calibri" w:cs="Arial"/>
        </w:rPr>
        <w:t>servizi in cui tale obiettivo risulti raggiungibile</w:t>
      </w:r>
      <w:r w:rsidRPr="009D07E5">
        <w:rPr>
          <w:rFonts w:ascii="Calibri" w:eastAsia="Calibri" w:hAnsi="Calibri" w:cs="Arial"/>
        </w:rPr>
        <w:t xml:space="preserve"> nella durata del CdS</w:t>
      </w:r>
      <w:r w:rsidRPr="00835E4A">
        <w:rPr>
          <w:rFonts w:ascii="Calibri" w:eastAsia="Calibri" w:hAnsi="Calibri" w:cs="Arial"/>
        </w:rPr>
        <w:t>, sarà possibile presentare proposte progettuali che includano:</w:t>
      </w:r>
    </w:p>
    <w:p w14:paraId="6B9652F7" w14:textId="77777777" w:rsidR="00162229" w:rsidRPr="00835E4A" w:rsidRDefault="00162229" w:rsidP="00162229">
      <w:pPr>
        <w:numPr>
          <w:ilvl w:val="0"/>
          <w:numId w:val="94"/>
        </w:numPr>
        <w:spacing w:before="120" w:after="0" w:line="240" w:lineRule="auto"/>
        <w:rPr>
          <w:rFonts w:ascii="Calibri" w:eastAsia="Calibri" w:hAnsi="Calibri" w:cs="Arial"/>
        </w:rPr>
      </w:pPr>
      <w:r w:rsidRPr="00835E4A">
        <w:rPr>
          <w:rFonts w:ascii="Calibri" w:eastAsia="Calibri" w:hAnsi="Calibri" w:cs="Arial"/>
        </w:rPr>
        <w:t>Soluzioni di riorganizzazione dell’offerta orientate all’incremento della domanda servita, anche attraverso l’introduzione di nuove politiche tariffarie coerenti con la struttura della domanda e con l’obiettivo di sostenibilità economica;</w:t>
      </w:r>
    </w:p>
    <w:p w14:paraId="00F9B3B6" w14:textId="77777777" w:rsidR="00162229" w:rsidRPr="00835E4A" w:rsidRDefault="00162229" w:rsidP="00162229">
      <w:pPr>
        <w:numPr>
          <w:ilvl w:val="0"/>
          <w:numId w:val="94"/>
        </w:numPr>
        <w:spacing w:before="120" w:after="0" w:line="240" w:lineRule="auto"/>
        <w:rPr>
          <w:rFonts w:ascii="Calibri" w:eastAsia="Calibri" w:hAnsi="Calibri" w:cs="Arial"/>
        </w:rPr>
      </w:pPr>
      <w:r w:rsidRPr="00835E4A">
        <w:rPr>
          <w:rFonts w:ascii="Calibri" w:eastAsia="Calibri" w:hAnsi="Calibri" w:cs="Arial"/>
        </w:rPr>
        <w:t>Ottimizzazione dei processi gestionali e organizzativi, finalizzata alla riduzione dei costi unitari di produzione del servizio, anche mediante l’adozione di modelli alternativi di esercizio;</w:t>
      </w:r>
    </w:p>
    <w:p w14:paraId="067008D7" w14:textId="77777777" w:rsidR="00162229" w:rsidRPr="00835E4A" w:rsidRDefault="00162229" w:rsidP="00162229">
      <w:pPr>
        <w:numPr>
          <w:ilvl w:val="0"/>
          <w:numId w:val="94"/>
        </w:numPr>
        <w:spacing w:before="120" w:after="0" w:line="240" w:lineRule="auto"/>
        <w:rPr>
          <w:rFonts w:ascii="Calibri" w:eastAsia="Calibri" w:hAnsi="Calibri" w:cs="Arial"/>
        </w:rPr>
      </w:pPr>
      <w:r w:rsidRPr="00835E4A">
        <w:rPr>
          <w:rFonts w:ascii="Calibri" w:eastAsia="Calibri" w:hAnsi="Calibri" w:cs="Arial"/>
        </w:rPr>
        <w:t>Azioni di promozione dell’accessibilità, sia in termini di comunicazione e informazione all’utenza, sia attraverso la semplificazione delle modalità di acquisto dei titoli di viaggio, sfruttando strumenti digitali e canali innovativi.</w:t>
      </w:r>
    </w:p>
    <w:p w14:paraId="130FCAAB" w14:textId="77777777" w:rsidR="00162229" w:rsidRPr="00835E4A" w:rsidRDefault="00162229" w:rsidP="00162229">
      <w:pPr>
        <w:spacing w:before="120" w:after="0" w:line="240" w:lineRule="auto"/>
        <w:rPr>
          <w:rFonts w:ascii="Calibri" w:eastAsia="Calibri" w:hAnsi="Calibri" w:cs="Arial"/>
        </w:rPr>
      </w:pPr>
      <w:r w:rsidRPr="009D07E5">
        <w:rPr>
          <w:rFonts w:ascii="Calibri" w:eastAsia="Calibri" w:hAnsi="Calibri" w:cs="Arial"/>
        </w:rPr>
        <w:t>Una altra leva fondamentale sarà i</w:t>
      </w:r>
      <w:r w:rsidRPr="00835E4A">
        <w:rPr>
          <w:rFonts w:ascii="Calibri" w:eastAsia="Calibri" w:hAnsi="Calibri" w:cs="Arial"/>
        </w:rPr>
        <w:t>l miglioramento della qualità percepita del servizio</w:t>
      </w:r>
      <w:r w:rsidRPr="009D07E5">
        <w:rPr>
          <w:rFonts w:ascii="Calibri" w:eastAsia="Calibri" w:hAnsi="Calibri" w:cs="Arial"/>
        </w:rPr>
        <w:t xml:space="preserve"> che</w:t>
      </w:r>
      <w:r w:rsidRPr="00835E4A">
        <w:rPr>
          <w:rFonts w:ascii="Calibri" w:eastAsia="Calibri" w:hAnsi="Calibri" w:cs="Arial"/>
        </w:rPr>
        <w:t xml:space="preserve"> rappresenta un fattore chiave per l’aumento della elasticità della domanda. Interventi mirati includono:</w:t>
      </w:r>
    </w:p>
    <w:p w14:paraId="5FDEC7B0" w14:textId="77777777" w:rsidR="00162229" w:rsidRPr="00835E4A" w:rsidRDefault="00162229" w:rsidP="00162229">
      <w:pPr>
        <w:numPr>
          <w:ilvl w:val="0"/>
          <w:numId w:val="95"/>
        </w:numPr>
        <w:spacing w:before="120" w:after="0" w:line="240" w:lineRule="auto"/>
        <w:rPr>
          <w:rFonts w:ascii="Calibri" w:eastAsia="Calibri" w:hAnsi="Calibri" w:cs="Arial"/>
        </w:rPr>
      </w:pPr>
      <w:r w:rsidRPr="00835E4A">
        <w:rPr>
          <w:rFonts w:ascii="Calibri" w:eastAsia="Calibri" w:hAnsi="Calibri" w:cs="Arial"/>
        </w:rPr>
        <w:t>Potenziamento della comunicazione bidirezionale con l’utenza, per garantire trasparenza, tempestività e personalizzazione delle informazioni;</w:t>
      </w:r>
    </w:p>
    <w:p w14:paraId="009F830A" w14:textId="77777777" w:rsidR="00162229" w:rsidRPr="00835E4A" w:rsidRDefault="00162229" w:rsidP="00162229">
      <w:pPr>
        <w:numPr>
          <w:ilvl w:val="0"/>
          <w:numId w:val="95"/>
        </w:numPr>
        <w:spacing w:before="120" w:after="0" w:line="240" w:lineRule="auto"/>
        <w:rPr>
          <w:rFonts w:ascii="Calibri" w:eastAsia="Calibri" w:hAnsi="Calibri" w:cs="Arial"/>
        </w:rPr>
      </w:pPr>
      <w:r w:rsidRPr="00835E4A">
        <w:rPr>
          <w:rFonts w:ascii="Calibri" w:eastAsia="Calibri" w:hAnsi="Calibri" w:cs="Arial"/>
        </w:rPr>
        <w:t>Formazione continua del personale di contatto, orientata alla customer satisfaction e alla gestione proattiva delle esigenze dei passeggeri;</w:t>
      </w:r>
    </w:p>
    <w:p w14:paraId="0272C2FF" w14:textId="77777777" w:rsidR="00162229" w:rsidRPr="00835E4A" w:rsidRDefault="00162229" w:rsidP="00162229">
      <w:pPr>
        <w:numPr>
          <w:ilvl w:val="0"/>
          <w:numId w:val="95"/>
        </w:numPr>
        <w:spacing w:before="120" w:after="0" w:line="240" w:lineRule="auto"/>
        <w:rPr>
          <w:rFonts w:ascii="Calibri" w:eastAsia="Calibri" w:hAnsi="Calibri" w:cs="Arial"/>
        </w:rPr>
      </w:pPr>
      <w:r w:rsidRPr="00835E4A">
        <w:rPr>
          <w:rFonts w:ascii="Calibri" w:eastAsia="Calibri" w:hAnsi="Calibri" w:cs="Arial"/>
        </w:rPr>
        <w:t>Integrazione modale, con particolare attenzione agli hub intermodali, per facilitare la continuità del viaggio e rendere il TPL una scelta competitiva rispetto al mezzo privato.</w:t>
      </w:r>
    </w:p>
    <w:p w14:paraId="07AF5222" w14:textId="77777777" w:rsidR="00162229" w:rsidRPr="00835E4A" w:rsidRDefault="00162229" w:rsidP="00162229">
      <w:pPr>
        <w:spacing w:before="120" w:after="0" w:line="240" w:lineRule="auto"/>
        <w:rPr>
          <w:rFonts w:ascii="Calibri" w:eastAsia="Calibri" w:hAnsi="Calibri" w:cs="Arial"/>
        </w:rPr>
      </w:pPr>
      <w:r w:rsidRPr="00835E4A">
        <w:rPr>
          <w:rFonts w:ascii="Calibri" w:eastAsia="Calibri" w:hAnsi="Calibri" w:cs="Arial"/>
        </w:rPr>
        <w:t>Le strategie proposte trovano terreno fertile grazie all’elevato livello di digitalizzazione richiesto alle imprese partecipanti, condizione abilitante per l’adozione di soluzioni data-driven e per l’implementazione di strumenti innovativi come:</w:t>
      </w:r>
    </w:p>
    <w:p w14:paraId="6BEEA8BE" w14:textId="77777777" w:rsidR="00162229" w:rsidRPr="00835E4A" w:rsidRDefault="00162229" w:rsidP="00162229">
      <w:pPr>
        <w:numPr>
          <w:ilvl w:val="0"/>
          <w:numId w:val="96"/>
        </w:numPr>
        <w:spacing w:before="120" w:after="0" w:line="240" w:lineRule="auto"/>
        <w:rPr>
          <w:rFonts w:ascii="Calibri" w:eastAsia="Calibri" w:hAnsi="Calibri" w:cs="Arial"/>
        </w:rPr>
      </w:pPr>
      <w:r w:rsidRPr="00835E4A">
        <w:rPr>
          <w:rFonts w:ascii="Calibri" w:eastAsia="Calibri" w:hAnsi="Calibri" w:cs="Arial"/>
        </w:rPr>
        <w:t>Spinta gentile (nudge), per orientare comportamenti virtuosi senza imposizioni, ad esempio incentivando l’acquisto anticipato di titoli o l’utilizzo di linee meno congestionate;</w:t>
      </w:r>
    </w:p>
    <w:p w14:paraId="3DCC700A" w14:textId="77777777" w:rsidR="00162229" w:rsidRPr="00835E4A" w:rsidRDefault="00162229" w:rsidP="00162229">
      <w:pPr>
        <w:numPr>
          <w:ilvl w:val="0"/>
          <w:numId w:val="96"/>
        </w:numPr>
        <w:spacing w:before="120" w:after="0" w:line="240" w:lineRule="auto"/>
        <w:rPr>
          <w:rFonts w:ascii="Calibri" w:eastAsia="Calibri" w:hAnsi="Calibri" w:cs="Arial"/>
        </w:rPr>
      </w:pPr>
      <w:r w:rsidRPr="00835E4A">
        <w:rPr>
          <w:rFonts w:ascii="Calibri" w:eastAsia="Calibri" w:hAnsi="Calibri" w:cs="Arial"/>
        </w:rPr>
        <w:t>Gamification, attraverso meccanismi di coinvolgimento ludico (premi, classifiche, sfide) che favoriscano la fidelizzazione e l’uso ricorrente del servizio.</w:t>
      </w:r>
    </w:p>
    <w:p w14:paraId="66F30978" w14:textId="77777777" w:rsidR="00162229" w:rsidRPr="00835E4A" w:rsidRDefault="00162229" w:rsidP="00162229">
      <w:pPr>
        <w:spacing w:before="120" w:after="0" w:line="240" w:lineRule="auto"/>
        <w:rPr>
          <w:rFonts w:ascii="Calibri" w:eastAsia="Calibri" w:hAnsi="Calibri" w:cs="Arial"/>
        </w:rPr>
      </w:pPr>
      <w:r w:rsidRPr="00835E4A">
        <w:rPr>
          <w:rFonts w:ascii="Calibri" w:eastAsia="Calibri" w:hAnsi="Calibri" w:cs="Arial"/>
        </w:rPr>
        <w:t>Infine, l’aumento dei ricavi può essere sostenuto anche da una revisione del marketing mix nella vendita dei titoli di viaggio, con l’obiettivo di incrementare il valore medio per transazione. Ciò può includere l’introduzione di pacchetti tariffari integrati, abbonamenti flessibili, e promozioni mirate a specifici segmenti di utenza.</w:t>
      </w:r>
    </w:p>
    <w:p w14:paraId="14BF38A2" w14:textId="77777777" w:rsidR="00162229" w:rsidRDefault="00162229" w:rsidP="00162229">
      <w:pPr>
        <w:spacing w:before="120" w:after="0" w:line="240" w:lineRule="auto"/>
        <w:rPr>
          <w:rFonts w:ascii="Calibri" w:eastAsia="Calibri" w:hAnsi="Calibri" w:cs="Arial"/>
        </w:rPr>
      </w:pPr>
      <w:r w:rsidRPr="009D07E5">
        <w:rPr>
          <w:rFonts w:ascii="Calibri" w:eastAsia="Calibri" w:hAnsi="Calibri" w:cs="Arial"/>
        </w:rPr>
        <w:t xml:space="preserve">Inoltre, le aziende dovranno puntare ad acquisire "Altri ricavi", che già oggi hanno un discreto impatto. Questi ricavi possono derivare da diverse fonti, come la vendita di spazi pubblicitari, la fornitura di servizi aggiuntivi ai passeggeri, e la collaborazione con altre imprese per lo sviluppo di progetti </w:t>
      </w:r>
      <w:r w:rsidRPr="009D07E5">
        <w:rPr>
          <w:rFonts w:ascii="Calibri" w:eastAsia="Calibri" w:hAnsi="Calibri" w:cs="Arial"/>
        </w:rPr>
        <w:lastRenderedPageBreak/>
        <w:t>congiunti. L'acquisizione di "Altri ricavi" sarà fondamentale per garantire la sostenibilità economica delle aziende e per contribuire al miglioramento complessivo del sistema di trasporto pubblico.</w:t>
      </w:r>
    </w:p>
    <w:p w14:paraId="06EC51E2" w14:textId="77777777" w:rsidR="00162229" w:rsidRDefault="00162229" w:rsidP="00162229">
      <w:pPr>
        <w:spacing w:before="120" w:after="0" w:line="240" w:lineRule="auto"/>
        <w:rPr>
          <w:rFonts w:ascii="Calibri" w:eastAsia="Calibri" w:hAnsi="Calibri" w:cs="Arial"/>
        </w:rPr>
      </w:pPr>
      <w:r>
        <w:rPr>
          <w:rFonts w:ascii="Calibri" w:eastAsia="Calibri" w:hAnsi="Calibri" w:cs="Arial"/>
        </w:rPr>
        <w:t>La figura seguente schematizza le azioni sopra citate finalizzate all’incremento dei ricavi da trafficio. Si tratta di spunti di riflessione che troveranno, in sede di presentazione dell’offerta una più ampia e più approfondita analisi da parte dei partecipanti alla procedura.</w:t>
      </w:r>
    </w:p>
    <w:p w14:paraId="330DF2F7" w14:textId="77777777" w:rsidR="00162229" w:rsidRDefault="00162229" w:rsidP="00162229">
      <w:pPr>
        <w:spacing w:before="120" w:after="0" w:line="240" w:lineRule="auto"/>
        <w:rPr>
          <w:rFonts w:ascii="Calibri" w:eastAsia="Calibri" w:hAnsi="Calibri" w:cs="Arial"/>
        </w:rPr>
      </w:pPr>
    </w:p>
    <w:p w14:paraId="392EB97C" w14:textId="77777777" w:rsidR="00162229" w:rsidRDefault="00162229" w:rsidP="00162229">
      <w:pPr>
        <w:spacing w:before="120" w:after="0" w:line="240" w:lineRule="auto"/>
        <w:rPr>
          <w:rFonts w:ascii="Calibri" w:eastAsia="Calibri" w:hAnsi="Calibri" w:cs="Arial"/>
        </w:rPr>
      </w:pPr>
      <w:r>
        <w:rPr>
          <w:rFonts w:ascii="Calibri" w:eastAsia="Calibri" w:hAnsi="Calibri" w:cs="Arial"/>
          <w:noProof/>
        </w:rPr>
        <w:drawing>
          <wp:inline distT="0" distB="0" distL="0" distR="0" wp14:anchorId="23D77951" wp14:editId="5B8FD0CC">
            <wp:extent cx="5802130" cy="3381897"/>
            <wp:effectExtent l="0" t="0" r="8255" b="9525"/>
            <wp:docPr id="395491698" name="Immagine 15"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91698" name="Immagine 15" descr="Immagine che contiene testo, schermata, Carattere, linea&#10;&#10;Descrizione generata automaticament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847178" cy="3408154"/>
                    </a:xfrm>
                    <a:prstGeom prst="rect">
                      <a:avLst/>
                    </a:prstGeom>
                    <a:noFill/>
                  </pic:spPr>
                </pic:pic>
              </a:graphicData>
            </a:graphic>
          </wp:inline>
        </w:drawing>
      </w:r>
    </w:p>
    <w:p w14:paraId="508E9606" w14:textId="25AE2DFB" w:rsidR="00162229" w:rsidRPr="00C41A8C" w:rsidRDefault="00162229" w:rsidP="00162229">
      <w:pPr>
        <w:spacing w:after="0" w:line="240" w:lineRule="auto"/>
        <w:jc w:val="center"/>
        <w:rPr>
          <w:rFonts w:ascii="Calibri" w:eastAsia="Calibri" w:hAnsi="Calibri" w:cs="Times New Roman"/>
          <w:i/>
          <w:iCs/>
          <w:color w:val="003366"/>
          <w:sz w:val="18"/>
          <w:szCs w:val="18"/>
        </w:rPr>
      </w:pPr>
      <w:r w:rsidRPr="00C41A8C">
        <w:rPr>
          <w:rFonts w:ascii="Calibri" w:eastAsia="Calibri" w:hAnsi="Calibri" w:cs="Arial"/>
          <w:i/>
          <w:iCs/>
          <w:color w:val="003366"/>
          <w:sz w:val="18"/>
          <w:szCs w:val="18"/>
        </w:rPr>
        <w:t xml:space="preserve">Figura </w:t>
      </w:r>
      <w:r w:rsidRPr="00C41A8C">
        <w:rPr>
          <w:rFonts w:ascii="Calibri" w:eastAsia="Calibri" w:hAnsi="Calibri" w:cs="Arial"/>
          <w:i/>
          <w:iCs/>
          <w:color w:val="003366"/>
          <w:sz w:val="18"/>
          <w:szCs w:val="18"/>
        </w:rPr>
        <w:fldChar w:fldCharType="begin"/>
      </w:r>
      <w:r w:rsidRPr="00C41A8C">
        <w:rPr>
          <w:rFonts w:ascii="Calibri" w:eastAsia="Calibri" w:hAnsi="Calibri" w:cs="Arial"/>
          <w:i/>
          <w:iCs/>
          <w:color w:val="003366"/>
          <w:sz w:val="18"/>
          <w:szCs w:val="18"/>
        </w:rPr>
        <w:instrText xml:space="preserve"> SEQ Figura \* ARABIC </w:instrText>
      </w:r>
      <w:r w:rsidRPr="00C41A8C">
        <w:rPr>
          <w:rFonts w:ascii="Calibri" w:eastAsia="Calibri" w:hAnsi="Calibri" w:cs="Arial"/>
          <w:i/>
          <w:iCs/>
          <w:color w:val="003366"/>
          <w:sz w:val="18"/>
          <w:szCs w:val="18"/>
        </w:rPr>
        <w:fldChar w:fldCharType="separate"/>
      </w:r>
      <w:r w:rsidR="00670903">
        <w:rPr>
          <w:rFonts w:ascii="Calibri" w:eastAsia="Calibri" w:hAnsi="Calibri" w:cs="Arial"/>
          <w:i/>
          <w:iCs/>
          <w:noProof/>
          <w:color w:val="003366"/>
          <w:sz w:val="18"/>
          <w:szCs w:val="18"/>
        </w:rPr>
        <w:t>34</w:t>
      </w:r>
      <w:r w:rsidRPr="00C41A8C">
        <w:rPr>
          <w:rFonts w:ascii="Calibri" w:eastAsia="Calibri" w:hAnsi="Calibri" w:cs="Arial"/>
          <w:i/>
          <w:iCs/>
          <w:color w:val="003366"/>
          <w:sz w:val="18"/>
          <w:szCs w:val="18"/>
        </w:rPr>
        <w:fldChar w:fldCharType="end"/>
      </w:r>
      <w:r w:rsidRPr="00C41A8C">
        <w:rPr>
          <w:rFonts w:ascii="Calibri" w:eastAsia="Calibri" w:hAnsi="Calibri" w:cs="Arial"/>
          <w:i/>
          <w:iCs/>
          <w:color w:val="003366"/>
          <w:sz w:val="18"/>
          <w:szCs w:val="18"/>
        </w:rPr>
        <w:t xml:space="preserve"> – Strategie per incremento ricavi da traffico</w:t>
      </w:r>
    </w:p>
    <w:p w14:paraId="091E4511" w14:textId="77777777" w:rsidR="00162229" w:rsidRDefault="00162229" w:rsidP="00162229">
      <w:pPr>
        <w:spacing w:before="120" w:after="0" w:line="240" w:lineRule="auto"/>
        <w:rPr>
          <w:rFonts w:ascii="Calibri" w:eastAsia="Calibri" w:hAnsi="Calibri" w:cs="Arial"/>
        </w:rPr>
      </w:pPr>
    </w:p>
    <w:p w14:paraId="694C4B54" w14:textId="77777777" w:rsidR="00162229" w:rsidRPr="00F8174F" w:rsidRDefault="00162229" w:rsidP="00162229">
      <w:pPr>
        <w:spacing w:before="120" w:after="0" w:line="240" w:lineRule="auto"/>
        <w:rPr>
          <w:rFonts w:ascii="Calibri" w:eastAsia="Calibri" w:hAnsi="Calibri" w:cs="Arial"/>
          <w:b/>
          <w:bCs/>
        </w:rPr>
      </w:pPr>
      <w:r w:rsidRPr="00F8174F">
        <w:rPr>
          <w:rFonts w:ascii="Calibri" w:eastAsia="Calibri" w:hAnsi="Calibri" w:cs="Arial"/>
          <w:b/>
          <w:bCs/>
        </w:rPr>
        <w:t>Meccanismo di compensazione e politiche premiali legate al raggiungimento de</w:t>
      </w:r>
      <w:r>
        <w:rPr>
          <w:rFonts w:ascii="Calibri" w:eastAsia="Calibri" w:hAnsi="Calibri" w:cs="Arial"/>
          <w:b/>
          <w:bCs/>
        </w:rPr>
        <w:t>ll’</w:t>
      </w:r>
      <w:r w:rsidRPr="00F8174F">
        <w:rPr>
          <w:rFonts w:ascii="Calibri" w:eastAsia="Calibri" w:hAnsi="Calibri" w:cs="Arial"/>
          <w:b/>
          <w:bCs/>
        </w:rPr>
        <w:t>obiettiv</w:t>
      </w:r>
      <w:r>
        <w:rPr>
          <w:rFonts w:ascii="Calibri" w:eastAsia="Calibri" w:hAnsi="Calibri" w:cs="Arial"/>
          <w:b/>
          <w:bCs/>
        </w:rPr>
        <w:t>o del 35%</w:t>
      </w:r>
    </w:p>
    <w:p w14:paraId="2EF2D186" w14:textId="77777777" w:rsidR="00162229" w:rsidRPr="00F8174F" w:rsidRDefault="00162229" w:rsidP="00162229">
      <w:pPr>
        <w:spacing w:before="120" w:after="0" w:line="240" w:lineRule="auto"/>
        <w:rPr>
          <w:rFonts w:ascii="Calibri" w:eastAsia="Calibri" w:hAnsi="Calibri" w:cs="Arial"/>
        </w:rPr>
      </w:pPr>
      <w:r w:rsidRPr="00F8174F">
        <w:rPr>
          <w:rFonts w:ascii="Calibri" w:eastAsia="Calibri" w:hAnsi="Calibri" w:cs="Arial"/>
        </w:rPr>
        <w:t>Qualora, all’esito delle proposte progettuali presentate dagli operatori, permangano porzioni di servizio che non raggiungono l’obiettivo del</w:t>
      </w:r>
      <w:r w:rsidRPr="009D07E5">
        <w:rPr>
          <w:rFonts w:ascii="Calibri" w:eastAsia="Calibri" w:hAnsi="Calibri" w:cs="Arial"/>
        </w:rPr>
        <w:t xml:space="preserve"> </w:t>
      </w:r>
      <w:r w:rsidRPr="00F8174F">
        <w:rPr>
          <w:rFonts w:ascii="Calibri" w:eastAsia="Calibri" w:hAnsi="Calibri" w:cs="Arial"/>
        </w:rPr>
        <w:t>35% di copertura dei costi tramite ricavi da traffico, AMP potrà valutare l’assegnazione di</w:t>
      </w:r>
      <w:r w:rsidRPr="009D07E5">
        <w:rPr>
          <w:rFonts w:ascii="Calibri" w:eastAsia="Calibri" w:hAnsi="Calibri" w:cs="Arial"/>
        </w:rPr>
        <w:t xml:space="preserve"> </w:t>
      </w:r>
      <w:r w:rsidRPr="00F8174F">
        <w:rPr>
          <w:rFonts w:ascii="Calibri" w:eastAsia="Calibri" w:hAnsi="Calibri" w:cs="Arial"/>
        </w:rPr>
        <w:t>risorse pubbliche aggiuntive. Tali risorse saranno riconosciute</w:t>
      </w:r>
      <w:r w:rsidRPr="009D07E5">
        <w:rPr>
          <w:rFonts w:ascii="Calibri" w:eastAsia="Calibri" w:hAnsi="Calibri" w:cs="Arial"/>
        </w:rPr>
        <w:t xml:space="preserve"> </w:t>
      </w:r>
      <w:r w:rsidRPr="00F8174F">
        <w:rPr>
          <w:rFonts w:ascii="Calibri" w:eastAsia="Calibri" w:hAnsi="Calibri" w:cs="Arial"/>
        </w:rPr>
        <w:t>a titolo di compensazione per i minori ricavi, ma condizionate alla</w:t>
      </w:r>
      <w:r w:rsidRPr="009D07E5">
        <w:rPr>
          <w:rFonts w:ascii="Calibri" w:eastAsia="Calibri" w:hAnsi="Calibri" w:cs="Arial"/>
        </w:rPr>
        <w:t xml:space="preserve"> </w:t>
      </w:r>
      <w:r w:rsidRPr="00F8174F">
        <w:rPr>
          <w:rFonts w:ascii="Calibri" w:eastAsia="Calibri" w:hAnsi="Calibri" w:cs="Arial"/>
        </w:rPr>
        <w:t>validità e coerenza delle strategie di crescita della domanda</w:t>
      </w:r>
      <w:r w:rsidRPr="009D07E5">
        <w:rPr>
          <w:rFonts w:ascii="Calibri" w:eastAsia="Calibri" w:hAnsi="Calibri" w:cs="Arial"/>
        </w:rPr>
        <w:t xml:space="preserve"> </w:t>
      </w:r>
      <w:r w:rsidRPr="00F8174F">
        <w:rPr>
          <w:rFonts w:ascii="Calibri" w:eastAsia="Calibri" w:hAnsi="Calibri" w:cs="Arial"/>
        </w:rPr>
        <w:t>avanzate dall’operatore.</w:t>
      </w:r>
    </w:p>
    <w:p w14:paraId="345CCCC2" w14:textId="77777777" w:rsidR="00162229" w:rsidRPr="00F8174F" w:rsidRDefault="00162229" w:rsidP="00162229">
      <w:pPr>
        <w:spacing w:before="120" w:after="0" w:line="240" w:lineRule="auto"/>
        <w:rPr>
          <w:rFonts w:ascii="Calibri" w:eastAsia="Calibri" w:hAnsi="Calibri" w:cs="Arial"/>
        </w:rPr>
      </w:pPr>
      <w:r w:rsidRPr="00F8174F">
        <w:rPr>
          <w:rFonts w:ascii="Calibri" w:eastAsia="Calibri" w:hAnsi="Calibri" w:cs="Arial"/>
        </w:rPr>
        <w:t>In questo quadro, si lascia agli operatori economici la</w:t>
      </w:r>
      <w:r w:rsidRPr="009D07E5">
        <w:rPr>
          <w:rFonts w:ascii="Calibri" w:eastAsia="Calibri" w:hAnsi="Calibri" w:cs="Arial"/>
        </w:rPr>
        <w:t xml:space="preserve"> </w:t>
      </w:r>
      <w:r w:rsidRPr="00F8174F">
        <w:rPr>
          <w:rFonts w:ascii="Calibri" w:eastAsia="Calibri" w:hAnsi="Calibri" w:cs="Arial"/>
        </w:rPr>
        <w:t>facoltà di individuare e proporre politiche premiali</w:t>
      </w:r>
      <w:r w:rsidRPr="009D07E5">
        <w:rPr>
          <w:rFonts w:ascii="Calibri" w:eastAsia="Calibri" w:hAnsi="Calibri" w:cs="Arial"/>
        </w:rPr>
        <w:t xml:space="preserve"> </w:t>
      </w:r>
      <w:r w:rsidRPr="00F8174F">
        <w:rPr>
          <w:rFonts w:ascii="Calibri" w:eastAsia="Calibri" w:hAnsi="Calibri" w:cs="Arial"/>
        </w:rPr>
        <w:t>legate al raggiungimento progressivo degli obiettivi, articolando:</w:t>
      </w:r>
    </w:p>
    <w:p w14:paraId="67280877" w14:textId="77777777" w:rsidR="00162229" w:rsidRPr="00F8174F" w:rsidRDefault="00162229" w:rsidP="00162229">
      <w:pPr>
        <w:numPr>
          <w:ilvl w:val="0"/>
          <w:numId w:val="97"/>
        </w:numPr>
        <w:spacing w:before="120" w:after="0" w:line="240" w:lineRule="auto"/>
        <w:rPr>
          <w:rFonts w:ascii="Calibri" w:eastAsia="Calibri" w:hAnsi="Calibri" w:cs="Arial"/>
        </w:rPr>
      </w:pPr>
      <w:r w:rsidRPr="00F8174F">
        <w:rPr>
          <w:rFonts w:ascii="Calibri" w:eastAsia="Calibri" w:hAnsi="Calibri" w:cs="Arial"/>
        </w:rPr>
        <w:t>Cronoprogrammi di recupero del gap di ricavi, con milestone annuali;</w:t>
      </w:r>
    </w:p>
    <w:p w14:paraId="05D99CD8" w14:textId="77777777" w:rsidR="00162229" w:rsidRPr="00F8174F" w:rsidRDefault="00162229" w:rsidP="00162229">
      <w:pPr>
        <w:numPr>
          <w:ilvl w:val="0"/>
          <w:numId w:val="97"/>
        </w:numPr>
        <w:spacing w:before="120" w:after="0" w:line="240" w:lineRule="auto"/>
        <w:rPr>
          <w:rFonts w:ascii="Calibri" w:eastAsia="Calibri" w:hAnsi="Calibri" w:cs="Arial"/>
        </w:rPr>
      </w:pPr>
      <w:r w:rsidRPr="00F8174F">
        <w:rPr>
          <w:rFonts w:ascii="Calibri" w:eastAsia="Calibri" w:hAnsi="Calibri" w:cs="Arial"/>
        </w:rPr>
        <w:t>Meccanismi di corresponsione graduale delle risorse pubbliche, subordinati al conseguimento di risultati misurabili in termini di incremento della domanda</w:t>
      </w:r>
      <w:r>
        <w:rPr>
          <w:rFonts w:ascii="Calibri" w:eastAsia="Calibri" w:hAnsi="Calibri" w:cs="Arial"/>
        </w:rPr>
        <w:t>, efficientamento dei costi e</w:t>
      </w:r>
      <w:r w:rsidRPr="00F8174F">
        <w:rPr>
          <w:rFonts w:ascii="Calibri" w:eastAsia="Calibri" w:hAnsi="Calibri" w:cs="Arial"/>
        </w:rPr>
        <w:t xml:space="preserve"> miglioramento della copertura dei costi;</w:t>
      </w:r>
    </w:p>
    <w:p w14:paraId="0862B542" w14:textId="77777777" w:rsidR="00162229" w:rsidRPr="00F8174F" w:rsidRDefault="00162229" w:rsidP="00162229">
      <w:pPr>
        <w:numPr>
          <w:ilvl w:val="0"/>
          <w:numId w:val="97"/>
        </w:numPr>
        <w:spacing w:before="120" w:after="0" w:line="240" w:lineRule="auto"/>
        <w:rPr>
          <w:rFonts w:ascii="Calibri" w:eastAsia="Calibri" w:hAnsi="Calibri" w:cs="Arial"/>
        </w:rPr>
      </w:pPr>
      <w:r w:rsidRPr="00F8174F">
        <w:rPr>
          <w:rFonts w:ascii="Calibri" w:eastAsia="Calibri" w:hAnsi="Calibri" w:cs="Arial"/>
        </w:rPr>
        <w:t>Proposte di revisione tariffaria o di rimodulazione dell’offerta, finalizzate a massimizzare l’efficienza e la sostenibilità economica del servizio.</w:t>
      </w:r>
    </w:p>
    <w:p w14:paraId="4DD04D96" w14:textId="77777777" w:rsidR="00162229" w:rsidRPr="008B13E8" w:rsidRDefault="00162229" w:rsidP="00162229">
      <w:pPr>
        <w:spacing w:before="120" w:after="0" w:line="240" w:lineRule="auto"/>
        <w:rPr>
          <w:rFonts w:ascii="Calibri" w:eastAsia="Calibri" w:hAnsi="Calibri" w:cs="Arial"/>
          <w:b/>
          <w:bCs/>
        </w:rPr>
      </w:pPr>
      <w:r w:rsidRPr="008B13E8">
        <w:rPr>
          <w:rFonts w:ascii="Calibri" w:eastAsia="Calibri" w:hAnsi="Calibri" w:cs="Arial"/>
          <w:b/>
          <w:bCs/>
        </w:rPr>
        <w:t>Valutazione economica e politiche premiali</w:t>
      </w:r>
    </w:p>
    <w:p w14:paraId="4B3D5E90" w14:textId="77777777" w:rsidR="00162229" w:rsidRDefault="00162229" w:rsidP="00162229">
      <w:pPr>
        <w:spacing w:before="120" w:after="0" w:line="240" w:lineRule="auto"/>
        <w:rPr>
          <w:rFonts w:ascii="Calibri" w:eastAsia="Calibri" w:hAnsi="Calibri" w:cs="Arial"/>
        </w:rPr>
      </w:pPr>
      <w:r w:rsidRPr="00F8174F">
        <w:rPr>
          <w:rFonts w:ascii="Calibri" w:eastAsia="Calibri" w:hAnsi="Calibri" w:cs="Arial"/>
        </w:rPr>
        <w:t>AMP potrà prevedere un</w:t>
      </w:r>
      <w:r>
        <w:rPr>
          <w:rFonts w:ascii="Calibri" w:eastAsia="Calibri" w:hAnsi="Calibri" w:cs="Arial"/>
        </w:rPr>
        <w:t xml:space="preserve"> </w:t>
      </w:r>
      <w:r w:rsidRPr="00F8174F">
        <w:rPr>
          <w:rFonts w:ascii="Calibri" w:eastAsia="Calibri" w:hAnsi="Calibri" w:cs="Arial"/>
        </w:rPr>
        <w:t xml:space="preserve">contributo </w:t>
      </w:r>
      <w:r>
        <w:rPr>
          <w:rFonts w:ascii="Calibri" w:eastAsia="Calibri" w:hAnsi="Calibri" w:cs="Arial"/>
        </w:rPr>
        <w:t>per minori ricavi</w:t>
      </w:r>
      <w:r w:rsidRPr="00F8174F">
        <w:rPr>
          <w:rFonts w:ascii="Calibri" w:eastAsia="Calibri" w:hAnsi="Calibri" w:cs="Arial"/>
        </w:rPr>
        <w:t xml:space="preserve"> progressivo</w:t>
      </w:r>
      <w:r>
        <w:rPr>
          <w:rFonts w:ascii="Calibri" w:eastAsia="Calibri" w:hAnsi="Calibri" w:cs="Arial"/>
        </w:rPr>
        <w:t xml:space="preserve"> </w:t>
      </w:r>
      <w:r w:rsidRPr="00F8174F">
        <w:rPr>
          <w:rFonts w:ascii="Calibri" w:eastAsia="Calibri" w:hAnsi="Calibri" w:cs="Arial"/>
        </w:rPr>
        <w:t>nel tempo incentivando l’operatore a</w:t>
      </w:r>
      <w:r>
        <w:rPr>
          <w:rFonts w:ascii="Calibri" w:eastAsia="Calibri" w:hAnsi="Calibri" w:cs="Arial"/>
        </w:rPr>
        <w:t xml:space="preserve"> </w:t>
      </w:r>
      <w:r w:rsidRPr="00F8174F">
        <w:rPr>
          <w:rFonts w:ascii="Calibri" w:eastAsia="Calibri" w:hAnsi="Calibri" w:cs="Arial"/>
        </w:rPr>
        <w:t>scommettere sull’efficacia delle proprie strategie progettuali. In tal modo, si configura un</w:t>
      </w:r>
      <w:r>
        <w:rPr>
          <w:rFonts w:ascii="Calibri" w:eastAsia="Calibri" w:hAnsi="Calibri" w:cs="Arial"/>
        </w:rPr>
        <w:t xml:space="preserve"> </w:t>
      </w:r>
      <w:r w:rsidRPr="00F8174F">
        <w:rPr>
          <w:rFonts w:ascii="Calibri" w:eastAsia="Calibri" w:hAnsi="Calibri" w:cs="Arial"/>
        </w:rPr>
        <w:t xml:space="preserve">modello di </w:t>
      </w:r>
      <w:r w:rsidRPr="00F8174F">
        <w:rPr>
          <w:rFonts w:ascii="Calibri" w:eastAsia="Calibri" w:hAnsi="Calibri" w:cs="Arial"/>
        </w:rPr>
        <w:lastRenderedPageBreak/>
        <w:t>condivisione del rischio</w:t>
      </w:r>
      <w:r>
        <w:rPr>
          <w:rFonts w:ascii="Calibri" w:eastAsia="Calibri" w:hAnsi="Calibri" w:cs="Arial"/>
        </w:rPr>
        <w:t xml:space="preserve"> </w:t>
      </w:r>
      <w:r w:rsidRPr="00F8174F">
        <w:rPr>
          <w:rFonts w:ascii="Calibri" w:eastAsia="Calibri" w:hAnsi="Calibri" w:cs="Arial"/>
        </w:rPr>
        <w:t>tra ente affidante e gestore, in cui l’operatore assume l’obbligo di garantire la produzione del servizio e si impegna a recuperare i ricavi da traffico entro la fine del periodo contrattuale.</w:t>
      </w:r>
    </w:p>
    <w:p w14:paraId="0C61A9CF" w14:textId="77777777" w:rsidR="00162229" w:rsidRPr="008B13E8" w:rsidRDefault="00162229" w:rsidP="00162229">
      <w:pPr>
        <w:spacing w:before="120" w:after="0" w:line="240" w:lineRule="auto"/>
        <w:rPr>
          <w:rFonts w:ascii="Calibri" w:eastAsia="Calibri" w:hAnsi="Calibri" w:cs="Arial"/>
        </w:rPr>
      </w:pPr>
      <w:r w:rsidRPr="008B13E8">
        <w:rPr>
          <w:rFonts w:ascii="Calibri" w:eastAsia="Calibri" w:hAnsi="Calibri" w:cs="Arial"/>
        </w:rPr>
        <w:t>La proposta progettuale presentata dagli operatori sarà oggetto di valutazione economica comparativa, con particolare attenzione al livello di impegno finanziario richiesto all’Ente pubblico. Saranno premiate le offerte che, a parità di efficacia e coerenza strategica, prevedano minori risorse pubbliche per il raggiungimento degli obiettivi di crescita dei ricavi da traffico.</w:t>
      </w:r>
    </w:p>
    <w:p w14:paraId="19BC2878" w14:textId="77777777" w:rsidR="00162229" w:rsidRPr="008B13E8" w:rsidRDefault="00162229" w:rsidP="00162229">
      <w:pPr>
        <w:spacing w:before="120" w:after="0" w:line="240" w:lineRule="auto"/>
        <w:rPr>
          <w:rFonts w:ascii="Calibri" w:eastAsia="Calibri" w:hAnsi="Calibri" w:cs="Arial"/>
        </w:rPr>
      </w:pPr>
      <w:r w:rsidRPr="008B13E8">
        <w:rPr>
          <w:rFonts w:ascii="Calibri" w:eastAsia="Calibri" w:hAnsi="Calibri" w:cs="Arial"/>
        </w:rPr>
        <w:t>Ad esempio, qualora all’avvio del servizio il rapporto ricavi/costi di un insieme di servizi risulti pari al 30% (equivalente a ricavi per 3.000.000 €/anno), e l’impresa si impegni a raggiungere il 31% entro il primo anno, generando 100.000 € di ricavi aggiuntivi, al netto degli incrementi tariffari, AMP potrà riconoscere una compensazione pari al delta mancante (400.000 €). Tuttavia, tale compensazione sarà erogata solo in caso di effettivo raggiungimento dell’obiettivo. In caso contrario, non sono previste risorse aggiuntive, rafforzando il principio di corresponsabilità.</w:t>
      </w:r>
    </w:p>
    <w:p w14:paraId="626934E5" w14:textId="77777777" w:rsidR="00162229" w:rsidRPr="008B13E8" w:rsidRDefault="00162229" w:rsidP="00162229">
      <w:pPr>
        <w:spacing w:before="120" w:after="0" w:line="240" w:lineRule="auto"/>
        <w:rPr>
          <w:rFonts w:ascii="Calibri" w:eastAsia="Calibri" w:hAnsi="Calibri" w:cs="Arial"/>
        </w:rPr>
      </w:pPr>
      <w:r w:rsidRPr="008B13E8">
        <w:rPr>
          <w:rFonts w:ascii="Calibri" w:eastAsia="Calibri" w:hAnsi="Calibri" w:cs="Arial"/>
        </w:rPr>
        <w:t>La partecipazione pubblica deve essere decrescente nel tempo, in quanto:</w:t>
      </w:r>
    </w:p>
    <w:p w14:paraId="791F22F5" w14:textId="77777777" w:rsidR="00162229" w:rsidRPr="008B13E8" w:rsidRDefault="00162229" w:rsidP="00162229">
      <w:pPr>
        <w:numPr>
          <w:ilvl w:val="0"/>
          <w:numId w:val="98"/>
        </w:numPr>
        <w:spacing w:before="120" w:after="0" w:line="240" w:lineRule="auto"/>
        <w:rPr>
          <w:rFonts w:ascii="Calibri" w:eastAsia="Calibri" w:hAnsi="Calibri" w:cs="Arial"/>
        </w:rPr>
      </w:pPr>
      <w:r w:rsidRPr="008B13E8">
        <w:rPr>
          <w:rFonts w:ascii="Calibri" w:eastAsia="Calibri" w:hAnsi="Calibri" w:cs="Arial"/>
        </w:rPr>
        <w:t>Il progetto deve prevedere una progressiva crescita dei ricavi da traffico, frutto dell’efficacia delle strategie progettuali;</w:t>
      </w:r>
    </w:p>
    <w:p w14:paraId="3A8D152E" w14:textId="77777777" w:rsidR="00162229" w:rsidRPr="008B13E8" w:rsidRDefault="00162229" w:rsidP="00162229">
      <w:pPr>
        <w:numPr>
          <w:ilvl w:val="0"/>
          <w:numId w:val="98"/>
        </w:numPr>
        <w:spacing w:before="120" w:after="0" w:line="240" w:lineRule="auto"/>
        <w:rPr>
          <w:rFonts w:ascii="Calibri" w:eastAsia="Calibri" w:hAnsi="Calibri" w:cs="Arial"/>
        </w:rPr>
      </w:pPr>
      <w:r w:rsidRPr="008B13E8">
        <w:rPr>
          <w:rFonts w:ascii="Calibri" w:eastAsia="Calibri" w:hAnsi="Calibri" w:cs="Arial"/>
        </w:rPr>
        <w:t>Si incentiva l’operatore a ridurre la dipendenza da contributi pubblici, promuovendo l’efficienza gestionale e l’innovazione;</w:t>
      </w:r>
    </w:p>
    <w:p w14:paraId="51724912" w14:textId="77777777" w:rsidR="00162229" w:rsidRPr="008B13E8" w:rsidRDefault="00162229" w:rsidP="00162229">
      <w:pPr>
        <w:numPr>
          <w:ilvl w:val="0"/>
          <w:numId w:val="98"/>
        </w:numPr>
        <w:spacing w:before="120" w:after="0" w:line="240" w:lineRule="auto"/>
        <w:rPr>
          <w:rFonts w:ascii="Calibri" w:eastAsia="Calibri" w:hAnsi="Calibri" w:cs="Arial"/>
        </w:rPr>
      </w:pPr>
      <w:r w:rsidRPr="008B13E8">
        <w:rPr>
          <w:rFonts w:ascii="Calibri" w:eastAsia="Calibri" w:hAnsi="Calibri" w:cs="Arial"/>
        </w:rPr>
        <w:t>Si favorisce una transizione verso la sostenibilità economica del servizio, coerente con gli obiettivi di lungo periodo del contratto.</w:t>
      </w:r>
    </w:p>
    <w:p w14:paraId="2ACF5D98" w14:textId="77777777" w:rsidR="00825B1C" w:rsidRDefault="00162229" w:rsidP="00162229">
      <w:pPr>
        <w:spacing w:before="120" w:after="0" w:line="240" w:lineRule="auto"/>
        <w:rPr>
          <w:rFonts w:ascii="Calibri" w:eastAsia="Calibri" w:hAnsi="Calibri" w:cs="Arial"/>
        </w:rPr>
      </w:pPr>
      <w:r w:rsidRPr="008B13E8">
        <w:rPr>
          <w:rFonts w:ascii="Calibri" w:eastAsia="Calibri" w:hAnsi="Calibri" w:cs="Arial"/>
        </w:rPr>
        <w:t>In questo quadro, l’operatore è chiamato a proporre autonomamente le politiche premiali, definendo obiettivi annuali, indicatori di performance e modalità di corresponsione condizionata delle risorse pubbliche, in un’ottica di condivisione del rischio e valorizzazione della capacità progettuale.</w:t>
      </w:r>
    </w:p>
    <w:p w14:paraId="54EA3AF4" w14:textId="77777777" w:rsidR="00825B1C" w:rsidRPr="00825B1C" w:rsidRDefault="00825B1C" w:rsidP="00825B1C">
      <w:pPr>
        <w:rPr>
          <w:rFonts w:ascii="Calibri" w:eastAsia="Calibri" w:hAnsi="Calibri" w:cs="Arial"/>
        </w:rPr>
      </w:pPr>
    </w:p>
    <w:p w14:paraId="28F0F68E" w14:textId="77777777" w:rsidR="00825B1C" w:rsidRDefault="00825B1C" w:rsidP="00825B1C">
      <w:pPr>
        <w:rPr>
          <w:rFonts w:ascii="Calibri" w:eastAsia="Calibri" w:hAnsi="Calibri" w:cs="Arial"/>
        </w:rPr>
      </w:pPr>
    </w:p>
    <w:p w14:paraId="11270BEB" w14:textId="77777777" w:rsidR="00825B1C" w:rsidRPr="00825B1C" w:rsidRDefault="00825B1C" w:rsidP="00825B1C">
      <w:pPr>
        <w:rPr>
          <w:rFonts w:ascii="Calibri" w:eastAsia="Calibri" w:hAnsi="Calibri" w:cs="Arial"/>
        </w:rPr>
        <w:sectPr w:rsidR="00825B1C" w:rsidRPr="00825B1C" w:rsidSect="00162229">
          <w:footerReference w:type="default" r:id="rId100"/>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4EE618CD" w14:textId="77777777" w:rsidR="00825B1C" w:rsidRPr="008B13E8" w:rsidRDefault="00825B1C" w:rsidP="00825B1C">
      <w:pPr>
        <w:pStyle w:val="Titolo1"/>
        <w:ind w:left="426"/>
      </w:pPr>
      <w:bookmarkStart w:id="459" w:name="_Ref194318073"/>
      <w:bookmarkStart w:id="460" w:name="_Toc197695733"/>
      <w:bookmarkStart w:id="461" w:name="_Toc204616542"/>
      <w:bookmarkStart w:id="462" w:name="_Toc205213773"/>
      <w:r w:rsidRPr="008B13E8">
        <w:lastRenderedPageBreak/>
        <w:t>Conclusioni</w:t>
      </w:r>
      <w:bookmarkEnd w:id="459"/>
      <w:bookmarkEnd w:id="460"/>
      <w:bookmarkEnd w:id="461"/>
      <w:bookmarkEnd w:id="462"/>
    </w:p>
    <w:p w14:paraId="6C5249B6"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Sono state utilizzate varie fonti per valutare la domanda di mobilità nel Bacino Sud Est con l'utilizzo di dati provenienti da piattaforme Big Data di operatori telefonici e dall'indagine IMQ 2022.</w:t>
      </w:r>
    </w:p>
    <w:p w14:paraId="2BE2B1C5"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 xml:space="preserve">L'utilizzo dei dati delle celle telefoniche per le indagini sulla mobilità offre vantaggi come il monitoraggio in tempo reale e l'analisi dettagliata, ma presenta anche svantaggi legati alla precisione dei dati e alla trasparenza degli algoritmi utilizzati. È importante integrare questi dati con altre fonti per ottenere un quadro più completo della mobilità. </w:t>
      </w:r>
    </w:p>
    <w:p w14:paraId="32CAA6B6"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 xml:space="preserve">L'indagine IMQ 2022 ha fornito una valutazione più completa della domanda di mobilità. I dati dell’indagine hanno permesso di identificare le dinamiche di mobilità e le esigenze specifiche di spostamento. </w:t>
      </w:r>
    </w:p>
    <w:p w14:paraId="236A6D49"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L'analisi dell'auto</w:t>
      </w:r>
      <w:r>
        <w:rPr>
          <w:rFonts w:ascii="Calibri" w:eastAsia="Calibri" w:hAnsi="Calibri" w:cs="Arial"/>
        </w:rPr>
        <w:t>-</w:t>
      </w:r>
      <w:r w:rsidRPr="00CF3376">
        <w:rPr>
          <w:rFonts w:ascii="Calibri" w:eastAsia="Calibri" w:hAnsi="Calibri" w:cs="Arial"/>
        </w:rPr>
        <w:t>contenimento della domanda ha evidenziato che le due province si distinguono per le quote di spostamenti che in valore assoluto sono più alte per la provincia di Alessandria  che registra un auto</w:t>
      </w:r>
      <w:r>
        <w:rPr>
          <w:rFonts w:ascii="Calibri" w:eastAsia="Calibri" w:hAnsi="Calibri" w:cs="Arial"/>
        </w:rPr>
        <w:t>-</w:t>
      </w:r>
      <w:r w:rsidRPr="00CF3376">
        <w:rPr>
          <w:rFonts w:ascii="Calibri" w:eastAsia="Calibri" w:hAnsi="Calibri" w:cs="Arial"/>
        </w:rPr>
        <w:t>conte</w:t>
      </w:r>
      <w:r>
        <w:rPr>
          <w:rFonts w:ascii="Calibri" w:eastAsia="Calibri" w:hAnsi="Calibri" w:cs="Arial"/>
        </w:rPr>
        <w:t>n</w:t>
      </w:r>
      <w:r w:rsidRPr="00CF3376">
        <w:rPr>
          <w:rFonts w:ascii="Calibri" w:eastAsia="Calibri" w:hAnsi="Calibri" w:cs="Arial"/>
        </w:rPr>
        <w:t>imento dell’86%, mentre la provincia di Asti ha un sempre importante (79%), ma più limitato con maggiori relazioni verso il resto delle altre province piemontesi.</w:t>
      </w:r>
    </w:p>
    <w:p w14:paraId="44EF42D7"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La suddivisione del Bacino Sud Est in due Lotti di gara, Lotto 1 Asti e Lotto 2 Alessandria, oltre al Lotto in ADD Val Borbera affidato direttamente, rappresenta una strategia che può incentivare le imprese partecipanti a porre maggiore attenzione alle differenze tra i due ambiti locali.</w:t>
      </w:r>
    </w:p>
    <w:p w14:paraId="29E40A39"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 xml:space="preserve">Questa suddivisione permette di evidenziare le specificità e le esigenze di mobilità di ciascuna area, spingendo le imprese a sviluppare soluzioni più mirate e dettagliate. Le imprese del TPL saranno pertanto motivate a: </w:t>
      </w:r>
    </w:p>
    <w:p w14:paraId="2C68F790" w14:textId="77777777" w:rsidR="00825B1C" w:rsidRPr="00CF3376" w:rsidRDefault="00825B1C" w:rsidP="00825B1C">
      <w:pPr>
        <w:numPr>
          <w:ilvl w:val="0"/>
          <w:numId w:val="87"/>
        </w:numPr>
        <w:spacing w:before="120" w:after="0" w:line="240" w:lineRule="auto"/>
        <w:rPr>
          <w:rFonts w:ascii="Calibri" w:eastAsia="Calibri" w:hAnsi="Calibri" w:cs="Arial"/>
        </w:rPr>
      </w:pPr>
      <w:r w:rsidRPr="00CF3376">
        <w:rPr>
          <w:rFonts w:ascii="Calibri" w:eastAsia="Calibri" w:hAnsi="Calibri" w:cs="Arial"/>
        </w:rPr>
        <w:t>analizzare le caratteristiche locali: la suddivisione in due aree richiede un'analisi approfondita delle dinamiche di mobilità, delle infrastrutture esistenti e delle esigenze degli utenti in ciascun ambito;</w:t>
      </w:r>
    </w:p>
    <w:p w14:paraId="51EE1465" w14:textId="77777777" w:rsidR="00825B1C" w:rsidRPr="00CF3376" w:rsidRDefault="00825B1C" w:rsidP="00825B1C">
      <w:pPr>
        <w:numPr>
          <w:ilvl w:val="0"/>
          <w:numId w:val="87"/>
        </w:numPr>
        <w:spacing w:before="120" w:after="0" w:line="240" w:lineRule="auto"/>
        <w:rPr>
          <w:rFonts w:ascii="Calibri" w:eastAsia="Calibri" w:hAnsi="Calibri" w:cs="Arial"/>
        </w:rPr>
      </w:pPr>
      <w:r w:rsidRPr="00CF3376">
        <w:rPr>
          <w:rFonts w:ascii="Calibri" w:eastAsia="Calibri" w:hAnsi="Calibri" w:cs="Arial"/>
        </w:rPr>
        <w:t>personalizzare l'offerta: con una comprensione più dettagliata delle specificità locali, le imprese potranno personalizzare l'offerta di servizi di trasporto pubblico, migliorando l'efficienza e la qualità del servizio per gli utenti;</w:t>
      </w:r>
    </w:p>
    <w:p w14:paraId="359152AA" w14:textId="77777777" w:rsidR="00825B1C" w:rsidRPr="00CF3376" w:rsidRDefault="00825B1C" w:rsidP="00825B1C">
      <w:pPr>
        <w:numPr>
          <w:ilvl w:val="0"/>
          <w:numId w:val="87"/>
        </w:numPr>
        <w:spacing w:before="120" w:after="0" w:line="240" w:lineRule="auto"/>
        <w:rPr>
          <w:rFonts w:ascii="Calibri" w:eastAsia="Calibri" w:hAnsi="Calibri" w:cs="Arial"/>
        </w:rPr>
      </w:pPr>
      <w:r w:rsidRPr="00CF3376">
        <w:rPr>
          <w:rFonts w:ascii="Calibri" w:eastAsia="Calibri" w:hAnsi="Calibri" w:cs="Arial"/>
        </w:rPr>
        <w:t>innovare nelle soluzioni: La necessità di adattarsi alle differenze locali stimolerà le imprese a sviluppare soluzioni innovative e a ottimizzare le risorse, garantendo una risposta più efficace alle esigenze di mobilità.</w:t>
      </w:r>
    </w:p>
    <w:p w14:paraId="231D13C9" w14:textId="77777777" w:rsidR="00825B1C" w:rsidRDefault="00825B1C" w:rsidP="00825B1C">
      <w:pPr>
        <w:spacing w:before="120" w:after="0" w:line="240" w:lineRule="auto"/>
        <w:rPr>
          <w:rFonts w:ascii="Calibri" w:eastAsia="Calibri" w:hAnsi="Calibri" w:cs="Arial"/>
        </w:rPr>
      </w:pPr>
      <w:r w:rsidRPr="0048788A">
        <w:rPr>
          <w:rFonts w:ascii="Calibri" w:eastAsia="Calibri" w:hAnsi="Calibri" w:cs="Arial"/>
        </w:rPr>
        <w:t>Inoltre l’individuazione di un lotto in area a domanda debole consente di valorizzare la prossimità gestionale dell’operatore, favorendo una maggiore capacità di intercettazione della domanda latente e una più elevata reattività nell’adeguamento dell’offerta. La presenza di gare TPL nelle aree contigue costituisce un benchmark competitivo utile a stimolare l’efficienza allocativa, l’adozione di best practices e l’innovazione nei modelli di esercizio, rafforzando il ruolo dell’ente affidante come regolatore attivo del sistema.</w:t>
      </w:r>
    </w:p>
    <w:p w14:paraId="2D8CB932"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 xml:space="preserve">Per raggiungere questi obiettivi sarà cruciale adattare l’offerta alla mutazione dei comportamenti di mobilità che stanno subendo una trasformazione significativa, influenzata dalle generazioni più recenti che tendono a privilegiare modalità di trasporto più sostenibili, come l'uso di servizi di sharing e il trasporto pubblico, rispetto all'uso dell'auto privata, offrendo quindi nuove opportunità per rilanciare il ruolo del trasporto collettivo. Essendo “sempre connessi”, è necessario costruire interfacce immediatamente accessibili attraverso la rete ed i device più usati. </w:t>
      </w:r>
    </w:p>
    <w:p w14:paraId="0AA98F54"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lastRenderedPageBreak/>
        <w:t xml:space="preserve">Per cogliere tale opportunità la digitalizzazione dell’impresa rappresenta un aspetto cruciale per il futuro del trasporto pubblico locale (TPL). L’investimento in infrastrutture digitali che le imprese sono tenute a fare deve consentire: </w:t>
      </w:r>
    </w:p>
    <w:p w14:paraId="25EC4D07" w14:textId="77777777" w:rsidR="00825B1C" w:rsidRPr="00CF3376" w:rsidRDefault="00825B1C" w:rsidP="00825B1C">
      <w:pPr>
        <w:numPr>
          <w:ilvl w:val="0"/>
          <w:numId w:val="86"/>
        </w:numPr>
        <w:spacing w:before="120" w:after="0" w:line="240" w:lineRule="auto"/>
        <w:rPr>
          <w:rFonts w:ascii="Calibri" w:eastAsia="Calibri" w:hAnsi="Calibri" w:cs="Arial"/>
        </w:rPr>
      </w:pPr>
      <w:r w:rsidRPr="00CF3376">
        <w:rPr>
          <w:rFonts w:ascii="Calibri" w:eastAsia="Calibri" w:hAnsi="Calibri" w:cs="Arial"/>
        </w:rPr>
        <w:t>l’accessibilità dei dati tramite piattaforme di analytics e di maas che ne faciliterà l'uso e l'integrazione con altre fonti;</w:t>
      </w:r>
    </w:p>
    <w:p w14:paraId="7553D244" w14:textId="77777777" w:rsidR="00825B1C" w:rsidRPr="00CF3376" w:rsidRDefault="00825B1C" w:rsidP="00825B1C">
      <w:pPr>
        <w:numPr>
          <w:ilvl w:val="0"/>
          <w:numId w:val="86"/>
        </w:numPr>
        <w:spacing w:before="120" w:after="0" w:line="240" w:lineRule="auto"/>
        <w:rPr>
          <w:rFonts w:ascii="Calibri" w:eastAsia="Calibri" w:hAnsi="Calibri" w:cs="Arial"/>
        </w:rPr>
      </w:pPr>
      <w:r w:rsidRPr="00CF3376">
        <w:rPr>
          <w:rFonts w:ascii="Calibri" w:eastAsia="Calibri" w:hAnsi="Calibri" w:cs="Arial"/>
        </w:rPr>
        <w:t>il monitoraggio in tempo reale dei dati dell’organizzazione aziendale e del servizio;</w:t>
      </w:r>
    </w:p>
    <w:p w14:paraId="2BB67AE8" w14:textId="77777777" w:rsidR="00825B1C" w:rsidRPr="00CF3376" w:rsidRDefault="00825B1C" w:rsidP="00825B1C">
      <w:pPr>
        <w:numPr>
          <w:ilvl w:val="0"/>
          <w:numId w:val="86"/>
        </w:numPr>
        <w:spacing w:before="120" w:after="0" w:line="240" w:lineRule="auto"/>
        <w:rPr>
          <w:rFonts w:ascii="Calibri" w:eastAsia="Calibri" w:hAnsi="Calibri" w:cs="Arial"/>
        </w:rPr>
      </w:pPr>
      <w:r w:rsidRPr="00CF3376">
        <w:rPr>
          <w:rFonts w:ascii="Calibri" w:eastAsia="Calibri" w:hAnsi="Calibri" w:cs="Arial"/>
        </w:rPr>
        <w:t>servizi personalizzati, infatti grazie alla connessione in tempo reale fra utente e servizio le imprese di TPL possono sviluppare servizi personalizzati che rispondono alle esigenze specifiche degli utenti;</w:t>
      </w:r>
    </w:p>
    <w:p w14:paraId="1295E808" w14:textId="77777777" w:rsidR="00825B1C" w:rsidRPr="00CF3376" w:rsidRDefault="00825B1C" w:rsidP="00825B1C">
      <w:pPr>
        <w:numPr>
          <w:ilvl w:val="0"/>
          <w:numId w:val="86"/>
        </w:numPr>
        <w:spacing w:before="120" w:after="0" w:line="240" w:lineRule="auto"/>
        <w:rPr>
          <w:rFonts w:ascii="Calibri" w:eastAsia="Calibri" w:hAnsi="Calibri" w:cs="Arial"/>
        </w:rPr>
      </w:pPr>
      <w:r w:rsidRPr="00CF3376">
        <w:rPr>
          <w:rFonts w:ascii="Calibri" w:eastAsia="Calibri" w:hAnsi="Calibri" w:cs="Arial"/>
        </w:rPr>
        <w:t xml:space="preserve">l’innovazione nelle soluzioni di trasporto, come l'introduzione di sistemi di prenotazione online, applicazioni mobili per la gestione dei viaggi e servizi di sharing coordinati; </w:t>
      </w:r>
    </w:p>
    <w:p w14:paraId="1BF334E7" w14:textId="77777777" w:rsidR="00825B1C" w:rsidRPr="00CF3376" w:rsidRDefault="00825B1C" w:rsidP="00825B1C">
      <w:pPr>
        <w:numPr>
          <w:ilvl w:val="0"/>
          <w:numId w:val="86"/>
        </w:numPr>
        <w:spacing w:before="120" w:after="0" w:line="240" w:lineRule="auto"/>
        <w:rPr>
          <w:rFonts w:ascii="Calibri" w:eastAsia="Calibri" w:hAnsi="Calibri" w:cs="Arial"/>
        </w:rPr>
      </w:pPr>
      <w:r w:rsidRPr="00CF3376">
        <w:rPr>
          <w:rFonts w:ascii="Calibri" w:eastAsia="Calibri" w:hAnsi="Calibri" w:cs="Arial"/>
        </w:rPr>
        <w:t>l’accesso facilitato alle informazioni sui servizi di trasporto, come orari, percorsi e tariffe, migliorando l’attrattività e l'esperienza complessiva di viaggio.</w:t>
      </w:r>
    </w:p>
    <w:p w14:paraId="5C414C05"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Ancor più fondamentale nel Bacino Sud Est è l’attenzione da porre ai ricavi da traffico che rappresentano un obiettivo sfidante ma imprescindibile per gli operatori economici che parteciperanno alle gare.</w:t>
      </w:r>
    </w:p>
    <w:p w14:paraId="500E4E4E" w14:textId="77777777" w:rsidR="00825B1C" w:rsidRPr="00CF3376" w:rsidRDefault="00825B1C" w:rsidP="00825B1C">
      <w:pPr>
        <w:spacing w:before="120" w:after="0" w:line="240" w:lineRule="auto"/>
        <w:rPr>
          <w:rFonts w:ascii="Calibri" w:eastAsia="Calibri" w:hAnsi="Calibri" w:cs="Arial"/>
        </w:rPr>
      </w:pPr>
      <w:r w:rsidRPr="00CF3376">
        <w:rPr>
          <w:rFonts w:ascii="Calibri" w:eastAsia="Calibri" w:hAnsi="Calibri" w:cs="Arial"/>
        </w:rPr>
        <w:t>Il fattore abilitante costituito dalla digitalizzazione rappresenta una grande opportunità per affrontare in maniera puntuale e dinamica il monitoraggio dei risultati delle azioni proposte e il tempestivo adeguamento e allineamento alle reali esigenze del bacino.</w:t>
      </w:r>
    </w:p>
    <w:p w14:paraId="4FDEF527" w14:textId="77777777" w:rsidR="00825B1C" w:rsidRPr="00AD01C5" w:rsidRDefault="00825B1C" w:rsidP="00825B1C">
      <w:pPr>
        <w:spacing w:before="120" w:after="0" w:line="240" w:lineRule="auto"/>
        <w:rPr>
          <w:rFonts w:ascii="Calibri" w:eastAsia="Calibri" w:hAnsi="Calibri" w:cs="Arial"/>
        </w:rPr>
      </w:pPr>
      <w:r w:rsidRPr="00AD01C5">
        <w:rPr>
          <w:rFonts w:ascii="Calibri" w:eastAsia="Calibri" w:hAnsi="Calibri" w:cs="Arial"/>
        </w:rPr>
        <w:t xml:space="preserve">In sintesi, la suddivisione del Bacino </w:t>
      </w:r>
      <w:r>
        <w:rPr>
          <w:rFonts w:ascii="Calibri" w:eastAsia="Calibri" w:hAnsi="Calibri" w:cs="Arial"/>
        </w:rPr>
        <w:t xml:space="preserve">Sud Est </w:t>
      </w:r>
      <w:r w:rsidRPr="00AD01C5">
        <w:rPr>
          <w:rFonts w:ascii="Calibri" w:eastAsia="Calibri" w:hAnsi="Calibri" w:cs="Arial"/>
        </w:rPr>
        <w:t xml:space="preserve">in </w:t>
      </w:r>
      <w:r>
        <w:rPr>
          <w:rFonts w:ascii="Calibri" w:eastAsia="Calibri" w:hAnsi="Calibri" w:cs="Arial"/>
        </w:rPr>
        <w:t xml:space="preserve">tre </w:t>
      </w:r>
      <w:r w:rsidRPr="00AD01C5">
        <w:rPr>
          <w:rFonts w:ascii="Calibri" w:eastAsia="Calibri" w:hAnsi="Calibri" w:cs="Arial"/>
        </w:rPr>
        <w:t>Lotti, oltre a rappresentare adeguatamente la realtà della mobilità dei cittadini del Bacino</w:t>
      </w:r>
      <w:r>
        <w:rPr>
          <w:rFonts w:ascii="Calibri" w:eastAsia="Calibri" w:hAnsi="Calibri" w:cs="Arial"/>
        </w:rPr>
        <w:t xml:space="preserve"> e rispondere alle esigenze manifestate</w:t>
      </w:r>
      <w:r w:rsidRPr="00AD01C5">
        <w:rPr>
          <w:rFonts w:ascii="Calibri" w:eastAsia="Calibri" w:hAnsi="Calibri" w:cs="Arial"/>
        </w:rPr>
        <w:t>, favorirà un approccio più attento e dettagliato da parte delle imprese del TPL, che dovranno essere completamente digitalizzate per rispondere alle esigenze di mobilità dell’area.</w:t>
      </w:r>
    </w:p>
    <w:p w14:paraId="376FCBCF" w14:textId="77777777" w:rsidR="00825B1C" w:rsidRPr="00CF3376" w:rsidRDefault="00825B1C" w:rsidP="00825B1C">
      <w:pPr>
        <w:spacing w:before="120" w:after="0" w:line="240" w:lineRule="auto"/>
        <w:rPr>
          <w:rFonts w:ascii="Calibri" w:eastAsia="Calibri" w:hAnsi="Calibri" w:cs="Arial"/>
        </w:rPr>
      </w:pPr>
    </w:p>
    <w:p w14:paraId="2B202C33" w14:textId="77777777" w:rsidR="00691FEF" w:rsidRDefault="00691FEF" w:rsidP="00825B1C">
      <w:pPr>
        <w:tabs>
          <w:tab w:val="left" w:pos="2010"/>
        </w:tabs>
        <w:sectPr w:rsidR="00691FEF" w:rsidSect="00162229">
          <w:footerReference w:type="default" r:id="rId101"/>
          <w:pgSz w:w="11906" w:h="16838"/>
          <w:pgMar w:top="1418" w:right="1418" w:bottom="1418" w:left="1418" w:header="709" w:footer="709" w:gutter="0"/>
          <w:pgBorders w:offsetFrom="page">
            <w:right w:val="single" w:sz="48" w:space="24" w:color="A5C34C" w:themeColor="accent6" w:themeShade="BF"/>
          </w:pgBorders>
          <w:cols w:space="708"/>
          <w:docGrid w:linePitch="360"/>
        </w:sectPr>
      </w:pPr>
    </w:p>
    <w:p w14:paraId="66525B03" w14:textId="3B2A0618" w:rsidR="00825B1C" w:rsidRPr="00825B1C" w:rsidRDefault="00946437" w:rsidP="00825B1C">
      <w:pPr>
        <w:tabs>
          <w:tab w:val="left" w:pos="2010"/>
        </w:tabs>
      </w:pPr>
      <w:r w:rsidRPr="000C6009">
        <w:rPr>
          <w:rFonts w:cstheme="minorHAnsi"/>
          <w:noProof/>
        </w:rPr>
        <w:lastRenderedPageBreak/>
        <mc:AlternateContent>
          <mc:Choice Requires="wps">
            <w:drawing>
              <wp:anchor distT="0" distB="0" distL="114300" distR="114300" simplePos="0" relativeHeight="251670532" behindDoc="0" locked="0" layoutInCell="1" allowOverlap="1" wp14:anchorId="16408E62" wp14:editId="65F9990E">
                <wp:simplePos x="0" y="0"/>
                <wp:positionH relativeFrom="page">
                  <wp:posOffset>-8220</wp:posOffset>
                </wp:positionH>
                <wp:positionV relativeFrom="page">
                  <wp:posOffset>11430</wp:posOffset>
                </wp:positionV>
                <wp:extent cx="2018665" cy="10663555"/>
                <wp:effectExtent l="0" t="0" r="635" b="4445"/>
                <wp:wrapNone/>
                <wp:docPr id="512763703" name="Rettangolo 512763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665" cy="10663555"/>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67F45F" w14:textId="3296496C" w:rsidR="00691FEF" w:rsidRPr="00207886" w:rsidRDefault="00691FEF" w:rsidP="00691FEF">
                            <w:pPr>
                              <w:pStyle w:val="Sottotitolo"/>
                              <w:ind w:left="-142"/>
                              <w:jc w:val="left"/>
                              <w:rPr>
                                <w:b/>
                                <w:i/>
                                <w:color w:val="FFFFFF" w:themeColor="background1"/>
                                <w:sz w:val="36"/>
                                <w:szCs w:val="36"/>
                              </w:rPr>
                            </w:pPr>
                          </w:p>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408E62" id="Rettangolo 512763703" o:spid="_x0000_s1029" style="position:absolute;left:0;text-align:left;margin-left:-.65pt;margin-top:.9pt;width:158.95pt;height:839.65pt;z-index:2516705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" fillcolor="#036" stroked="f" strokeweight="1.75pt">
                <v:fill color2="#050e18 [751]" colors="0 #036;36045f #036" focus="100%" type="gradient"/>
                <v:stroke endcap="round"/>
                <v:textbox inset="14.4pt,,14.4pt,1mm">
                  <w:txbxContent>
                    <w:p w14:paraId="4867F45F" w14:textId="3296496C" w:rsidR="00691FEF" w:rsidRPr="00207886" w:rsidRDefault="00691FEF" w:rsidP="00691FEF">
                      <w:pPr>
                        <w:pStyle w:val="Sottotitolo"/>
                        <w:ind w:left="-142"/>
                        <w:jc w:val="left"/>
                        <w:rPr>
                          <w:b/>
                          <w:i/>
                          <w:color w:val="FFFFFF" w:themeColor="background1"/>
                          <w:sz w:val="36"/>
                          <w:szCs w:val="36"/>
                        </w:rPr>
                      </w:pPr>
                    </w:p>
                  </w:txbxContent>
                </v:textbox>
                <w10:wrap anchorx="page" anchory="page"/>
              </v:rect>
            </w:pict>
          </mc:Fallback>
        </mc:AlternateContent>
      </w:r>
      <w:r w:rsidR="0018155C">
        <w:rPr>
          <w:rFonts w:cstheme="minorHAnsi"/>
          <w:noProof/>
        </w:rPr>
        <w:drawing>
          <wp:anchor distT="0" distB="0" distL="114300" distR="114300" simplePos="0" relativeHeight="251671556" behindDoc="0" locked="0" layoutInCell="1" allowOverlap="1" wp14:anchorId="152048EC" wp14:editId="56388D01">
            <wp:simplePos x="0" y="0"/>
            <wp:positionH relativeFrom="column">
              <wp:posOffset>-543098</wp:posOffset>
            </wp:positionH>
            <wp:positionV relativeFrom="paragraph">
              <wp:posOffset>-322868</wp:posOffset>
            </wp:positionV>
            <wp:extent cx="1345565" cy="596900"/>
            <wp:effectExtent l="0" t="0" r="6985" b="0"/>
            <wp:wrapNone/>
            <wp:docPr id="1426786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45565" cy="596900"/>
                    </a:xfrm>
                    <a:prstGeom prst="rect">
                      <a:avLst/>
                    </a:prstGeom>
                    <a:noFill/>
                  </pic:spPr>
                </pic:pic>
              </a:graphicData>
            </a:graphic>
            <wp14:sizeRelH relativeFrom="page">
              <wp14:pctWidth>0</wp14:pctWidth>
            </wp14:sizeRelH>
            <wp14:sizeRelV relativeFrom="page">
              <wp14:pctHeight>0</wp14:pctHeight>
            </wp14:sizeRelV>
          </wp:anchor>
        </w:drawing>
      </w:r>
    </w:p>
    <w:sectPr w:rsidR="00825B1C" w:rsidRPr="00825B1C" w:rsidSect="00162229">
      <w:headerReference w:type="default" r:id="rId103"/>
      <w:footerReference w:type="default" r:id="rId104"/>
      <w:pgSz w:w="11906" w:h="16838"/>
      <w:pgMar w:top="1418" w:right="1418" w:bottom="1418" w:left="1418" w:header="709" w:footer="709" w:gutter="0"/>
      <w:pgBorders w:offsetFrom="page">
        <w:right w:val="single" w:sz="48" w:space="24" w:color="A5C34C"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5949F" w14:textId="77777777" w:rsidR="00E855D4" w:rsidRPr="00207886" w:rsidRDefault="00E855D4">
      <w:r w:rsidRPr="00207886">
        <w:separator/>
      </w:r>
    </w:p>
  </w:endnote>
  <w:endnote w:type="continuationSeparator" w:id="0">
    <w:p w14:paraId="278510AE" w14:textId="77777777" w:rsidR="00E855D4" w:rsidRPr="00207886" w:rsidRDefault="00E855D4">
      <w:r w:rsidRPr="00207886">
        <w:continuationSeparator/>
      </w:r>
    </w:p>
  </w:endnote>
  <w:endnote w:type="continuationNotice" w:id="1">
    <w:p w14:paraId="701576A6" w14:textId="77777777" w:rsidR="00E855D4" w:rsidRDefault="00E85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eiryo">
    <w:altName w:val="メイリオ"/>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Liberation Sans">
    <w:charset w:val="00"/>
    <w:family w:val="swiss"/>
    <w:pitch w:val="variable"/>
    <w:sig w:usb0="E0000AFF" w:usb1="500078FF" w:usb2="00000021" w:usb3="00000000" w:csb0="000001BF" w:csb1="00000000"/>
  </w:font>
  <w:font w:name="Lohit Hindi">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altName w:val="Yu Gothic UI"/>
    <w:charset w:val="80"/>
    <w:family w:val="auto"/>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1">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ourier">
    <w:panose1 w:val="02060409020205020404"/>
    <w:charset w:val="00"/>
    <w:family w:val="modern"/>
    <w:pitch w:val="fixed"/>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libri (corspo)">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9B245E" w14:paraId="3D6F74EC" w14:textId="77777777" w:rsidTr="3BCD5E71">
      <w:trPr>
        <w:trHeight w:val="300"/>
      </w:trPr>
      <w:tc>
        <w:tcPr>
          <w:tcW w:w="3020" w:type="dxa"/>
        </w:tcPr>
        <w:p w14:paraId="49C0A296" w14:textId="69284B3B" w:rsidR="009B245E" w:rsidRDefault="009B245E" w:rsidP="3BCD5E71">
          <w:pPr>
            <w:pStyle w:val="Intestazione"/>
            <w:ind w:left="-115"/>
            <w:jc w:val="left"/>
          </w:pPr>
        </w:p>
      </w:tc>
      <w:tc>
        <w:tcPr>
          <w:tcW w:w="3020" w:type="dxa"/>
        </w:tcPr>
        <w:p w14:paraId="2A114587" w14:textId="6B67FA83" w:rsidR="009B245E" w:rsidRDefault="009B245E" w:rsidP="3BCD5E71">
          <w:pPr>
            <w:pStyle w:val="Intestazione"/>
            <w:jc w:val="center"/>
          </w:pPr>
        </w:p>
      </w:tc>
      <w:tc>
        <w:tcPr>
          <w:tcW w:w="3020" w:type="dxa"/>
        </w:tcPr>
        <w:p w14:paraId="668B0D01" w14:textId="568E4B7A" w:rsidR="009B245E" w:rsidRDefault="009B245E" w:rsidP="3BCD5E71">
          <w:pPr>
            <w:pStyle w:val="Intestazione"/>
            <w:ind w:right="-115"/>
            <w:jc w:val="right"/>
          </w:pPr>
        </w:p>
      </w:tc>
    </w:tr>
  </w:tbl>
  <w:p w14:paraId="510A834F" w14:textId="73B8E305" w:rsidR="009B245E" w:rsidRDefault="009B245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49477" w14:textId="3DDAD4F6" w:rsidR="004E445F" w:rsidRPr="00207886" w:rsidRDefault="004E445F" w:rsidP="00E126B0">
    <w:pPr>
      <w:pStyle w:val="Testonotaapidipagina"/>
      <w:pBdr>
        <w:top w:val="single" w:sz="4" w:space="1" w:color="A5C34C" w:themeColor="accent6" w:themeShade="BF"/>
      </w:pBdr>
      <w:tabs>
        <w:tab w:val="left" w:pos="2132"/>
        <w:tab w:val="right" w:pos="9072"/>
      </w:tabs>
      <w:jc w:val="left"/>
      <w:rPr>
        <w:color w:val="A5C34C" w:themeColor="accent6" w:themeShade="BF"/>
      </w:rPr>
    </w:pPr>
    <w:r>
      <w:rPr>
        <w:color w:val="A5C34C" w:themeColor="accent6" w:themeShade="BF"/>
      </w:rPr>
      <w:t>Indice</w:t>
    </w:r>
    <w:r w:rsidR="0083353D">
      <w:rPr>
        <w:color w:val="A5C34C" w:themeColor="accent6" w:themeShade="BF"/>
      </w:rPr>
      <w:tab/>
    </w:r>
    <w:r w:rsidR="0083353D">
      <w:rPr>
        <w:color w:val="A5C34C" w:themeColor="accent6" w:themeShade="BF"/>
      </w:rPr>
      <w:tab/>
    </w:r>
    <w:r w:rsidR="0083353D" w:rsidRPr="00C42A5A">
      <w:rPr>
        <w:rStyle w:val="Numeropagina"/>
        <w:color w:val="A5C34C"/>
      </w:rPr>
      <w:fldChar w:fldCharType="begin"/>
    </w:r>
    <w:r w:rsidR="0083353D" w:rsidRPr="00C42A5A">
      <w:rPr>
        <w:rStyle w:val="Numeropagina"/>
        <w:color w:val="A5C34C"/>
      </w:rPr>
      <w:instrText xml:space="preserve"> PAGE </w:instrText>
    </w:r>
    <w:r w:rsidR="0083353D" w:rsidRPr="00C42A5A">
      <w:rPr>
        <w:rStyle w:val="Numeropagina"/>
        <w:color w:val="A5C34C"/>
      </w:rPr>
      <w:fldChar w:fldCharType="separate"/>
    </w:r>
    <w:r w:rsidR="0083353D">
      <w:rPr>
        <w:rStyle w:val="Numeropagina"/>
        <w:color w:val="A5C34C"/>
      </w:rPr>
      <w:t>6</w:t>
    </w:r>
    <w:r w:rsidR="0083353D" w:rsidRPr="00C42A5A">
      <w:rPr>
        <w:rStyle w:val="Numeropagina"/>
        <w:color w:val="A5C34C"/>
      </w:rPr>
      <w:fldChar w:fldCharType="end"/>
    </w:r>
    <w:r w:rsidR="0083353D" w:rsidRPr="00C42A5A">
      <w:rPr>
        <w:rStyle w:val="Numeropagina"/>
        <w:color w:val="A5C34C"/>
      </w:rPr>
      <w:t>/</w:t>
    </w:r>
    <w:r w:rsidR="0083353D" w:rsidRPr="00C42A5A">
      <w:rPr>
        <w:rStyle w:val="Numeropagina"/>
        <w:color w:val="A5C34C"/>
      </w:rPr>
      <w:fldChar w:fldCharType="begin"/>
    </w:r>
    <w:r w:rsidR="0083353D" w:rsidRPr="00C42A5A">
      <w:rPr>
        <w:rStyle w:val="Numeropagina"/>
        <w:color w:val="A5C34C"/>
      </w:rPr>
      <w:instrText xml:space="preserve"> NUMPAGES </w:instrText>
    </w:r>
    <w:r w:rsidR="0083353D" w:rsidRPr="00C42A5A">
      <w:rPr>
        <w:rStyle w:val="Numeropagina"/>
        <w:color w:val="A5C34C"/>
      </w:rPr>
      <w:fldChar w:fldCharType="separate"/>
    </w:r>
    <w:r w:rsidR="0083353D">
      <w:rPr>
        <w:rStyle w:val="Numeropagina"/>
        <w:color w:val="A5C34C"/>
      </w:rPr>
      <w:t>151</w:t>
    </w:r>
    <w:r w:rsidR="0083353D" w:rsidRPr="00C42A5A">
      <w:rPr>
        <w:rStyle w:val="Numeropagina"/>
        <w:color w:val="A5C34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6609E" w14:textId="0F28B179" w:rsidR="00D57BBC" w:rsidRPr="00207886" w:rsidRDefault="00D57BBC" w:rsidP="00E126B0">
    <w:pPr>
      <w:pStyle w:val="Testonotaapidipagina"/>
      <w:pBdr>
        <w:top w:val="single" w:sz="4" w:space="1" w:color="A5C34C" w:themeColor="accent6" w:themeShade="BF"/>
      </w:pBdr>
      <w:tabs>
        <w:tab w:val="left" w:pos="2132"/>
        <w:tab w:val="right" w:pos="9072"/>
      </w:tabs>
      <w:jc w:val="left"/>
      <w:rPr>
        <w:color w:val="A5C34C" w:themeColor="accent6" w:themeShade="BF"/>
      </w:rPr>
    </w:pPr>
    <w:r>
      <w:rPr>
        <w:color w:val="A5C34C" w:themeColor="accent6" w:themeShade="BF"/>
      </w:rPr>
      <w:t>Allegati</w:t>
    </w:r>
    <w:r w:rsidR="0083353D">
      <w:rPr>
        <w:color w:val="A5C34C" w:themeColor="accent6" w:themeShade="BF"/>
      </w:rPr>
      <w:tab/>
    </w:r>
    <w:r w:rsidR="0083353D">
      <w:rPr>
        <w:color w:val="A5C34C" w:themeColor="accent6" w:themeShade="BF"/>
      </w:rPr>
      <w:tab/>
    </w:r>
    <w:r w:rsidR="0083353D" w:rsidRPr="00C42A5A">
      <w:rPr>
        <w:rStyle w:val="Numeropagina"/>
        <w:color w:val="A5C34C"/>
      </w:rPr>
      <w:fldChar w:fldCharType="begin"/>
    </w:r>
    <w:r w:rsidR="0083353D" w:rsidRPr="00C42A5A">
      <w:rPr>
        <w:rStyle w:val="Numeropagina"/>
        <w:color w:val="A5C34C"/>
      </w:rPr>
      <w:instrText xml:space="preserve"> PAGE </w:instrText>
    </w:r>
    <w:r w:rsidR="0083353D" w:rsidRPr="00C42A5A">
      <w:rPr>
        <w:rStyle w:val="Numeropagina"/>
        <w:color w:val="A5C34C"/>
      </w:rPr>
      <w:fldChar w:fldCharType="separate"/>
    </w:r>
    <w:r w:rsidR="0083353D">
      <w:rPr>
        <w:rStyle w:val="Numeropagina"/>
        <w:color w:val="A5C34C"/>
      </w:rPr>
      <w:t>6</w:t>
    </w:r>
    <w:r w:rsidR="0083353D" w:rsidRPr="00C42A5A">
      <w:rPr>
        <w:rStyle w:val="Numeropagina"/>
        <w:color w:val="A5C34C"/>
      </w:rPr>
      <w:fldChar w:fldCharType="end"/>
    </w:r>
    <w:r w:rsidR="0083353D" w:rsidRPr="00C42A5A">
      <w:rPr>
        <w:rStyle w:val="Numeropagina"/>
        <w:color w:val="A5C34C"/>
      </w:rPr>
      <w:t>/</w:t>
    </w:r>
    <w:r w:rsidR="0083353D" w:rsidRPr="00C42A5A">
      <w:rPr>
        <w:rStyle w:val="Numeropagina"/>
        <w:color w:val="A5C34C"/>
      </w:rPr>
      <w:fldChar w:fldCharType="begin"/>
    </w:r>
    <w:r w:rsidR="0083353D" w:rsidRPr="00C42A5A">
      <w:rPr>
        <w:rStyle w:val="Numeropagina"/>
        <w:color w:val="A5C34C"/>
      </w:rPr>
      <w:instrText xml:space="preserve"> NUMPAGES </w:instrText>
    </w:r>
    <w:r w:rsidR="0083353D" w:rsidRPr="00C42A5A">
      <w:rPr>
        <w:rStyle w:val="Numeropagina"/>
        <w:color w:val="A5C34C"/>
      </w:rPr>
      <w:fldChar w:fldCharType="separate"/>
    </w:r>
    <w:r w:rsidR="0083353D">
      <w:rPr>
        <w:rStyle w:val="Numeropagina"/>
        <w:color w:val="A5C34C"/>
      </w:rPr>
      <w:t>151</w:t>
    </w:r>
    <w:r w:rsidR="0083353D" w:rsidRPr="00C42A5A">
      <w:rPr>
        <w:rStyle w:val="Numeropagina"/>
        <w:color w:val="A5C34C"/>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899DB" w14:textId="17515A9D" w:rsidR="00C42A5A" w:rsidRPr="00D651F1" w:rsidRDefault="00C42A5A" w:rsidP="00E126B0">
    <w:pPr>
      <w:pStyle w:val="Testonotaapidipagina"/>
      <w:pBdr>
        <w:top w:val="single" w:sz="4" w:space="1" w:color="A5C34C" w:themeColor="accent6" w:themeShade="BF"/>
      </w:pBdr>
      <w:tabs>
        <w:tab w:val="left" w:pos="2132"/>
        <w:tab w:val="right" w:pos="9072"/>
      </w:tabs>
      <w:jc w:val="left"/>
      <w:rPr>
        <w:color w:val="A5C34C" w:themeColor="accent6" w:themeShade="BF"/>
      </w:rPr>
    </w:pPr>
    <w:r w:rsidRPr="004E445F">
      <w:rPr>
        <w:color w:val="A5C34C"/>
      </w:rPr>
      <w:fldChar w:fldCharType="begin"/>
    </w:r>
    <w:r w:rsidRPr="004E445F">
      <w:rPr>
        <w:color w:val="A5C34C"/>
      </w:rPr>
      <w:instrText xml:space="preserve"> REF _Ref190356999 \h </w:instrText>
    </w:r>
    <w:r w:rsidRPr="004E445F">
      <w:rPr>
        <w:color w:val="A5C34C"/>
      </w:rPr>
    </w:r>
    <w:r w:rsidR="004E445F">
      <w:rPr>
        <w:color w:val="A5C34C"/>
      </w:rPr>
      <w:instrText xml:space="preserve"> \* MERGEFORMAT </w:instrText>
    </w:r>
    <w:r w:rsidRPr="004E445F">
      <w:rPr>
        <w:color w:val="A5C34C"/>
      </w:rPr>
      <w:fldChar w:fldCharType="separate"/>
    </w:r>
    <w:r w:rsidR="00670903" w:rsidRPr="00670903">
      <w:rPr>
        <w:rFonts w:cstheme="minorHAnsi"/>
        <w:color w:val="A5C34C"/>
      </w:rPr>
      <w:t>Premessa</w:t>
    </w:r>
    <w:r w:rsidRPr="004E445F">
      <w:rPr>
        <w:color w:val="A5C34C"/>
      </w:rPr>
      <w:fldChar w:fldCharType="end"/>
    </w:r>
    <w:r w:rsidRPr="00D651F1">
      <w:rPr>
        <w:color w:val="A5C34C" w:themeColor="accent6" w:themeShade="BF"/>
      </w:rPr>
      <w:tab/>
    </w:r>
    <w:r w:rsidRPr="00D651F1">
      <w:rPr>
        <w:color w:val="A5C34C" w:themeColor="accent6" w:themeShade="BF"/>
      </w:rPr>
      <w:tab/>
    </w:r>
    <w:r w:rsidRPr="00C42A5A">
      <w:rPr>
        <w:rStyle w:val="Numeropagina"/>
        <w:color w:val="A5C34C"/>
      </w:rPr>
      <w:fldChar w:fldCharType="begin"/>
    </w:r>
    <w:r w:rsidRPr="00C42A5A">
      <w:rPr>
        <w:rStyle w:val="Numeropagina"/>
        <w:color w:val="A5C34C"/>
      </w:rPr>
      <w:instrText xml:space="preserve"> PAGE </w:instrText>
    </w:r>
    <w:r w:rsidRPr="00C42A5A">
      <w:rPr>
        <w:rStyle w:val="Numeropagina"/>
        <w:color w:val="A5C34C"/>
      </w:rPr>
      <w:fldChar w:fldCharType="separate"/>
    </w:r>
    <w:r w:rsidRPr="00C42A5A">
      <w:rPr>
        <w:rStyle w:val="Numeropagina"/>
        <w:noProof/>
        <w:color w:val="A5C34C"/>
      </w:rPr>
      <w:t>8</w:t>
    </w:r>
    <w:r w:rsidRPr="00C42A5A">
      <w:rPr>
        <w:rStyle w:val="Numeropagina"/>
        <w:color w:val="A5C34C"/>
      </w:rPr>
      <w:fldChar w:fldCharType="end"/>
    </w:r>
    <w:r w:rsidRPr="00C42A5A">
      <w:rPr>
        <w:rStyle w:val="Numeropagina"/>
        <w:color w:val="A5C34C"/>
      </w:rPr>
      <w:t>/</w:t>
    </w:r>
    <w:r w:rsidRPr="00C42A5A">
      <w:rPr>
        <w:rStyle w:val="Numeropagina"/>
        <w:color w:val="A5C34C"/>
      </w:rPr>
      <w:fldChar w:fldCharType="begin"/>
    </w:r>
    <w:r w:rsidRPr="00C42A5A">
      <w:rPr>
        <w:rStyle w:val="Numeropagina"/>
        <w:color w:val="A5C34C"/>
      </w:rPr>
      <w:instrText xml:space="preserve"> NUMPAGES </w:instrText>
    </w:r>
    <w:r w:rsidRPr="00C42A5A">
      <w:rPr>
        <w:rStyle w:val="Numeropagina"/>
        <w:color w:val="A5C34C"/>
      </w:rPr>
      <w:fldChar w:fldCharType="separate"/>
    </w:r>
    <w:r w:rsidRPr="00C42A5A">
      <w:rPr>
        <w:rStyle w:val="Numeropagina"/>
        <w:noProof/>
        <w:color w:val="A5C34C"/>
      </w:rPr>
      <w:t>139</w:t>
    </w:r>
    <w:r w:rsidRPr="00C42A5A">
      <w:rPr>
        <w:rStyle w:val="Numeropagina"/>
        <w:color w:val="A5C34C"/>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C42A5A" w14:paraId="1B18C8FC" w14:textId="77777777" w:rsidTr="3BCD5E71">
      <w:trPr>
        <w:trHeight w:val="300"/>
      </w:trPr>
      <w:tc>
        <w:tcPr>
          <w:tcW w:w="3020" w:type="dxa"/>
        </w:tcPr>
        <w:p w14:paraId="4E14CEAC" w14:textId="77777777" w:rsidR="00C42A5A" w:rsidRDefault="00C42A5A" w:rsidP="3BCD5E71">
          <w:pPr>
            <w:pStyle w:val="Intestazione"/>
            <w:ind w:left="-115"/>
            <w:jc w:val="left"/>
          </w:pPr>
        </w:p>
      </w:tc>
      <w:tc>
        <w:tcPr>
          <w:tcW w:w="3020" w:type="dxa"/>
        </w:tcPr>
        <w:p w14:paraId="0F497D38" w14:textId="77777777" w:rsidR="00C42A5A" w:rsidRDefault="00C42A5A" w:rsidP="3BCD5E71">
          <w:pPr>
            <w:pStyle w:val="Intestazione"/>
            <w:jc w:val="center"/>
          </w:pPr>
        </w:p>
      </w:tc>
      <w:tc>
        <w:tcPr>
          <w:tcW w:w="3020" w:type="dxa"/>
        </w:tcPr>
        <w:p w14:paraId="115593EE" w14:textId="77777777" w:rsidR="00C42A5A" w:rsidRDefault="00C42A5A" w:rsidP="3BCD5E71">
          <w:pPr>
            <w:pStyle w:val="Intestazione"/>
            <w:ind w:right="-115"/>
            <w:jc w:val="right"/>
          </w:pPr>
        </w:p>
      </w:tc>
    </w:tr>
  </w:tbl>
  <w:p w14:paraId="20E335E1" w14:textId="77777777" w:rsidR="00C42A5A" w:rsidRDefault="00C42A5A">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EDDB9" w14:textId="283E4275" w:rsidR="009B245E" w:rsidRPr="00207886" w:rsidRDefault="00C42A5A"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sidRPr="005A573D">
      <w:rPr>
        <w:rStyle w:val="Numeropagina"/>
        <w:color w:val="A5C34C"/>
      </w:rPr>
      <w:fldChar w:fldCharType="begin"/>
    </w:r>
    <w:r w:rsidRPr="005A573D">
      <w:rPr>
        <w:rStyle w:val="Numeropagina"/>
        <w:color w:val="A5C34C"/>
      </w:rPr>
      <w:instrText xml:space="preserve"> REF _Ref190356963 \h </w:instrText>
    </w:r>
    <w:r w:rsidRPr="005A573D">
      <w:rPr>
        <w:rStyle w:val="Numeropagina"/>
        <w:color w:val="A5C34C"/>
      </w:rPr>
    </w:r>
    <w:r w:rsidRPr="005A573D">
      <w:rPr>
        <w:rStyle w:val="Numeropagina"/>
        <w:color w:val="A5C34C"/>
      </w:rPr>
      <w:fldChar w:fldCharType="separate"/>
    </w:r>
    <w:r w:rsidR="00670903" w:rsidRPr="000C6009">
      <w:rPr>
        <w:rFonts w:cstheme="minorHAnsi"/>
      </w:rPr>
      <w:t>Quadro di riferimento normativo</w:t>
    </w:r>
    <w:r w:rsidRPr="005A573D">
      <w:rPr>
        <w:rStyle w:val="Numeropagina"/>
        <w:color w:val="A5C34C"/>
      </w:rPr>
      <w:fldChar w:fldCharType="end"/>
    </w:r>
    <w:r w:rsidR="009B245E">
      <w:rPr>
        <w:rStyle w:val="Numeropagina"/>
        <w:color w:val="A5C34C" w:themeColor="accent6" w:themeShade="BF"/>
      </w:rPr>
      <w:tab/>
    </w:r>
    <w:r w:rsidR="009B245E" w:rsidRPr="00207886">
      <w:rPr>
        <w:rStyle w:val="Numeropagina"/>
        <w:color w:val="A5C34C" w:themeColor="accent6" w:themeShade="BF"/>
      </w:rPr>
      <w:fldChar w:fldCharType="begin"/>
    </w:r>
    <w:r w:rsidR="009B245E" w:rsidRPr="00207886">
      <w:rPr>
        <w:rStyle w:val="Numeropagina"/>
        <w:color w:val="A5C34C" w:themeColor="accent6" w:themeShade="BF"/>
      </w:rPr>
      <w:instrText xml:space="preserve"> PAGE </w:instrText>
    </w:r>
    <w:r w:rsidR="009B245E" w:rsidRPr="00207886">
      <w:rPr>
        <w:rStyle w:val="Numeropagina"/>
        <w:color w:val="A5C34C" w:themeColor="accent6" w:themeShade="BF"/>
      </w:rPr>
      <w:fldChar w:fldCharType="separate"/>
    </w:r>
    <w:r w:rsidR="00F36CDE">
      <w:rPr>
        <w:rStyle w:val="Numeropagina"/>
        <w:noProof/>
        <w:color w:val="A5C34C" w:themeColor="accent6" w:themeShade="BF"/>
      </w:rPr>
      <w:t>137</w:t>
    </w:r>
    <w:r w:rsidR="009B245E" w:rsidRPr="00207886">
      <w:rPr>
        <w:rStyle w:val="Numeropagina"/>
        <w:color w:val="A5C34C" w:themeColor="accent6" w:themeShade="BF"/>
      </w:rPr>
      <w:fldChar w:fldCharType="end"/>
    </w:r>
    <w:r w:rsidR="009B245E" w:rsidRPr="00207886">
      <w:rPr>
        <w:rStyle w:val="Numeropagina"/>
        <w:color w:val="A5C34C" w:themeColor="accent6" w:themeShade="BF"/>
      </w:rPr>
      <w:t>/</w:t>
    </w:r>
    <w:r w:rsidR="009B245E" w:rsidRPr="00207886">
      <w:rPr>
        <w:rStyle w:val="Numeropagina"/>
        <w:color w:val="A5C34C" w:themeColor="accent6" w:themeShade="BF"/>
      </w:rPr>
      <w:fldChar w:fldCharType="begin"/>
    </w:r>
    <w:r w:rsidR="009B245E" w:rsidRPr="00207886">
      <w:rPr>
        <w:rStyle w:val="Numeropagina"/>
        <w:color w:val="A5C34C" w:themeColor="accent6" w:themeShade="BF"/>
      </w:rPr>
      <w:instrText xml:space="preserve"> NUMPAGES </w:instrText>
    </w:r>
    <w:r w:rsidR="009B245E" w:rsidRPr="00207886">
      <w:rPr>
        <w:rStyle w:val="Numeropagina"/>
        <w:color w:val="A5C34C" w:themeColor="accent6" w:themeShade="BF"/>
      </w:rPr>
      <w:fldChar w:fldCharType="separate"/>
    </w:r>
    <w:r w:rsidR="00F36CDE">
      <w:rPr>
        <w:rStyle w:val="Numeropagina"/>
        <w:noProof/>
        <w:color w:val="A5C34C" w:themeColor="accent6" w:themeShade="BF"/>
      </w:rPr>
      <w:t>139</w:t>
    </w:r>
    <w:r w:rsidR="009B245E" w:rsidRPr="00207886">
      <w:rPr>
        <w:rStyle w:val="Numeropagina"/>
        <w:color w:val="A5C34C" w:themeColor="accent6" w:themeShade="BF"/>
      </w:rPr>
      <w:fldChar w:fldCharType="end"/>
    </w:r>
  </w:p>
  <w:p w14:paraId="669CE124" w14:textId="77777777" w:rsidR="009B245E" w:rsidRPr="00B42ECA" w:rsidRDefault="009B245E" w:rsidP="00B42ECA">
    <w:pPr>
      <w:pStyle w:val="Pidipa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275C" w14:textId="32D63E71" w:rsidR="003B7E88" w:rsidRPr="004E445F" w:rsidRDefault="003B7E88" w:rsidP="004A678F">
    <w:pPr>
      <w:pStyle w:val="Testonotaapidipagina"/>
      <w:pBdr>
        <w:top w:val="single" w:sz="4" w:space="1" w:color="A5C34C" w:themeColor="accent6" w:themeShade="BF"/>
      </w:pBdr>
      <w:tabs>
        <w:tab w:val="left" w:pos="2132"/>
        <w:tab w:val="right" w:pos="9072"/>
      </w:tabs>
      <w:jc w:val="left"/>
      <w:rPr>
        <w:color w:val="A5C34C"/>
      </w:rPr>
    </w:pPr>
    <w:r w:rsidRPr="004E445F">
      <w:rPr>
        <w:rStyle w:val="Numeropagina"/>
        <w:color w:val="A5C34C"/>
      </w:rPr>
      <w:fldChar w:fldCharType="begin"/>
    </w:r>
    <w:r w:rsidRPr="004E445F">
      <w:rPr>
        <w:rStyle w:val="Numeropagina"/>
        <w:color w:val="A5C34C"/>
      </w:rPr>
      <w:instrText xml:space="preserve"> REF _Ref205195905 \h </w:instrText>
    </w:r>
    <w:r w:rsidRPr="004E445F">
      <w:rPr>
        <w:rStyle w:val="Numeropagina"/>
        <w:color w:val="A5C34C"/>
      </w:rPr>
    </w:r>
    <w:r w:rsidRPr="004E445F">
      <w:rPr>
        <w:rStyle w:val="Numeropagina"/>
        <w:color w:val="A5C34C"/>
      </w:rPr>
      <w:fldChar w:fldCharType="separate"/>
    </w:r>
    <w:r w:rsidR="00670903" w:rsidRPr="000C6009">
      <w:rPr>
        <w:rFonts w:cstheme="minorHAnsi"/>
      </w:rPr>
      <w:t>Quadro di riferimento attuale degli affidamenti del Bacino Sud Est</w:t>
    </w:r>
    <w:r w:rsidRPr="004E445F">
      <w:rPr>
        <w:rStyle w:val="Numeropagina"/>
        <w:color w:val="A5C34C"/>
      </w:rPr>
      <w:fldChar w:fldCharType="end"/>
    </w:r>
    <w:r w:rsidRPr="004E445F">
      <w:rPr>
        <w:rStyle w:val="Numeropagina"/>
        <w:color w:val="A5C34C"/>
      </w:rPr>
      <w:tab/>
    </w:r>
    <w:r w:rsidRPr="004E445F">
      <w:rPr>
        <w:rStyle w:val="Numeropagina"/>
        <w:color w:val="A5C34C"/>
      </w:rPr>
      <w:fldChar w:fldCharType="begin"/>
    </w:r>
    <w:r w:rsidRPr="004E445F">
      <w:rPr>
        <w:rStyle w:val="Numeropagina"/>
        <w:color w:val="A5C34C"/>
      </w:rPr>
      <w:instrText xml:space="preserve"> PAGE </w:instrText>
    </w:r>
    <w:r w:rsidRPr="004E445F">
      <w:rPr>
        <w:rStyle w:val="Numeropagina"/>
        <w:color w:val="A5C34C"/>
      </w:rPr>
      <w:fldChar w:fldCharType="separate"/>
    </w:r>
    <w:r w:rsidRPr="004E445F">
      <w:rPr>
        <w:rStyle w:val="Numeropagina"/>
        <w:noProof/>
        <w:color w:val="A5C34C"/>
      </w:rPr>
      <w:t>137</w:t>
    </w:r>
    <w:r w:rsidRPr="004E445F">
      <w:rPr>
        <w:rStyle w:val="Numeropagina"/>
        <w:color w:val="A5C34C"/>
      </w:rPr>
      <w:fldChar w:fldCharType="end"/>
    </w:r>
    <w:r w:rsidRPr="004E445F">
      <w:rPr>
        <w:rStyle w:val="Numeropagina"/>
        <w:color w:val="A5C34C"/>
      </w:rPr>
      <w:t>/</w:t>
    </w:r>
    <w:r w:rsidRPr="004E445F">
      <w:rPr>
        <w:rStyle w:val="Numeropagina"/>
        <w:color w:val="A5C34C"/>
      </w:rPr>
      <w:fldChar w:fldCharType="begin"/>
    </w:r>
    <w:r w:rsidRPr="004E445F">
      <w:rPr>
        <w:rStyle w:val="Numeropagina"/>
        <w:color w:val="A5C34C"/>
      </w:rPr>
      <w:instrText xml:space="preserve"> NUMPAGES </w:instrText>
    </w:r>
    <w:r w:rsidRPr="004E445F">
      <w:rPr>
        <w:rStyle w:val="Numeropagina"/>
        <w:color w:val="A5C34C"/>
      </w:rPr>
      <w:fldChar w:fldCharType="separate"/>
    </w:r>
    <w:r w:rsidRPr="004E445F">
      <w:rPr>
        <w:rStyle w:val="Numeropagina"/>
        <w:noProof/>
        <w:color w:val="A5C34C"/>
      </w:rPr>
      <w:t>139</w:t>
    </w:r>
    <w:r w:rsidRPr="004E445F">
      <w:rPr>
        <w:rStyle w:val="Numeropagina"/>
        <w:color w:val="A5C34C"/>
      </w:rPr>
      <w:fldChar w:fldCharType="end"/>
    </w:r>
  </w:p>
  <w:p w14:paraId="6C24CA5D" w14:textId="77777777" w:rsidR="003B7E88" w:rsidRPr="00B42ECA" w:rsidRDefault="003B7E88" w:rsidP="00B42ECA">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DD7A6" w14:textId="0850EFFA" w:rsidR="006C5FFC" w:rsidRPr="00207886" w:rsidRDefault="008C373F"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Analisi della domanda effettiva, potenziale e debole</w:t>
    </w:r>
    <w:r w:rsidR="00335312">
      <w:rPr>
        <w:rStyle w:val="Numeropagina"/>
        <w:color w:val="A5C34C" w:themeColor="accent6" w:themeShade="BF"/>
      </w:rPr>
      <w:t xml:space="preserve"> del Bacino Sud Est</w:t>
    </w:r>
    <w:r w:rsidR="006C5FFC">
      <w:rPr>
        <w:rStyle w:val="Numeropagina"/>
        <w:color w:val="A5C34C" w:themeColor="accent6" w:themeShade="BF"/>
      </w:rPr>
      <w:tab/>
    </w:r>
    <w:r w:rsidR="006C5FFC" w:rsidRPr="00207886">
      <w:rPr>
        <w:rStyle w:val="Numeropagina"/>
        <w:color w:val="A5C34C" w:themeColor="accent6" w:themeShade="BF"/>
      </w:rPr>
      <w:fldChar w:fldCharType="begin"/>
    </w:r>
    <w:r w:rsidR="006C5FFC" w:rsidRPr="00207886">
      <w:rPr>
        <w:rStyle w:val="Numeropagina"/>
        <w:color w:val="A5C34C" w:themeColor="accent6" w:themeShade="BF"/>
      </w:rPr>
      <w:instrText xml:space="preserve"> PAGE </w:instrText>
    </w:r>
    <w:r w:rsidR="006C5FFC" w:rsidRPr="00207886">
      <w:rPr>
        <w:rStyle w:val="Numeropagina"/>
        <w:color w:val="A5C34C" w:themeColor="accent6" w:themeShade="BF"/>
      </w:rPr>
      <w:fldChar w:fldCharType="separate"/>
    </w:r>
    <w:r w:rsidR="006C5FFC">
      <w:rPr>
        <w:rStyle w:val="Numeropagina"/>
        <w:noProof/>
        <w:color w:val="A5C34C" w:themeColor="accent6" w:themeShade="BF"/>
      </w:rPr>
      <w:t>137</w:t>
    </w:r>
    <w:r w:rsidR="006C5FFC" w:rsidRPr="00207886">
      <w:rPr>
        <w:rStyle w:val="Numeropagina"/>
        <w:color w:val="A5C34C" w:themeColor="accent6" w:themeShade="BF"/>
      </w:rPr>
      <w:fldChar w:fldCharType="end"/>
    </w:r>
    <w:r w:rsidR="006C5FFC" w:rsidRPr="00207886">
      <w:rPr>
        <w:rStyle w:val="Numeropagina"/>
        <w:color w:val="A5C34C" w:themeColor="accent6" w:themeShade="BF"/>
      </w:rPr>
      <w:t>/</w:t>
    </w:r>
    <w:r w:rsidR="006C5FFC" w:rsidRPr="00207886">
      <w:rPr>
        <w:rStyle w:val="Numeropagina"/>
        <w:color w:val="A5C34C" w:themeColor="accent6" w:themeShade="BF"/>
      </w:rPr>
      <w:fldChar w:fldCharType="begin"/>
    </w:r>
    <w:r w:rsidR="006C5FFC" w:rsidRPr="00207886">
      <w:rPr>
        <w:rStyle w:val="Numeropagina"/>
        <w:color w:val="A5C34C" w:themeColor="accent6" w:themeShade="BF"/>
      </w:rPr>
      <w:instrText xml:space="preserve"> NUMPAGES </w:instrText>
    </w:r>
    <w:r w:rsidR="006C5FFC" w:rsidRPr="00207886">
      <w:rPr>
        <w:rStyle w:val="Numeropagina"/>
        <w:color w:val="A5C34C" w:themeColor="accent6" w:themeShade="BF"/>
      </w:rPr>
      <w:fldChar w:fldCharType="separate"/>
    </w:r>
    <w:r w:rsidR="006C5FFC">
      <w:rPr>
        <w:rStyle w:val="Numeropagina"/>
        <w:noProof/>
        <w:color w:val="A5C34C" w:themeColor="accent6" w:themeShade="BF"/>
      </w:rPr>
      <w:t>139</w:t>
    </w:r>
    <w:r w:rsidR="006C5FFC" w:rsidRPr="00207886">
      <w:rPr>
        <w:rStyle w:val="Numeropagina"/>
        <w:color w:val="A5C34C" w:themeColor="accent6" w:themeShade="BF"/>
      </w:rPr>
      <w:fldChar w:fldCharType="end"/>
    </w:r>
  </w:p>
  <w:p w14:paraId="3E46F5AA" w14:textId="77777777" w:rsidR="006C5FFC" w:rsidRPr="00B42ECA" w:rsidRDefault="006C5FFC" w:rsidP="00B42ECA">
    <w:pPr>
      <w:pStyle w:val="Pidipa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AA4DD" w14:textId="64B605DB" w:rsidR="00335312" w:rsidRPr="00207886" w:rsidRDefault="00A32B63"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Analisi offerta di trasporto del Bacino Sud est</w:t>
    </w:r>
    <w:r w:rsidR="00335312">
      <w:rPr>
        <w:rStyle w:val="Numeropagina"/>
        <w:color w:val="A5C34C" w:themeColor="accent6" w:themeShade="BF"/>
      </w:rPr>
      <w:tab/>
    </w:r>
    <w:r w:rsidR="00335312" w:rsidRPr="00207886">
      <w:rPr>
        <w:rStyle w:val="Numeropagina"/>
        <w:color w:val="A5C34C" w:themeColor="accent6" w:themeShade="BF"/>
      </w:rPr>
      <w:fldChar w:fldCharType="begin"/>
    </w:r>
    <w:r w:rsidR="00335312" w:rsidRPr="00207886">
      <w:rPr>
        <w:rStyle w:val="Numeropagina"/>
        <w:color w:val="A5C34C" w:themeColor="accent6" w:themeShade="BF"/>
      </w:rPr>
      <w:instrText xml:space="preserve"> PAGE </w:instrText>
    </w:r>
    <w:r w:rsidR="00335312" w:rsidRPr="00207886">
      <w:rPr>
        <w:rStyle w:val="Numeropagina"/>
        <w:color w:val="A5C34C" w:themeColor="accent6" w:themeShade="BF"/>
      </w:rPr>
      <w:fldChar w:fldCharType="separate"/>
    </w:r>
    <w:r w:rsidR="00335312">
      <w:rPr>
        <w:rStyle w:val="Numeropagina"/>
        <w:noProof/>
        <w:color w:val="A5C34C" w:themeColor="accent6" w:themeShade="BF"/>
      </w:rPr>
      <w:t>137</w:t>
    </w:r>
    <w:r w:rsidR="00335312" w:rsidRPr="00207886">
      <w:rPr>
        <w:rStyle w:val="Numeropagina"/>
        <w:color w:val="A5C34C" w:themeColor="accent6" w:themeShade="BF"/>
      </w:rPr>
      <w:fldChar w:fldCharType="end"/>
    </w:r>
    <w:r w:rsidR="00335312" w:rsidRPr="00207886">
      <w:rPr>
        <w:rStyle w:val="Numeropagina"/>
        <w:color w:val="A5C34C" w:themeColor="accent6" w:themeShade="BF"/>
      </w:rPr>
      <w:t>/</w:t>
    </w:r>
    <w:r w:rsidR="00335312" w:rsidRPr="00207886">
      <w:rPr>
        <w:rStyle w:val="Numeropagina"/>
        <w:color w:val="A5C34C" w:themeColor="accent6" w:themeShade="BF"/>
      </w:rPr>
      <w:fldChar w:fldCharType="begin"/>
    </w:r>
    <w:r w:rsidR="00335312" w:rsidRPr="00207886">
      <w:rPr>
        <w:rStyle w:val="Numeropagina"/>
        <w:color w:val="A5C34C" w:themeColor="accent6" w:themeShade="BF"/>
      </w:rPr>
      <w:instrText xml:space="preserve"> NUMPAGES </w:instrText>
    </w:r>
    <w:r w:rsidR="00335312" w:rsidRPr="00207886">
      <w:rPr>
        <w:rStyle w:val="Numeropagina"/>
        <w:color w:val="A5C34C" w:themeColor="accent6" w:themeShade="BF"/>
      </w:rPr>
      <w:fldChar w:fldCharType="separate"/>
    </w:r>
    <w:r w:rsidR="00335312">
      <w:rPr>
        <w:rStyle w:val="Numeropagina"/>
        <w:noProof/>
        <w:color w:val="A5C34C" w:themeColor="accent6" w:themeShade="BF"/>
      </w:rPr>
      <w:t>139</w:t>
    </w:r>
    <w:r w:rsidR="00335312" w:rsidRPr="00207886">
      <w:rPr>
        <w:rStyle w:val="Numeropagina"/>
        <w:color w:val="A5C34C" w:themeColor="accent6" w:themeShade="BF"/>
      </w:rPr>
      <w:fldChar w:fldCharType="end"/>
    </w:r>
  </w:p>
  <w:p w14:paraId="25C3A66D" w14:textId="77777777" w:rsidR="00335312" w:rsidRPr="00B42ECA" w:rsidRDefault="00335312" w:rsidP="00B42ECA">
    <w:pPr>
      <w:pStyle w:val="Pidipa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54354" w14:textId="77777777" w:rsidR="00A32B63" w:rsidRPr="00207886" w:rsidRDefault="00A32B63"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Determinazione degli OSP e criteri di copertura finanziaria</w:t>
    </w:r>
    <w:r>
      <w:rPr>
        <w:rStyle w:val="Numeropagina"/>
        <w:color w:val="A5C34C" w:themeColor="accent6" w:themeShade="BF"/>
      </w:rPr>
      <w:tab/>
    </w:r>
    <w:r w:rsidRPr="00207886">
      <w:rPr>
        <w:rStyle w:val="Numeropagina"/>
        <w:color w:val="A5C34C" w:themeColor="accent6" w:themeShade="BF"/>
      </w:rPr>
      <w:fldChar w:fldCharType="begin"/>
    </w:r>
    <w:r w:rsidRPr="00207886">
      <w:rPr>
        <w:rStyle w:val="Numeropagina"/>
        <w:color w:val="A5C34C" w:themeColor="accent6" w:themeShade="BF"/>
      </w:rPr>
      <w:instrText xml:space="preserve"> PAGE </w:instrText>
    </w:r>
    <w:r w:rsidRPr="00207886">
      <w:rPr>
        <w:rStyle w:val="Numeropagina"/>
        <w:color w:val="A5C34C" w:themeColor="accent6" w:themeShade="BF"/>
      </w:rPr>
      <w:fldChar w:fldCharType="separate"/>
    </w:r>
    <w:r>
      <w:rPr>
        <w:rStyle w:val="Numeropagina"/>
        <w:noProof/>
        <w:color w:val="A5C34C" w:themeColor="accent6" w:themeShade="BF"/>
      </w:rPr>
      <w:t>137</w:t>
    </w:r>
    <w:r w:rsidRPr="00207886">
      <w:rPr>
        <w:rStyle w:val="Numeropagina"/>
        <w:color w:val="A5C34C" w:themeColor="accent6" w:themeShade="BF"/>
      </w:rPr>
      <w:fldChar w:fldCharType="end"/>
    </w:r>
    <w:r w:rsidRPr="00207886">
      <w:rPr>
        <w:rStyle w:val="Numeropagina"/>
        <w:color w:val="A5C34C" w:themeColor="accent6" w:themeShade="BF"/>
      </w:rPr>
      <w:t>/</w:t>
    </w:r>
    <w:r w:rsidRPr="00207886">
      <w:rPr>
        <w:rStyle w:val="Numeropagina"/>
        <w:color w:val="A5C34C" w:themeColor="accent6" w:themeShade="BF"/>
      </w:rPr>
      <w:fldChar w:fldCharType="begin"/>
    </w:r>
    <w:r w:rsidRPr="00207886">
      <w:rPr>
        <w:rStyle w:val="Numeropagina"/>
        <w:color w:val="A5C34C" w:themeColor="accent6" w:themeShade="BF"/>
      </w:rPr>
      <w:instrText xml:space="preserve"> NUMPAGES </w:instrText>
    </w:r>
    <w:r w:rsidRPr="00207886">
      <w:rPr>
        <w:rStyle w:val="Numeropagina"/>
        <w:color w:val="A5C34C" w:themeColor="accent6" w:themeShade="BF"/>
      </w:rPr>
      <w:fldChar w:fldCharType="separate"/>
    </w:r>
    <w:r>
      <w:rPr>
        <w:rStyle w:val="Numeropagina"/>
        <w:noProof/>
        <w:color w:val="A5C34C" w:themeColor="accent6" w:themeShade="BF"/>
      </w:rPr>
      <w:t>139</w:t>
    </w:r>
    <w:r w:rsidRPr="00207886">
      <w:rPr>
        <w:rStyle w:val="Numeropagina"/>
        <w:color w:val="A5C34C" w:themeColor="accent6" w:themeShade="BF"/>
      </w:rPr>
      <w:fldChar w:fldCharType="end"/>
    </w:r>
  </w:p>
  <w:p w14:paraId="47E4DDFC" w14:textId="77777777" w:rsidR="00A32B63" w:rsidRPr="00B42ECA" w:rsidRDefault="00A32B63" w:rsidP="00B42ECA">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60D51" w14:textId="06BCAF86" w:rsidR="00C2569D" w:rsidRPr="00207886" w:rsidRDefault="00C2569D"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Determinazione e modalità di aggiornamento delle tariffe</w:t>
    </w:r>
    <w:r>
      <w:rPr>
        <w:rStyle w:val="Numeropagina"/>
        <w:color w:val="A5C34C" w:themeColor="accent6" w:themeShade="BF"/>
      </w:rPr>
      <w:tab/>
    </w:r>
    <w:r w:rsidRPr="00207886">
      <w:rPr>
        <w:rStyle w:val="Numeropagina"/>
        <w:color w:val="A5C34C" w:themeColor="accent6" w:themeShade="BF"/>
      </w:rPr>
      <w:fldChar w:fldCharType="begin"/>
    </w:r>
    <w:r w:rsidRPr="00207886">
      <w:rPr>
        <w:rStyle w:val="Numeropagina"/>
        <w:color w:val="A5C34C" w:themeColor="accent6" w:themeShade="BF"/>
      </w:rPr>
      <w:instrText xml:space="preserve"> PAGE </w:instrText>
    </w:r>
    <w:r w:rsidRPr="00207886">
      <w:rPr>
        <w:rStyle w:val="Numeropagina"/>
        <w:color w:val="A5C34C" w:themeColor="accent6" w:themeShade="BF"/>
      </w:rPr>
      <w:fldChar w:fldCharType="separate"/>
    </w:r>
    <w:r>
      <w:rPr>
        <w:rStyle w:val="Numeropagina"/>
        <w:noProof/>
        <w:color w:val="A5C34C" w:themeColor="accent6" w:themeShade="BF"/>
      </w:rPr>
      <w:t>137</w:t>
    </w:r>
    <w:r w:rsidRPr="00207886">
      <w:rPr>
        <w:rStyle w:val="Numeropagina"/>
        <w:color w:val="A5C34C" w:themeColor="accent6" w:themeShade="BF"/>
      </w:rPr>
      <w:fldChar w:fldCharType="end"/>
    </w:r>
    <w:r w:rsidRPr="00207886">
      <w:rPr>
        <w:rStyle w:val="Numeropagina"/>
        <w:color w:val="A5C34C" w:themeColor="accent6" w:themeShade="BF"/>
      </w:rPr>
      <w:t>/</w:t>
    </w:r>
    <w:r w:rsidRPr="00207886">
      <w:rPr>
        <w:rStyle w:val="Numeropagina"/>
        <w:color w:val="A5C34C" w:themeColor="accent6" w:themeShade="BF"/>
      </w:rPr>
      <w:fldChar w:fldCharType="begin"/>
    </w:r>
    <w:r w:rsidRPr="00207886">
      <w:rPr>
        <w:rStyle w:val="Numeropagina"/>
        <w:color w:val="A5C34C" w:themeColor="accent6" w:themeShade="BF"/>
      </w:rPr>
      <w:instrText xml:space="preserve"> NUMPAGES </w:instrText>
    </w:r>
    <w:r w:rsidRPr="00207886">
      <w:rPr>
        <w:rStyle w:val="Numeropagina"/>
        <w:color w:val="A5C34C" w:themeColor="accent6" w:themeShade="BF"/>
      </w:rPr>
      <w:fldChar w:fldCharType="separate"/>
    </w:r>
    <w:r>
      <w:rPr>
        <w:rStyle w:val="Numeropagina"/>
        <w:noProof/>
        <w:color w:val="A5C34C" w:themeColor="accent6" w:themeShade="BF"/>
      </w:rPr>
      <w:t>139</w:t>
    </w:r>
    <w:r w:rsidRPr="00207886">
      <w:rPr>
        <w:rStyle w:val="Numeropagina"/>
        <w:color w:val="A5C34C" w:themeColor="accent6" w:themeShade="BF"/>
      </w:rPr>
      <w:fldChar w:fldCharType="end"/>
    </w:r>
  </w:p>
  <w:p w14:paraId="0379E4E0" w14:textId="77777777" w:rsidR="00C2569D" w:rsidRPr="00B42ECA" w:rsidRDefault="00C2569D" w:rsidP="00B42ECA">
    <w:pPr>
      <w:pStyle w:val="Pidipa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9389D" w14:textId="43E43189" w:rsidR="009B245E" w:rsidRPr="00207886" w:rsidRDefault="00825B1C"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Identificazione dei lotti</w:t>
    </w:r>
    <w:r>
      <w:rPr>
        <w:rStyle w:val="Numeropagina"/>
        <w:color w:val="A5C34C" w:themeColor="accent6" w:themeShade="BF"/>
      </w:rPr>
      <w:tab/>
    </w:r>
    <w:r w:rsidR="009B245E">
      <w:rPr>
        <w:rStyle w:val="Numeropagina"/>
        <w:color w:val="A5C34C" w:themeColor="accent6" w:themeShade="BF"/>
      </w:rPr>
      <w:tab/>
    </w:r>
    <w:r w:rsidR="009B245E" w:rsidRPr="00207886">
      <w:rPr>
        <w:rStyle w:val="Numeropagina"/>
        <w:color w:val="A5C34C" w:themeColor="accent6" w:themeShade="BF"/>
      </w:rPr>
      <w:fldChar w:fldCharType="begin"/>
    </w:r>
    <w:r w:rsidR="009B245E" w:rsidRPr="00207886">
      <w:rPr>
        <w:rStyle w:val="Numeropagina"/>
        <w:color w:val="A5C34C" w:themeColor="accent6" w:themeShade="BF"/>
      </w:rPr>
      <w:instrText xml:space="preserve"> PAGE </w:instrText>
    </w:r>
    <w:r w:rsidR="009B245E" w:rsidRPr="00207886">
      <w:rPr>
        <w:rStyle w:val="Numeropagina"/>
        <w:color w:val="A5C34C" w:themeColor="accent6" w:themeShade="BF"/>
      </w:rPr>
      <w:fldChar w:fldCharType="separate"/>
    </w:r>
    <w:r w:rsidR="00F36CDE">
      <w:rPr>
        <w:rStyle w:val="Numeropagina"/>
        <w:noProof/>
        <w:color w:val="A5C34C" w:themeColor="accent6" w:themeShade="BF"/>
      </w:rPr>
      <w:t>137</w:t>
    </w:r>
    <w:r w:rsidR="009B245E" w:rsidRPr="00207886">
      <w:rPr>
        <w:rStyle w:val="Numeropagina"/>
        <w:color w:val="A5C34C" w:themeColor="accent6" w:themeShade="BF"/>
      </w:rPr>
      <w:fldChar w:fldCharType="end"/>
    </w:r>
    <w:r w:rsidR="009B245E" w:rsidRPr="00207886">
      <w:rPr>
        <w:rStyle w:val="Numeropagina"/>
        <w:color w:val="A5C34C" w:themeColor="accent6" w:themeShade="BF"/>
      </w:rPr>
      <w:t>/</w:t>
    </w:r>
    <w:r w:rsidR="009B245E" w:rsidRPr="00207886">
      <w:rPr>
        <w:rStyle w:val="Numeropagina"/>
        <w:color w:val="A5C34C" w:themeColor="accent6" w:themeShade="BF"/>
      </w:rPr>
      <w:fldChar w:fldCharType="begin"/>
    </w:r>
    <w:r w:rsidR="009B245E" w:rsidRPr="00207886">
      <w:rPr>
        <w:rStyle w:val="Numeropagina"/>
        <w:color w:val="A5C34C" w:themeColor="accent6" w:themeShade="BF"/>
      </w:rPr>
      <w:instrText xml:space="preserve"> NUMPAGES </w:instrText>
    </w:r>
    <w:r w:rsidR="009B245E" w:rsidRPr="00207886">
      <w:rPr>
        <w:rStyle w:val="Numeropagina"/>
        <w:color w:val="A5C34C" w:themeColor="accent6" w:themeShade="BF"/>
      </w:rPr>
      <w:fldChar w:fldCharType="separate"/>
    </w:r>
    <w:r w:rsidR="00F36CDE">
      <w:rPr>
        <w:rStyle w:val="Numeropagina"/>
        <w:noProof/>
        <w:color w:val="A5C34C" w:themeColor="accent6" w:themeShade="BF"/>
      </w:rPr>
      <w:t>139</w:t>
    </w:r>
    <w:r w:rsidR="009B245E" w:rsidRPr="00207886">
      <w:rPr>
        <w:rStyle w:val="Numeropagina"/>
        <w:color w:val="A5C34C" w:themeColor="accent6" w:themeShade="BF"/>
      </w:rPr>
      <w:fldChar w:fldCharType="end"/>
    </w:r>
  </w:p>
  <w:p w14:paraId="2E7DE5D5" w14:textId="77777777" w:rsidR="009B245E" w:rsidRPr="00B42ECA" w:rsidRDefault="009B245E" w:rsidP="00B42ECA">
    <w:pPr>
      <w:pStyle w:val="Pidipagin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C8DB4" w14:textId="21D0EC39" w:rsidR="00825B1C" w:rsidRPr="00207886" w:rsidRDefault="00825B1C" w:rsidP="004A678F">
    <w:pPr>
      <w:pStyle w:val="Testonotaapidipagina"/>
      <w:pBdr>
        <w:top w:val="single" w:sz="4" w:space="1" w:color="A5C34C" w:themeColor="accent6" w:themeShade="BF"/>
      </w:pBdr>
      <w:tabs>
        <w:tab w:val="left" w:pos="2132"/>
        <w:tab w:val="right" w:pos="9072"/>
      </w:tabs>
      <w:jc w:val="left"/>
      <w:rPr>
        <w:color w:val="A5C34C" w:themeColor="accent6" w:themeShade="BF"/>
      </w:rPr>
    </w:pPr>
    <w:r>
      <w:rPr>
        <w:rStyle w:val="Numeropagina"/>
        <w:color w:val="A5C34C" w:themeColor="accent6" w:themeShade="BF"/>
      </w:rPr>
      <w:t>Conclusioni</w:t>
    </w:r>
    <w:r>
      <w:rPr>
        <w:rStyle w:val="Numeropagina"/>
        <w:color w:val="A5C34C" w:themeColor="accent6" w:themeShade="BF"/>
      </w:rPr>
      <w:tab/>
    </w:r>
    <w:r>
      <w:rPr>
        <w:rStyle w:val="Numeropagina"/>
        <w:color w:val="A5C34C" w:themeColor="accent6" w:themeShade="BF"/>
      </w:rPr>
      <w:tab/>
    </w:r>
    <w:r w:rsidRPr="00207886">
      <w:rPr>
        <w:rStyle w:val="Numeropagina"/>
        <w:color w:val="A5C34C" w:themeColor="accent6" w:themeShade="BF"/>
      </w:rPr>
      <w:fldChar w:fldCharType="begin"/>
    </w:r>
    <w:r w:rsidRPr="00207886">
      <w:rPr>
        <w:rStyle w:val="Numeropagina"/>
        <w:color w:val="A5C34C" w:themeColor="accent6" w:themeShade="BF"/>
      </w:rPr>
      <w:instrText xml:space="preserve"> PAGE </w:instrText>
    </w:r>
    <w:r w:rsidRPr="00207886">
      <w:rPr>
        <w:rStyle w:val="Numeropagina"/>
        <w:color w:val="A5C34C" w:themeColor="accent6" w:themeShade="BF"/>
      </w:rPr>
      <w:fldChar w:fldCharType="separate"/>
    </w:r>
    <w:r>
      <w:rPr>
        <w:rStyle w:val="Numeropagina"/>
        <w:noProof/>
        <w:color w:val="A5C34C" w:themeColor="accent6" w:themeShade="BF"/>
      </w:rPr>
      <w:t>137</w:t>
    </w:r>
    <w:r w:rsidRPr="00207886">
      <w:rPr>
        <w:rStyle w:val="Numeropagina"/>
        <w:color w:val="A5C34C" w:themeColor="accent6" w:themeShade="BF"/>
      </w:rPr>
      <w:fldChar w:fldCharType="end"/>
    </w:r>
    <w:r w:rsidRPr="00207886">
      <w:rPr>
        <w:rStyle w:val="Numeropagina"/>
        <w:color w:val="A5C34C" w:themeColor="accent6" w:themeShade="BF"/>
      </w:rPr>
      <w:t>/</w:t>
    </w:r>
    <w:r w:rsidRPr="00207886">
      <w:rPr>
        <w:rStyle w:val="Numeropagina"/>
        <w:color w:val="A5C34C" w:themeColor="accent6" w:themeShade="BF"/>
      </w:rPr>
      <w:fldChar w:fldCharType="begin"/>
    </w:r>
    <w:r w:rsidRPr="00207886">
      <w:rPr>
        <w:rStyle w:val="Numeropagina"/>
        <w:color w:val="A5C34C" w:themeColor="accent6" w:themeShade="BF"/>
      </w:rPr>
      <w:instrText xml:space="preserve"> NUMPAGES </w:instrText>
    </w:r>
    <w:r w:rsidRPr="00207886">
      <w:rPr>
        <w:rStyle w:val="Numeropagina"/>
        <w:color w:val="A5C34C" w:themeColor="accent6" w:themeShade="BF"/>
      </w:rPr>
      <w:fldChar w:fldCharType="separate"/>
    </w:r>
    <w:r>
      <w:rPr>
        <w:rStyle w:val="Numeropagina"/>
        <w:noProof/>
        <w:color w:val="A5C34C" w:themeColor="accent6" w:themeShade="BF"/>
      </w:rPr>
      <w:t>139</w:t>
    </w:r>
    <w:r w:rsidRPr="00207886">
      <w:rPr>
        <w:rStyle w:val="Numeropagina"/>
        <w:color w:val="A5C34C" w:themeColor="accent6" w:themeShade="BF"/>
      </w:rPr>
      <w:fldChar w:fldCharType="end"/>
    </w:r>
  </w:p>
  <w:p w14:paraId="5D1522C8" w14:textId="77777777" w:rsidR="00825B1C" w:rsidRPr="00B42ECA" w:rsidRDefault="00825B1C" w:rsidP="00B42ECA">
    <w:pPr>
      <w:pStyle w:val="Pidipagina"/>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B6877" w14:textId="1CE8359F" w:rsidR="00691FEF" w:rsidRPr="00207886" w:rsidRDefault="00691FEF" w:rsidP="00691FEF">
    <w:pPr>
      <w:pStyle w:val="Testonotaapidipagina"/>
      <w:tabs>
        <w:tab w:val="left" w:pos="2132"/>
        <w:tab w:val="right" w:pos="9072"/>
      </w:tabs>
      <w:jc w:val="left"/>
      <w:rPr>
        <w:color w:val="A5C34C" w:themeColor="accent6" w:themeShade="BF"/>
      </w:rPr>
    </w:pPr>
  </w:p>
  <w:p w14:paraId="2F635A39" w14:textId="77777777" w:rsidR="00691FEF" w:rsidRPr="00B42ECA" w:rsidRDefault="00691FEF" w:rsidP="00B42EC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3498FA" w14:textId="77777777" w:rsidR="00E855D4" w:rsidRPr="00207886" w:rsidRDefault="00E855D4">
      <w:r w:rsidRPr="00207886">
        <w:separator/>
      </w:r>
    </w:p>
  </w:footnote>
  <w:footnote w:type="continuationSeparator" w:id="0">
    <w:p w14:paraId="4C6B181E" w14:textId="77777777" w:rsidR="00E855D4" w:rsidRPr="00207886" w:rsidRDefault="00E855D4">
      <w:r w:rsidRPr="00207886">
        <w:continuationSeparator/>
      </w:r>
    </w:p>
  </w:footnote>
  <w:footnote w:type="continuationNotice" w:id="1">
    <w:p w14:paraId="7D0ECBEC" w14:textId="77777777" w:rsidR="00E855D4" w:rsidRDefault="00E855D4">
      <w:pPr>
        <w:spacing w:after="0" w:line="240" w:lineRule="auto"/>
      </w:pPr>
    </w:p>
  </w:footnote>
  <w:footnote w:id="2">
    <w:p w14:paraId="1BBD170E" w14:textId="77777777" w:rsidR="00C42A5A" w:rsidRPr="00207886" w:rsidRDefault="00C42A5A" w:rsidP="00C42A5A">
      <w:pPr>
        <w:pStyle w:val="Testonotaapidipagina"/>
        <w:spacing w:before="120" w:after="0" w:line="240" w:lineRule="auto"/>
      </w:pPr>
      <w:r w:rsidRPr="00207886">
        <w:rPr>
          <w:rStyle w:val="Rimandonotaapidipagina"/>
        </w:rPr>
        <w:footnoteRef/>
      </w:r>
      <w:r w:rsidRPr="00207886">
        <w:t xml:space="preserve"> I testi delle pre-informative sono consultabili anche sul sito istituzionale dell’Agenzia al seguente link: </w:t>
      </w:r>
      <w:hyperlink r:id="rId1" w:history="1">
        <w:r w:rsidRPr="00207886">
          <w:rPr>
            <w:rStyle w:val="Collegamentoipertestuale"/>
          </w:rPr>
          <w:t>https://mtm.torino.it/it/aggiornamento-avvisi-pre-informazione-delle-procedure-di-affidamento-delle-concessioni-dei-servizi-di-tpl/</w:t>
        </w:r>
      </w:hyperlink>
      <w:r w:rsidRPr="00207886">
        <w:t xml:space="preserve"> </w:t>
      </w:r>
    </w:p>
  </w:footnote>
  <w:footnote w:id="3">
    <w:p w14:paraId="7260373E" w14:textId="77777777" w:rsidR="00C42A5A" w:rsidRPr="00825AED" w:rsidRDefault="00C42A5A" w:rsidP="00C42A5A">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Il comune di Mappano è stato istituito nel 2013 come aggregazione di ambiti territoriali dei comuni di Borgaro Torinese, Caselle torinese, Leinì e Settimo Torinese già consorziati di AMP.</w:t>
      </w:r>
    </w:p>
  </w:footnote>
  <w:footnote w:id="4">
    <w:p w14:paraId="70342EB8" w14:textId="77777777" w:rsidR="00C42A5A" w:rsidRPr="00825AED" w:rsidRDefault="00C42A5A" w:rsidP="00C42A5A">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La Delibera regionale </w:t>
      </w:r>
      <w:r>
        <w:rPr>
          <w:sz w:val="18"/>
          <w:szCs w:val="18"/>
        </w:rPr>
        <w:t>n. 13-6608 del 4/11/2013 prevede un adeguamento tariffario annuale pari al 100 % dell’inflazione programmata dal Governo nell’anno precedente</w:t>
      </w:r>
    </w:p>
  </w:footnote>
  <w:footnote w:id="5">
    <w:p w14:paraId="1CF149F3" w14:textId="77777777" w:rsidR="00C42A5A" w:rsidRPr="00825AED" w:rsidRDefault="00C42A5A" w:rsidP="00C42A5A">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Ad oggi in via di sviluppo da parte della Regione e dei suoi fornitori.</w:t>
      </w:r>
    </w:p>
  </w:footnote>
  <w:footnote w:id="6">
    <w:p w14:paraId="6FAEA18D" w14:textId="77777777" w:rsidR="00C42A5A" w:rsidRPr="00B85C38" w:rsidRDefault="00C42A5A" w:rsidP="00C42A5A">
      <w:pPr>
        <w:pStyle w:val="Testonotaapidipagina"/>
        <w:spacing w:before="120" w:after="0" w:line="240" w:lineRule="auto"/>
        <w:rPr>
          <w:rFonts w:asciiTheme="majorHAnsi" w:hAnsiTheme="majorHAnsi" w:cstheme="majorHAnsi"/>
          <w:sz w:val="18"/>
          <w:szCs w:val="18"/>
        </w:rPr>
      </w:pPr>
      <w:r w:rsidRPr="00B85C38">
        <w:rPr>
          <w:rStyle w:val="Rimandonotaapidipagina"/>
          <w:rFonts w:asciiTheme="majorHAnsi" w:hAnsiTheme="majorHAnsi" w:cstheme="majorHAnsi"/>
          <w:sz w:val="18"/>
          <w:szCs w:val="18"/>
        </w:rPr>
        <w:footnoteRef/>
      </w:r>
      <w:r w:rsidRPr="00B85C38">
        <w:rPr>
          <w:rFonts w:asciiTheme="majorHAnsi" w:hAnsiTheme="majorHAnsi" w:cstheme="majorHAnsi"/>
          <w:sz w:val="18"/>
          <w:szCs w:val="18"/>
        </w:rPr>
        <w:t xml:space="preserve"> </w:t>
      </w:r>
      <w:r w:rsidRPr="00B85C38">
        <w:rPr>
          <w:rFonts w:asciiTheme="majorHAnsi" w:eastAsia="Arial" w:hAnsiTheme="majorHAnsi" w:cstheme="majorHAnsi"/>
          <w:sz w:val="18"/>
          <w:szCs w:val="18"/>
        </w:rPr>
        <w:t>Nota protocollo Agenzia n. 761 del 22/01/2025.</w:t>
      </w:r>
    </w:p>
  </w:footnote>
  <w:footnote w:id="7">
    <w:p w14:paraId="77B8971D" w14:textId="77777777" w:rsidR="003B7E88" w:rsidRPr="0069219A" w:rsidRDefault="003B7E88" w:rsidP="003B7E88">
      <w:pPr>
        <w:spacing w:before="120" w:after="0" w:line="240" w:lineRule="auto"/>
        <w:rPr>
          <w:rFonts w:ascii="Calibri" w:eastAsia="Times New Roman" w:hAnsi="Calibri" w:cs="Times New Roman"/>
          <w:szCs w:val="20"/>
        </w:rPr>
      </w:pPr>
      <w:r>
        <w:rPr>
          <w:rStyle w:val="Rimandonotaapidipagina"/>
        </w:rPr>
        <w:footnoteRef/>
      </w:r>
      <w:r>
        <w:t xml:space="preserve"> </w:t>
      </w:r>
      <w:r w:rsidRPr="0069219A">
        <w:rPr>
          <w:rFonts w:asciiTheme="majorHAnsi" w:eastAsia="Arial" w:hAnsiTheme="majorHAnsi" w:cstheme="majorHAnsi"/>
          <w:sz w:val="18"/>
          <w:szCs w:val="18"/>
        </w:rPr>
        <w:t>Atto unico che comprende i servizi di Novi Ligure e dell’extraurbano di Alessandria</w:t>
      </w:r>
    </w:p>
  </w:footnote>
  <w:footnote w:id="8">
    <w:p w14:paraId="1D740C47" w14:textId="77777777" w:rsidR="00826A3D" w:rsidRPr="00B85C38" w:rsidRDefault="00826A3D" w:rsidP="00826A3D">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Storicamente le indagini campionarie sulla mobilità delle persone nella Provincia di Torino sono state effettuate con cadenza regolare sin dai primi anni novanta. L'allora azienda municipale di Torino ATM, cooperando con gli altri Enti locali e operatori di TPL, ha effettuato tra il 1991 e il 2004 sette indagini IMQ. La prima indagine fu condotta su un campione di grandi dimensioni. Dal 1994 in poi le indagini sono state svolte con cadenza biennale alternando campioni grandi (25-30 mila interviste nel 1996, 2000, 2004) e campioni più piccoli (5-7 mila interviste nel 1994, 1998, 2002, 2006 e 2010). Dal 2013 la scala di indagine è regionale e il campione è esteso a 51 mila interviste. Nell’indagine 2022 sono state sviluppate individuando due campioni distinti per indagare la Mobilità (circa 41.000 interviste) e per indagare la Qualità (circa 10.000 interviste)</w:t>
      </w:r>
    </w:p>
  </w:footnote>
  <w:footnote w:id="9">
    <w:p w14:paraId="0807BE83" w14:textId="77777777" w:rsidR="00826A3D" w:rsidRPr="00B85C38" w:rsidRDefault="00826A3D" w:rsidP="00826A3D">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w:t>
      </w:r>
      <w:r>
        <w:rPr>
          <w:sz w:val="18"/>
          <w:szCs w:val="18"/>
        </w:rPr>
        <w:t>L’Accordo è stato approvato con deliberazione del CDA di AMP n 18/2025 del 4 luglio 2025; l</w:t>
      </w:r>
      <w:r w:rsidRPr="00B85C38">
        <w:rPr>
          <w:sz w:val="18"/>
          <w:szCs w:val="18"/>
        </w:rPr>
        <w:t xml:space="preserve">‘ipotesi di campionamento per </w:t>
      </w:r>
      <w:r>
        <w:rPr>
          <w:sz w:val="18"/>
          <w:szCs w:val="18"/>
        </w:rPr>
        <w:t xml:space="preserve">Focus </w:t>
      </w:r>
      <w:r w:rsidRPr="00B85C38">
        <w:rPr>
          <w:sz w:val="18"/>
          <w:szCs w:val="18"/>
        </w:rPr>
        <w:t>Audimob</w:t>
      </w:r>
      <w:r>
        <w:rPr>
          <w:sz w:val="18"/>
          <w:szCs w:val="18"/>
        </w:rPr>
        <w:t xml:space="preserve"> in</w:t>
      </w:r>
      <w:r w:rsidRPr="00B85C38">
        <w:rPr>
          <w:sz w:val="18"/>
          <w:szCs w:val="18"/>
        </w:rPr>
        <w:t xml:space="preserve"> Piemonte è di circa 2.300 interviste complessive in modo da avere un errore standard inferiore, per l’intera Regione, al 4% (3,9%) anche per la mobilità del fine settimana</w:t>
      </w:r>
      <w:r>
        <w:rPr>
          <w:sz w:val="18"/>
          <w:szCs w:val="18"/>
        </w:rPr>
        <w:t>;</w:t>
      </w:r>
      <w:r w:rsidRPr="00B85C38">
        <w:rPr>
          <w:sz w:val="18"/>
          <w:szCs w:val="18"/>
        </w:rPr>
        <w:t xml:space="preserve"> </w:t>
      </w:r>
      <w:r>
        <w:rPr>
          <w:sz w:val="18"/>
          <w:szCs w:val="18"/>
        </w:rPr>
        <w:t>p</w:t>
      </w:r>
      <w:r w:rsidRPr="00B85C38">
        <w:rPr>
          <w:sz w:val="18"/>
          <w:szCs w:val="18"/>
        </w:rPr>
        <w:t>er la mobilità feriale l’errore scende invece al 2,4% e per la complessiva feriale+festiva al 2,04%. L’Audimob nazionale prevede circa 850 interviste per il Piemonte, per cui le interviste nuove da somministrare sar</w:t>
      </w:r>
      <w:r>
        <w:rPr>
          <w:sz w:val="18"/>
          <w:szCs w:val="18"/>
        </w:rPr>
        <w:t>anno circa</w:t>
      </w:r>
      <w:r w:rsidRPr="00B85C38">
        <w:rPr>
          <w:sz w:val="18"/>
          <w:szCs w:val="18"/>
        </w:rPr>
        <w:t xml:space="preserve"> 1.450</w:t>
      </w:r>
      <w:r>
        <w:rPr>
          <w:sz w:val="18"/>
          <w:szCs w:val="18"/>
        </w:rPr>
        <w:t xml:space="preserve"> per anno.</w:t>
      </w:r>
    </w:p>
  </w:footnote>
  <w:footnote w:id="10">
    <w:p w14:paraId="2C245C57" w14:textId="77777777" w:rsidR="00826A3D" w:rsidRDefault="00826A3D" w:rsidP="00826A3D">
      <w:pPr>
        <w:pStyle w:val="Testonotaapidipagina"/>
      </w:pPr>
      <w:r>
        <w:rPr>
          <w:rStyle w:val="Rimandonotaapidipagina"/>
        </w:rPr>
        <w:footnoteRef/>
      </w:r>
      <w:r>
        <w:t xml:space="preserve"> Dati di popolazione ISTAT 2013</w:t>
      </w:r>
    </w:p>
  </w:footnote>
  <w:footnote w:id="11">
    <w:p w14:paraId="09F74AA7" w14:textId="77777777" w:rsidR="00826A3D" w:rsidRPr="003472B4" w:rsidRDefault="00826A3D" w:rsidP="00826A3D">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Relazione sugli affidamenti di TPL - Anno 2022 parte II Paragrafo 4.2 “Verifica sulla congruità dei bacini ottimali con i criteri assunti” </w:t>
      </w:r>
      <w:hyperlink r:id="rId2" w:history="1">
        <w:r w:rsidRPr="003472B4">
          <w:rPr>
            <w:rStyle w:val="Collegamentoipertestuale"/>
            <w:sz w:val="18"/>
            <w:szCs w:val="18"/>
          </w:rPr>
          <w:t>https://mtm.torino.it/wp-content/uploads/2023/06/Relazione_Affidamenti_2022_pubbl_15-06-2023.pdf</w:t>
        </w:r>
      </w:hyperlink>
      <w:r w:rsidRPr="003472B4">
        <w:rPr>
          <w:sz w:val="18"/>
          <w:szCs w:val="18"/>
        </w:rPr>
        <w:t xml:space="preserve"> </w:t>
      </w:r>
    </w:p>
  </w:footnote>
  <w:footnote w:id="12">
    <w:p w14:paraId="6EF7A25C" w14:textId="77777777" w:rsidR="00826A3D" w:rsidRPr="00E361F8" w:rsidRDefault="00826A3D" w:rsidP="00826A3D">
      <w:pPr>
        <w:pStyle w:val="Testonotaapidipagina"/>
        <w:spacing w:before="120" w:after="0" w:line="240" w:lineRule="auto"/>
        <w:rPr>
          <w:sz w:val="18"/>
          <w:szCs w:val="18"/>
        </w:rPr>
      </w:pPr>
      <w:r w:rsidRPr="00E361F8">
        <w:rPr>
          <w:rStyle w:val="Rimandonotaapidipagina"/>
          <w:sz w:val="18"/>
          <w:szCs w:val="18"/>
        </w:rPr>
        <w:footnoteRef/>
      </w:r>
      <w:r w:rsidRPr="00E361F8">
        <w:rPr>
          <w:sz w:val="18"/>
          <w:szCs w:val="18"/>
        </w:rPr>
        <w:t xml:space="preserve"> Domanda potenziale: Rappresenta l’esigenza di mobilità dei residenti che viene soddisfatta all’interno di un’area attraverso più modalità di trasporto motorizzato (privato o pubblico) e che può costituire il “potenziale” bacino di utenti del TPL.</w:t>
      </w:r>
    </w:p>
  </w:footnote>
  <w:footnote w:id="13">
    <w:p w14:paraId="2D1C9E61" w14:textId="77777777" w:rsidR="00826A3D" w:rsidRPr="00E361F8" w:rsidRDefault="00826A3D" w:rsidP="00826A3D">
      <w:pPr>
        <w:pStyle w:val="Testonotaapidipagina"/>
        <w:spacing w:before="120" w:after="0" w:line="240" w:lineRule="auto"/>
        <w:rPr>
          <w:sz w:val="18"/>
          <w:szCs w:val="18"/>
        </w:rPr>
      </w:pPr>
      <w:r w:rsidRPr="00E361F8">
        <w:rPr>
          <w:rStyle w:val="Rimandonotaapidipagina"/>
          <w:sz w:val="18"/>
          <w:szCs w:val="18"/>
        </w:rPr>
        <w:footnoteRef/>
      </w:r>
      <w:r w:rsidRPr="00E361F8">
        <w:rPr>
          <w:sz w:val="18"/>
          <w:szCs w:val="18"/>
        </w:rPr>
        <w:t xml:space="preserve"> Domanda effettiva: Indica la quantità reale di spostamenti che avvengono all'interno della zona, con uso del trasporto pubblico locale (TPL).</w:t>
      </w:r>
    </w:p>
  </w:footnote>
  <w:footnote w:id="14">
    <w:p w14:paraId="3DF4CBED" w14:textId="77777777" w:rsidR="00826A3D" w:rsidRPr="002C22A2" w:rsidRDefault="00826A3D" w:rsidP="00826A3D">
      <w:pPr>
        <w:pStyle w:val="Testonotaapidipagina"/>
        <w:spacing w:before="120" w:after="0" w:line="240" w:lineRule="auto"/>
        <w:contextualSpacing/>
        <w:rPr>
          <w:sz w:val="18"/>
          <w:szCs w:val="18"/>
        </w:rPr>
      </w:pPr>
      <w:r w:rsidRPr="002C22A2">
        <w:rPr>
          <w:rStyle w:val="Rimandonotaapidipagina"/>
          <w:sz w:val="18"/>
          <w:szCs w:val="18"/>
        </w:rPr>
        <w:footnoteRef/>
      </w:r>
      <w:r w:rsidRPr="002C22A2">
        <w:rPr>
          <w:sz w:val="18"/>
          <w:szCs w:val="18"/>
        </w:rPr>
        <w:t xml:space="preserve"> Le SIM di tipologia "Human" di WindTre si riferiscono a quelle SIM utilizzate direttamente dagli utenti per comunicazioni personali. Queste includono:</w:t>
      </w:r>
    </w:p>
    <w:p w14:paraId="73401105" w14:textId="77777777" w:rsidR="00826A3D" w:rsidRPr="002C22A2" w:rsidRDefault="00826A3D" w:rsidP="00826A3D">
      <w:pPr>
        <w:pStyle w:val="Testonotaapidipagina"/>
        <w:numPr>
          <w:ilvl w:val="0"/>
          <w:numId w:val="26"/>
        </w:numPr>
        <w:spacing w:before="120" w:after="0" w:line="240" w:lineRule="auto"/>
        <w:contextualSpacing/>
        <w:rPr>
          <w:sz w:val="18"/>
          <w:szCs w:val="18"/>
        </w:rPr>
      </w:pPr>
      <w:r w:rsidRPr="002C22A2">
        <w:rPr>
          <w:sz w:val="18"/>
          <w:szCs w:val="18"/>
        </w:rPr>
        <w:t>Solo voce: SIM utilizzate esclusivamente per chiamate vocali.</w:t>
      </w:r>
    </w:p>
    <w:p w14:paraId="7BD9E96B" w14:textId="77777777" w:rsidR="00826A3D" w:rsidRPr="002C22A2" w:rsidRDefault="00826A3D" w:rsidP="00826A3D">
      <w:pPr>
        <w:pStyle w:val="Testonotaapidipagina"/>
        <w:numPr>
          <w:ilvl w:val="0"/>
          <w:numId w:val="26"/>
        </w:numPr>
        <w:spacing w:before="120" w:after="0" w:line="240" w:lineRule="auto"/>
        <w:contextualSpacing/>
        <w:rPr>
          <w:sz w:val="18"/>
          <w:szCs w:val="18"/>
        </w:rPr>
      </w:pPr>
      <w:r w:rsidRPr="002C22A2">
        <w:rPr>
          <w:sz w:val="18"/>
          <w:szCs w:val="18"/>
        </w:rPr>
        <w:t>Voce + dati: SIM che permettono sia chiamate vocali che l'accesso a dati mobili (internet).</w:t>
      </w:r>
    </w:p>
    <w:p w14:paraId="71DCB0C5" w14:textId="77777777" w:rsidR="00826A3D" w:rsidRPr="002C22A2" w:rsidRDefault="00826A3D" w:rsidP="00826A3D">
      <w:pPr>
        <w:pStyle w:val="Testonotaapidipagina"/>
        <w:numPr>
          <w:ilvl w:val="0"/>
          <w:numId w:val="26"/>
        </w:numPr>
        <w:spacing w:before="120" w:after="0" w:line="240" w:lineRule="auto"/>
        <w:contextualSpacing/>
        <w:rPr>
          <w:sz w:val="18"/>
          <w:szCs w:val="18"/>
        </w:rPr>
      </w:pPr>
      <w:r w:rsidRPr="002C22A2">
        <w:rPr>
          <w:sz w:val="18"/>
          <w:szCs w:val="18"/>
        </w:rPr>
        <w:t>Solo dati: SIM utilizzate esclusivamente per la connessione dati, senza funzionalità di chiamata vocale.</w:t>
      </w:r>
    </w:p>
    <w:p w14:paraId="3A765BFE" w14:textId="77777777" w:rsidR="00826A3D" w:rsidRPr="002C22A2" w:rsidRDefault="00826A3D" w:rsidP="00826A3D">
      <w:pPr>
        <w:pStyle w:val="Testonotaapidipagina"/>
        <w:spacing w:before="120" w:after="0" w:line="240" w:lineRule="auto"/>
        <w:contextualSpacing/>
        <w:rPr>
          <w:sz w:val="18"/>
          <w:szCs w:val="18"/>
        </w:rPr>
      </w:pPr>
      <w:r w:rsidRPr="002C22A2">
        <w:rPr>
          <w:sz w:val="18"/>
          <w:szCs w:val="18"/>
        </w:rPr>
        <w:t>Queste SIM sono progettate per l'interazione umana, a differenza delle SIM Machine to Machine (M2M), che sono utilizzate per la comunicazione automatica tra dispositivi</w:t>
      </w:r>
    </w:p>
  </w:footnote>
  <w:footnote w:id="15">
    <w:p w14:paraId="69B404CD" w14:textId="77777777" w:rsidR="00826A3D" w:rsidRPr="002C22A2" w:rsidRDefault="00826A3D" w:rsidP="00826A3D">
      <w:pPr>
        <w:pStyle w:val="Testonotaapidipagina"/>
        <w:spacing w:before="120" w:after="0" w:line="240" w:lineRule="auto"/>
        <w:rPr>
          <w:sz w:val="18"/>
          <w:szCs w:val="18"/>
        </w:rPr>
      </w:pPr>
      <w:r w:rsidRPr="002C22A2">
        <w:rPr>
          <w:rStyle w:val="Rimandonotaapidipagina"/>
          <w:sz w:val="18"/>
          <w:szCs w:val="18"/>
        </w:rPr>
        <w:footnoteRef/>
      </w:r>
      <w:r w:rsidRPr="002C22A2">
        <w:rPr>
          <w:sz w:val="18"/>
          <w:szCs w:val="18"/>
        </w:rPr>
        <w:t xml:space="preserve"> L'unità minima utilizzata per l'analisi delle presenze e degli spostamenti delle SIM WindTre tramite la piattaforma Analytics è </w:t>
      </w:r>
      <w:r>
        <w:rPr>
          <w:sz w:val="18"/>
          <w:szCs w:val="18"/>
        </w:rPr>
        <w:t>la zona</w:t>
      </w:r>
      <w:r w:rsidRPr="002C22A2">
        <w:rPr>
          <w:sz w:val="18"/>
          <w:szCs w:val="18"/>
        </w:rPr>
        <w:t xml:space="preserve"> ACE. </w:t>
      </w:r>
      <w:r>
        <w:rPr>
          <w:sz w:val="18"/>
          <w:szCs w:val="18"/>
        </w:rPr>
        <w:t xml:space="preserve">Le ACE </w:t>
      </w:r>
      <w:r w:rsidRPr="002C22A2">
        <w:rPr>
          <w:sz w:val="18"/>
          <w:szCs w:val="18"/>
        </w:rPr>
        <w:t>(</w:t>
      </w:r>
      <w:r>
        <w:rPr>
          <w:sz w:val="18"/>
          <w:szCs w:val="18"/>
        </w:rPr>
        <w:t>Aree di CEnsimento</w:t>
      </w:r>
      <w:r w:rsidRPr="002C22A2">
        <w:rPr>
          <w:sz w:val="18"/>
          <w:szCs w:val="18"/>
        </w:rPr>
        <w:t>)</w:t>
      </w:r>
      <w:r>
        <w:rPr>
          <w:sz w:val="18"/>
          <w:szCs w:val="18"/>
        </w:rPr>
        <w:t xml:space="preserve"> sono definite da ISTAT, per i centri principali e più popolosi, come unità territoriali intermedie fra le sezioni di censimento e i limiti comunali</w:t>
      </w:r>
      <w:r w:rsidRPr="002C22A2">
        <w:rPr>
          <w:sz w:val="18"/>
          <w:szCs w:val="18"/>
        </w:rPr>
        <w:t>.</w:t>
      </w:r>
    </w:p>
  </w:footnote>
  <w:footnote w:id="16">
    <w:p w14:paraId="3BBF0765" w14:textId="77777777" w:rsidR="00872434" w:rsidRDefault="00872434" w:rsidP="00872434">
      <w:pPr>
        <w:pStyle w:val="Testonotaapidipagina"/>
        <w:spacing w:after="0" w:line="240" w:lineRule="auto"/>
      </w:pPr>
      <w:r>
        <w:rPr>
          <w:rStyle w:val="Rimandonotaapidipagina"/>
        </w:rPr>
        <w:footnoteRef/>
      </w:r>
      <w:r>
        <w:t xml:space="preserve"> Ogni campagna si sviluppa per due settimane; per ciascuna corsa vengono compilate nel rilievo da 1 a 5 schede, una per ciascun giorno di rilevazione a seconda della frequenza, come descritto nella tabella sottostante:</w:t>
      </w:r>
    </w:p>
    <w:p w14:paraId="2A8B81C3" w14:textId="77777777" w:rsidR="00872434" w:rsidRDefault="00872434" w:rsidP="00872434">
      <w:pPr>
        <w:pStyle w:val="Testonotaapidipagina"/>
        <w:spacing w:after="0" w:line="240" w:lineRule="auto"/>
      </w:pPr>
      <w:r w:rsidRPr="004B6443">
        <w:rPr>
          <w:noProof/>
        </w:rPr>
        <w:drawing>
          <wp:inline distT="0" distB="0" distL="0" distR="0" wp14:anchorId="0E8D8F7D" wp14:editId="67C65B4A">
            <wp:extent cx="3704664" cy="1001683"/>
            <wp:effectExtent l="0" t="0" r="0" b="8255"/>
            <wp:docPr id="34984316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37893" cy="1010668"/>
                    </a:xfrm>
                    <a:prstGeom prst="rect">
                      <a:avLst/>
                    </a:prstGeom>
                    <a:noFill/>
                    <a:ln>
                      <a:noFill/>
                    </a:ln>
                  </pic:spPr>
                </pic:pic>
              </a:graphicData>
            </a:graphic>
          </wp:inline>
        </w:drawing>
      </w:r>
    </w:p>
    <w:p w14:paraId="44FDE809" w14:textId="77777777" w:rsidR="00872434" w:rsidRDefault="00872434" w:rsidP="00872434">
      <w:pPr>
        <w:pStyle w:val="Testonotaapidipagina"/>
        <w:spacing w:after="0" w:line="240" w:lineRule="auto"/>
      </w:pPr>
      <w:r>
        <w:t>Il numero di rilievi effettuati a fronte del totale corse offerte nell’anno comporta un tasso di campionamento compreso tra il 6,5% e il 7% per i rilievi estivi e tra l’1,7% e il 2,2% per i rilievi invernali.</w:t>
      </w:r>
    </w:p>
  </w:footnote>
  <w:footnote w:id="17">
    <w:p w14:paraId="5BBB8513" w14:textId="77777777" w:rsidR="00872434" w:rsidRDefault="00872434" w:rsidP="00872434">
      <w:pPr>
        <w:pStyle w:val="Testonotaapidipagina"/>
        <w:spacing w:before="120" w:after="0" w:line="240" w:lineRule="auto"/>
      </w:pPr>
      <w:r>
        <w:rPr>
          <w:rStyle w:val="Rimandonotaapidipagina"/>
        </w:rPr>
        <w:footnoteRef/>
      </w:r>
      <w:r>
        <w:t xml:space="preserve"> I passeggeri annui per linea sono calcolati nel seguente modo: (1) Somma dei saliti a tutte le fermate per ogni corsa; (2) Media tra le somme saliti di tutti i rilievi disponibili per ogni corsa; (3) Espansione dei saliti in base al numero di giorni in cui ciascuna corsa è operativa, separatamente a partire dal rilievo di novembre per il periodo invernale (274 giorni) ed a partire dal rilievo estivo per il periodo estivo (91 giorni); nel mese di agosto molte corse extraurbane non sono operative (codici frequenze FER[x]-A): per esse il numero di giorni estivi è inferiore; (4) Calcolo, per ogni linea e rilievo, del rapporto corse totali/corse rilevate (coefficiente di espansione alle corse non rilevate); (5) Linee con alcune corse non rilevate nel singolo rilievo (luglio o novembre): Espansione dei saliti delle corse rilevate di ciascuna linea nel periodo invernale ed estivo con l’applicazione del coefficiente di espansione di cui al punto 4; (6) Linee con nessuna corsa rilevata nel singolo rilievo (luglio o novembre): Stima dei passeggeri del rilievo mancante come media degli ultimi anni in cui il rilievo è disponibile (generalmente due).</w:t>
      </w:r>
    </w:p>
  </w:footnote>
  <w:footnote w:id="18">
    <w:p w14:paraId="43ED01A5" w14:textId="77777777" w:rsidR="00872434" w:rsidRDefault="00872434" w:rsidP="00872434">
      <w:pPr>
        <w:pStyle w:val="Testonotaapidipagina"/>
        <w:spacing w:before="120" w:after="0" w:line="240" w:lineRule="auto"/>
      </w:pPr>
      <w:r>
        <w:rPr>
          <w:rStyle w:val="Rimandonotaapidipagina"/>
        </w:rPr>
        <w:footnoteRef/>
      </w:r>
      <w:r>
        <w:t xml:space="preserve"> Si tratta delle linee: </w:t>
      </w:r>
      <w:r w:rsidRPr="00B03889">
        <w:rPr>
          <w:i/>
          <w:iCs/>
        </w:rPr>
        <w:t>36</w:t>
      </w:r>
      <w:r w:rsidRPr="00B03889">
        <w:rPr>
          <w:i/>
          <w:iCs/>
        </w:rPr>
        <w:tab/>
        <w:t xml:space="preserve"> Rocchetta P - Canelli, 37 </w:t>
      </w:r>
      <w:r w:rsidRPr="00B03889">
        <w:rPr>
          <w:i/>
          <w:iCs/>
        </w:rPr>
        <w:tab/>
        <w:t xml:space="preserve">Mombercelli - Asti, 39 </w:t>
      </w:r>
      <w:r w:rsidRPr="00B03889">
        <w:rPr>
          <w:i/>
          <w:iCs/>
        </w:rPr>
        <w:tab/>
        <w:t xml:space="preserve">Cortemilia - Acqui Terme, 40 </w:t>
      </w:r>
      <w:r w:rsidRPr="00B03889">
        <w:rPr>
          <w:i/>
          <w:iCs/>
        </w:rPr>
        <w:tab/>
        <w:t xml:space="preserve">Loazzolo - Canelli, 41 </w:t>
      </w:r>
      <w:r w:rsidRPr="00B03889">
        <w:rPr>
          <w:i/>
          <w:iCs/>
        </w:rPr>
        <w:tab/>
        <w:t xml:space="preserve">Cortemilia – Canelli - Asti, 60 </w:t>
      </w:r>
      <w:r w:rsidRPr="00B03889">
        <w:rPr>
          <w:i/>
          <w:iCs/>
        </w:rPr>
        <w:tab/>
        <w:t xml:space="preserve">Asti - Montaldo S. Con Prol. A Montegrosso Sm., 64 </w:t>
      </w:r>
      <w:r w:rsidRPr="00B03889">
        <w:rPr>
          <w:i/>
          <w:iCs/>
        </w:rPr>
        <w:tab/>
        <w:t xml:space="preserve">Asti - Calosso Con deviazioni e diramazioni, 95 </w:t>
      </w:r>
      <w:r w:rsidRPr="00B03889">
        <w:rPr>
          <w:i/>
          <w:iCs/>
        </w:rPr>
        <w:tab/>
        <w:t>Asti-Vigliano Fs – Montegrosso – Agliano – Moasca - S. Marzano - Nizza M.To (Ist. Scolastici) con dir. e dev., 103</w:t>
      </w:r>
      <w:r w:rsidRPr="00B03889">
        <w:rPr>
          <w:i/>
          <w:iCs/>
        </w:rPr>
        <w:tab/>
        <w:t xml:space="preserve"> Canelli – Savona, 152 </w:t>
      </w:r>
      <w:r w:rsidRPr="00B03889">
        <w:rPr>
          <w:i/>
          <w:iCs/>
        </w:rPr>
        <w:tab/>
        <w:t xml:space="preserve">Canelli Ospedale - Nizza Monferrato Ospedale, 156 </w:t>
      </w:r>
      <w:r w:rsidRPr="00B03889">
        <w:rPr>
          <w:i/>
          <w:iCs/>
        </w:rPr>
        <w:tab/>
        <w:t>Asti-Calosso</w:t>
      </w:r>
      <w:r>
        <w:t xml:space="preserve">. Tali linee sono state rilevate con il metodo tradizionale </w:t>
      </w:r>
      <w:r w:rsidRPr="00EA4314">
        <w:rPr>
          <w:i/>
          <w:iCs/>
        </w:rPr>
        <w:t>saliti e discesi</w:t>
      </w:r>
      <w:r>
        <w:t xml:space="preserve"> con schede cartacee solo nel rilevo estivo 2019. Per il rilevo invernale i dati sono stati estratti dal CCA (Centro di Controllo Aziendale) di Cuneo al quale erano assegnate ai fini della gestione della bigliettazione elettronica BIP.</w:t>
      </w:r>
    </w:p>
  </w:footnote>
  <w:footnote w:id="19">
    <w:p w14:paraId="7664E550" w14:textId="77777777" w:rsidR="00872434" w:rsidRPr="006A089D" w:rsidRDefault="00872434" w:rsidP="00872434">
      <w:pPr>
        <w:pStyle w:val="Testonotaapidipagina"/>
        <w:spacing w:before="120" w:after="0" w:line="240" w:lineRule="auto"/>
        <w:rPr>
          <w:sz w:val="18"/>
          <w:szCs w:val="18"/>
        </w:rPr>
      </w:pPr>
      <w:r w:rsidRPr="006A089D">
        <w:rPr>
          <w:rStyle w:val="Rimandonotaapidipagina"/>
          <w:sz w:val="18"/>
          <w:szCs w:val="18"/>
        </w:rPr>
        <w:footnoteRef/>
      </w:r>
      <w:r w:rsidRPr="006A089D">
        <w:rPr>
          <w:sz w:val="18"/>
          <w:szCs w:val="18"/>
        </w:rPr>
        <w:t xml:space="preserve"> Dati del MIUR nota prot. Agenzia n°12487 del 29/04/2024</w:t>
      </w:r>
    </w:p>
  </w:footnote>
  <w:footnote w:id="20">
    <w:p w14:paraId="17BE2E1E" w14:textId="77777777" w:rsidR="00872434" w:rsidRPr="00E6238B" w:rsidRDefault="00872434" w:rsidP="00872434">
      <w:pPr>
        <w:shd w:val="clear" w:color="auto" w:fill="FFFFFF"/>
        <w:spacing w:before="120" w:after="0" w:line="240" w:lineRule="auto"/>
        <w:rPr>
          <w:rFonts w:cstheme="minorHAnsi"/>
        </w:rPr>
      </w:pPr>
      <w:r>
        <w:rPr>
          <w:rStyle w:val="Rimandonotaapidipagina"/>
        </w:rPr>
        <w:footnoteRef/>
      </w:r>
      <w:r>
        <w:t xml:space="preserve"> </w:t>
      </w:r>
      <w:r w:rsidRPr="00A93649">
        <w:rPr>
          <w:sz w:val="18"/>
          <w:szCs w:val="18"/>
        </w:rPr>
        <w:t xml:space="preserve">Elaborazione dati fornita dalla </w:t>
      </w:r>
      <w:r>
        <w:rPr>
          <w:sz w:val="18"/>
          <w:szCs w:val="18"/>
        </w:rPr>
        <w:t xml:space="preserve">Mobility Management di Ateneo </w:t>
      </w:r>
      <w:r w:rsidRPr="00A93649">
        <w:rPr>
          <w:sz w:val="18"/>
          <w:szCs w:val="18"/>
        </w:rPr>
        <w:t>- Area Sostenibilità - Direzione Edilizia e Sostenibilità dell’Università degli Studi di Torino.</w:t>
      </w:r>
    </w:p>
  </w:footnote>
  <w:footnote w:id="21">
    <w:p w14:paraId="75FBF8B5" w14:textId="77777777" w:rsidR="00872434" w:rsidRDefault="00872434" w:rsidP="00872434">
      <w:pPr>
        <w:pStyle w:val="Testonotaapidipagina"/>
        <w:spacing w:before="120" w:after="0" w:line="240" w:lineRule="auto"/>
      </w:pPr>
      <w:r>
        <w:rPr>
          <w:rStyle w:val="Rimandonotaapidipagina"/>
        </w:rPr>
        <w:footnoteRef/>
      </w:r>
      <w:r>
        <w:t xml:space="preserve"> </w:t>
      </w:r>
      <w:r w:rsidRPr="00BE03CB">
        <w:rPr>
          <w:sz w:val="18"/>
          <w:szCs w:val="18"/>
        </w:rPr>
        <w:t>Studentesse e studenti con carriera attiva, fino ad un anno Fuori Corso, iscritti a un corso di laurea triennale, laurea magistrale biennale, laurea magis</w:t>
      </w:r>
      <w:r>
        <w:rPr>
          <w:sz w:val="18"/>
          <w:szCs w:val="18"/>
        </w:rPr>
        <w:t xml:space="preserve">trale a ciclo unico (5/6 anni). </w:t>
      </w:r>
      <w:r w:rsidRPr="00BE03CB">
        <w:rPr>
          <w:sz w:val="18"/>
          <w:szCs w:val="18"/>
        </w:rPr>
        <w:t>Fonte “Esse3”, estrazione al 13/04/2025. Dati forniti dal Mobility Manager - Divisione Edilizia, Logistica e Patrimonio, Università del Piemonte Orientale.</w:t>
      </w:r>
    </w:p>
  </w:footnote>
  <w:footnote w:id="22">
    <w:p w14:paraId="5E81205A" w14:textId="77777777" w:rsidR="00872434" w:rsidRPr="00C44197" w:rsidRDefault="00872434" w:rsidP="00872434">
      <w:pPr>
        <w:pStyle w:val="Testonotaapidipagina"/>
        <w:spacing w:before="120" w:after="0" w:line="240" w:lineRule="auto"/>
        <w:rPr>
          <w:sz w:val="18"/>
          <w:szCs w:val="18"/>
        </w:rPr>
      </w:pPr>
      <w:r w:rsidRPr="009E7851">
        <w:rPr>
          <w:rStyle w:val="Rimandonotaapidipagina"/>
          <w:sz w:val="18"/>
          <w:szCs w:val="18"/>
        </w:rPr>
        <w:footnoteRef/>
      </w:r>
      <w:r w:rsidRPr="009E7851">
        <w:rPr>
          <w:sz w:val="18"/>
          <w:szCs w:val="18"/>
        </w:rPr>
        <w:t xml:space="preserve"> La piattaforma EMMA, sviluppata dalla Regione Piemonte, è uno strumento digitale progettato per supportare i Mobility Manager aziendali e scolastici nella redazione dei Piani degli Spostamenti Casa-Lavoro (PSCL) e Casa-Studio (PSCS). La piattaforma offre accesso gratuito a tutte le aziende, enti pubblici e scuole del Piemonte, semplificando la raccolta e l'analisi dei dati di mobilità. EMMA fornisce suggerimenti e strumenti per progettare soluzioni di mobilità adeguate, migliorando l'efficienza della pianificazione e programmazione dei trasporti. </w:t>
      </w:r>
      <w:hyperlink r:id="rId4" w:history="1">
        <w:r w:rsidRPr="00C44197">
          <w:rPr>
            <w:rStyle w:val="Collegamentoipertestuale"/>
            <w:sz w:val="18"/>
            <w:szCs w:val="18"/>
          </w:rPr>
          <w:t>https://www.muoversinpiemonte.it/piattaforma-digitale-regionale-emma</w:t>
        </w:r>
      </w:hyperlink>
    </w:p>
  </w:footnote>
  <w:footnote w:id="23">
    <w:p w14:paraId="1AC30C6A" w14:textId="77777777" w:rsidR="00872434" w:rsidRDefault="00872434" w:rsidP="00872434">
      <w:pPr>
        <w:pStyle w:val="Testonotaapidipagina"/>
      </w:pPr>
      <w:r>
        <w:rPr>
          <w:rStyle w:val="Rimandonotaapidipagina"/>
        </w:rPr>
        <w:footnoteRef/>
      </w:r>
      <w:r>
        <w:t xml:space="preserve"> Fonte: </w:t>
      </w:r>
      <w:r>
        <w:rPr>
          <w:i/>
          <w:iCs/>
        </w:rPr>
        <w:t>https://www.stradagranmonferrato.it/news/turismo-un-ottimo-2024-per-la-provincia-di-alessandria/</w:t>
      </w:r>
    </w:p>
  </w:footnote>
  <w:footnote w:id="24">
    <w:p w14:paraId="47C011AE" w14:textId="77777777" w:rsidR="00872434" w:rsidRPr="00C128A7" w:rsidRDefault="00872434" w:rsidP="00872434">
      <w:pPr>
        <w:pStyle w:val="Testonotaapidipagina"/>
        <w:spacing w:before="120" w:after="0" w:line="240" w:lineRule="auto"/>
        <w:ind w:right="566"/>
        <w:rPr>
          <w:sz w:val="18"/>
          <w:szCs w:val="18"/>
        </w:rPr>
      </w:pPr>
      <w:r w:rsidRPr="00C128A7">
        <w:rPr>
          <w:rStyle w:val="Rimandonotaapidipagina"/>
          <w:sz w:val="18"/>
          <w:szCs w:val="18"/>
        </w:rPr>
        <w:footnoteRef/>
      </w:r>
      <w:r w:rsidRPr="00C44197">
        <w:rPr>
          <w:sz w:val="18"/>
          <w:szCs w:val="18"/>
        </w:rPr>
        <w:t xml:space="preserve"> “Ok Boomer? </w:t>
      </w:r>
      <w:r w:rsidRPr="00C128A7">
        <w:rPr>
          <w:sz w:val="18"/>
          <w:szCs w:val="18"/>
        </w:rPr>
        <w:t xml:space="preserve">Una prospettiva generazionale sui comportamenti di mobilità” - Elena Colli - </w:t>
      </w:r>
      <w:r w:rsidRPr="00C128A7">
        <w:rPr>
          <w:rStyle w:val="Collegamentoipertestuale"/>
          <w:sz w:val="18"/>
          <w:szCs w:val="18"/>
        </w:rPr>
        <w:t>https://datamobility.it/magazine/</w:t>
      </w:r>
      <w:hyperlink r:id="rId5" w:history="1">
        <w:r w:rsidRPr="00C128A7">
          <w:rPr>
            <w:rStyle w:val="Collegamentoipertestuale"/>
            <w:sz w:val="18"/>
            <w:szCs w:val="18"/>
          </w:rPr>
          <w:t>ok-boomer-una prospettiva generazionale sui comportamenti di mobilità</w:t>
        </w:r>
      </w:hyperlink>
      <w:r w:rsidRPr="00C128A7">
        <w:rPr>
          <w:rStyle w:val="Collegamentoipertestuale"/>
          <w:sz w:val="18"/>
          <w:szCs w:val="18"/>
        </w:rPr>
        <w:t>/</w:t>
      </w:r>
    </w:p>
  </w:footnote>
  <w:footnote w:id="25">
    <w:p w14:paraId="2E730B84" w14:textId="77777777" w:rsidR="00872434" w:rsidRPr="00C128A7" w:rsidRDefault="00872434" w:rsidP="00872434">
      <w:pPr>
        <w:pStyle w:val="Testonotaapidipagina"/>
        <w:rPr>
          <w:sz w:val="18"/>
          <w:szCs w:val="18"/>
        </w:rPr>
      </w:pPr>
      <w:r w:rsidRPr="00C128A7">
        <w:rPr>
          <w:rStyle w:val="Rimandonotaapidipagina"/>
          <w:sz w:val="18"/>
          <w:szCs w:val="18"/>
        </w:rPr>
        <w:footnoteRef/>
      </w:r>
      <w:r w:rsidRPr="00C128A7">
        <w:rPr>
          <w:sz w:val="18"/>
          <w:szCs w:val="18"/>
        </w:rPr>
        <w:t xml:space="preserve"> </w:t>
      </w:r>
      <w:hyperlink r:id="rId6" w:history="1">
        <w:r w:rsidRPr="00C128A7">
          <w:rPr>
            <w:rStyle w:val="Collegamentoipertestuale"/>
            <w:color w:val="auto"/>
            <w:sz w:val="18"/>
            <w:szCs w:val="18"/>
          </w:rPr>
          <w:t>https://www.istat.it/statistica-sperimentale/previsioni-demografiche-comunali-statistica-sperimentale/</w:t>
        </w:r>
      </w:hyperlink>
      <w:r w:rsidRPr="00C128A7">
        <w:rPr>
          <w:sz w:val="18"/>
          <w:szCs w:val="18"/>
        </w:rPr>
        <w:t xml:space="preserve"> </w:t>
      </w:r>
    </w:p>
  </w:footnote>
  <w:footnote w:id="26">
    <w:p w14:paraId="76185C76" w14:textId="77777777" w:rsidR="00335312" w:rsidRPr="00C128A7" w:rsidRDefault="00335312" w:rsidP="00335312">
      <w:pPr>
        <w:pStyle w:val="Testonotaapidipagina"/>
        <w:rPr>
          <w:sz w:val="18"/>
          <w:szCs w:val="18"/>
        </w:rPr>
      </w:pPr>
      <w:r w:rsidRPr="00C128A7">
        <w:rPr>
          <w:rStyle w:val="Rimandonotaapidipagina"/>
          <w:sz w:val="18"/>
          <w:szCs w:val="18"/>
        </w:rPr>
        <w:footnoteRef/>
      </w:r>
      <w:r w:rsidRPr="00C128A7">
        <w:rPr>
          <w:sz w:val="18"/>
          <w:szCs w:val="18"/>
        </w:rPr>
        <w:t xml:space="preserve"> </w:t>
      </w:r>
      <w:hyperlink r:id="rId7" w:history="1">
        <w:r w:rsidRPr="00C128A7">
          <w:rPr>
            <w:rStyle w:val="Collegamentoipertestuale"/>
            <w:sz w:val="18"/>
            <w:szCs w:val="18"/>
          </w:rPr>
          <w:t>https://mtm.torino.it/it/piani-progetti/progetti-a-scala-regionale/studi-su-linee-ferroviarie-sospese/</w:t>
        </w:r>
      </w:hyperlink>
    </w:p>
  </w:footnote>
  <w:footnote w:id="27">
    <w:p w14:paraId="1FA00DBC" w14:textId="77777777" w:rsidR="00335312" w:rsidRDefault="00335312" w:rsidP="00335312">
      <w:pPr>
        <w:pStyle w:val="Testonotaapidipagina"/>
        <w:spacing w:before="120" w:after="0" w:line="240" w:lineRule="auto"/>
      </w:pPr>
      <w:r>
        <w:rPr>
          <w:rStyle w:val="Rimandonotaapidipagina"/>
        </w:rPr>
        <w:footnoteRef/>
      </w:r>
      <w:r>
        <w:t xml:space="preserve"> Si ricorda che tutta la documentazione contrattuale è consultabile sul sito di AMP nella sezione </w:t>
      </w:r>
      <w:hyperlink r:id="rId8" w:history="1">
        <w:r w:rsidRPr="00160518">
          <w:rPr>
            <w:rStyle w:val="Collegamentoipertestuale"/>
          </w:rPr>
          <w:t>https://mtm.torino.it/it/servizi-e-contratti/servizi-tpl/</w:t>
        </w:r>
      </w:hyperlink>
    </w:p>
  </w:footnote>
  <w:footnote w:id="28">
    <w:p w14:paraId="5A3BAA4E" w14:textId="77777777" w:rsidR="00335312" w:rsidRDefault="00335312" w:rsidP="00335312">
      <w:pPr>
        <w:pStyle w:val="Testonotaapidipagina"/>
        <w:spacing w:before="120" w:after="0" w:line="240" w:lineRule="auto"/>
      </w:pPr>
      <w:r>
        <w:rPr>
          <w:rStyle w:val="Rimandonotaapidipagina"/>
        </w:rPr>
        <w:footnoteRef/>
      </w:r>
      <w:r>
        <w:t xml:space="preserve"> Misura 3 punto 3 della delibera ART n. 53 del 18/04/2024: “…I. </w:t>
      </w:r>
      <w:r w:rsidRPr="009D52B5">
        <w:rPr>
          <w:i/>
          <w:iCs/>
        </w:rPr>
        <w:t>nodi rilevanti di primo livello: costituiti dalle fermate che svolgono il ruolo di nodo di interscambio multimodale (diretto o indiretto) tra il servizio su strada con almeno uno dei seguenti servizi di trasporto pubblico: aeroportuale, ferroviario, navale, metropolitano</w:t>
      </w:r>
      <w:r>
        <w:t>;…”</w:t>
      </w:r>
    </w:p>
  </w:footnote>
  <w:footnote w:id="29">
    <w:p w14:paraId="3E015757" w14:textId="77777777" w:rsidR="00335312" w:rsidRPr="002C401A" w:rsidRDefault="00335312" w:rsidP="00335312">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Delibera Cda n. 33 del 4 dicembre 2023 ad oggetto “Assegnazione risorse ai Bacini per la redazione del Piano integrato della Mobilità Pubblica ed Accessibilità – Definizione dei contenuti e delle modalità per la realizzazione” – Il documento di indirizza delinea i punti fondamentali da includere nel Piano di mobilità pubblica, evidenziando gli aspetti da considerare quali le aspettative di miglioramento del trasporto pubblico locale (TPL), il censimento dei mobility manager, le esigenze di mobilità delle aziende, e l'attenzione alle problematiche delle aree a domanda debole. Si richiede anche la definizione di strategie a breve, medio e lungo termine, in coerenza con la programmazione territoriale e l'individuazione di azioni e priorità d'intervento, con un'attenzione particolare alla sostenibilità e all'innovazione tecnologica.</w:t>
      </w:r>
    </w:p>
  </w:footnote>
  <w:footnote w:id="30">
    <w:p w14:paraId="548078C0" w14:textId="77777777" w:rsidR="00335312" w:rsidRPr="002C401A" w:rsidRDefault="00335312" w:rsidP="00335312">
      <w:pPr>
        <w:pStyle w:val="Testonotaapidipagina"/>
        <w:spacing w:before="120" w:after="0" w:line="240" w:lineRule="auto"/>
        <w:rPr>
          <w:rFonts w:ascii="Calibri" w:hAnsi="Calibri" w:cs="Calibri"/>
          <w:color w:val="242424"/>
          <w:sz w:val="18"/>
          <w:szCs w:val="18"/>
          <w:shd w:val="clear" w:color="auto" w:fill="FAFAFA"/>
        </w:rPr>
      </w:pPr>
      <w:r w:rsidRPr="002C401A">
        <w:rPr>
          <w:rStyle w:val="Rimandonotaapidipagina"/>
          <w:sz w:val="18"/>
          <w:szCs w:val="18"/>
        </w:rPr>
        <w:footnoteRef/>
      </w:r>
      <w:r w:rsidRPr="002C401A">
        <w:rPr>
          <w:sz w:val="18"/>
          <w:szCs w:val="18"/>
        </w:rPr>
        <w:t xml:space="preserve"> </w:t>
      </w:r>
      <w:r w:rsidRPr="002C401A">
        <w:rPr>
          <w:rFonts w:ascii="Calibri" w:hAnsi="Calibri" w:cs="Calibri"/>
          <w:color w:val="242424"/>
          <w:sz w:val="18"/>
          <w:szCs w:val="18"/>
          <w:shd w:val="clear" w:color="auto" w:fill="FAFAFA"/>
        </w:rPr>
        <w:t>Visum è un software di modellazione del traffico pubblico e privato che permette di simulare e analizzare reti complesse.</w:t>
      </w:r>
    </w:p>
  </w:footnote>
  <w:footnote w:id="31">
    <w:p w14:paraId="5FA536EA" w14:textId="77777777" w:rsidR="00335312" w:rsidRPr="002C401A" w:rsidRDefault="00335312" w:rsidP="00335312">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Remix </w:t>
      </w:r>
      <w:r w:rsidRPr="002C401A">
        <w:rPr>
          <w:rFonts w:ascii="Calibri" w:hAnsi="Calibri" w:cs="Calibri"/>
          <w:color w:val="242424"/>
          <w:sz w:val="18"/>
          <w:szCs w:val="18"/>
          <w:shd w:val="clear" w:color="auto" w:fill="FAFAFA"/>
        </w:rPr>
        <w:t>è una piattaforma web-based di pianificazione del trasporto pubblico che consente di progettare e ottimizzare i servizi di trasporto in base alla domanda.</w:t>
      </w:r>
    </w:p>
  </w:footnote>
  <w:footnote w:id="32">
    <w:p w14:paraId="60388EB1" w14:textId="77777777" w:rsidR="00335312" w:rsidRPr="00791C2A" w:rsidRDefault="00335312" w:rsidP="00335312">
      <w:pPr>
        <w:pStyle w:val="Testonotaapidipagina"/>
        <w:spacing w:before="120" w:after="0" w:line="240" w:lineRule="auto"/>
        <w:rPr>
          <w:sz w:val="18"/>
          <w:szCs w:val="18"/>
        </w:rPr>
      </w:pPr>
      <w:r w:rsidRPr="00791C2A">
        <w:rPr>
          <w:rStyle w:val="Rimandonotaapidipagina"/>
          <w:sz w:val="18"/>
          <w:szCs w:val="18"/>
        </w:rPr>
        <w:footnoteRef/>
      </w:r>
      <w:r w:rsidRPr="00791C2A">
        <w:rPr>
          <w:sz w:val="18"/>
          <w:szCs w:val="18"/>
        </w:rPr>
        <w:t xml:space="preserve"> Si segnala che misure di integrazione e cooperazione tra i diversi servizi siano state realizzate con la recente attivazione di servizi ferroviari sul territorio:</w:t>
      </w:r>
    </w:p>
    <w:p w14:paraId="74C6F46A" w14:textId="77777777" w:rsidR="00335312" w:rsidRPr="00791C2A" w:rsidRDefault="00335312" w:rsidP="00335312">
      <w:pPr>
        <w:pStyle w:val="Testonotaapidipagina"/>
        <w:numPr>
          <w:ilvl w:val="0"/>
          <w:numId w:val="38"/>
        </w:numPr>
        <w:spacing w:before="120" w:after="0" w:line="240" w:lineRule="auto"/>
        <w:rPr>
          <w:sz w:val="18"/>
          <w:szCs w:val="18"/>
        </w:rPr>
      </w:pPr>
      <w:r w:rsidRPr="00791C2A">
        <w:rPr>
          <w:sz w:val="18"/>
          <w:szCs w:val="18"/>
        </w:rPr>
        <w:t>l’apertura della linea ferroviaria Asti-Alba (settembre 2023), prevista nel contratto di servizio SFR con Trenitalia, è stata accompagnata dalla revisione degli orari dei bus esistenti realizzando un orario coordinato con corse alternate bus/treno. Allo stesso tempo si è intervenuto sull’impianto tariffario con l’estensione alla tratta della tariffa Piemonte Integrato</w:t>
      </w:r>
    </w:p>
    <w:p w14:paraId="0F9B77BA" w14:textId="77777777" w:rsidR="00335312" w:rsidRPr="002510CB" w:rsidRDefault="00335312" w:rsidP="00335312">
      <w:pPr>
        <w:pStyle w:val="Testonotaapidipagina"/>
        <w:numPr>
          <w:ilvl w:val="0"/>
          <w:numId w:val="38"/>
        </w:numPr>
        <w:spacing w:before="120" w:after="0" w:line="240" w:lineRule="auto"/>
        <w:rPr>
          <w:sz w:val="18"/>
          <w:szCs w:val="18"/>
        </w:rPr>
      </w:pPr>
      <w:r w:rsidRPr="002510CB">
        <w:rPr>
          <w:sz w:val="18"/>
          <w:szCs w:val="18"/>
        </w:rPr>
        <w:t>L’apertura della linea Casale-Mortara (settembre 2023) prevista dal contratto di servizio SFR con Trenitalia, ha portato alla revisione degli orari delle linee bus con l’eliminazione delle sovrapposizioni di servizio.</w:t>
      </w:r>
    </w:p>
  </w:footnote>
  <w:footnote w:id="33">
    <w:p w14:paraId="1EB011E9" w14:textId="77777777" w:rsidR="0024083D" w:rsidRPr="00C128A7" w:rsidRDefault="0024083D" w:rsidP="0024083D">
      <w:pPr>
        <w:pStyle w:val="Testonotaapidipagina"/>
        <w:spacing w:before="120" w:after="0" w:line="240" w:lineRule="auto"/>
        <w:rPr>
          <w:sz w:val="18"/>
          <w:szCs w:val="18"/>
          <w:lang w:val="en-GB"/>
        </w:rPr>
      </w:pPr>
      <w:r w:rsidRPr="00C128A7">
        <w:rPr>
          <w:rStyle w:val="Rimandonotaapidipagina"/>
          <w:sz w:val="18"/>
          <w:szCs w:val="18"/>
        </w:rPr>
        <w:footnoteRef/>
      </w:r>
      <w:r w:rsidRPr="00C128A7">
        <w:rPr>
          <w:sz w:val="18"/>
          <w:szCs w:val="18"/>
          <w:lang w:val="en-GB"/>
        </w:rPr>
        <w:t xml:space="preserve"> </w:t>
      </w:r>
      <w:hyperlink r:id="rId9" w:history="1">
        <w:r w:rsidRPr="00C128A7">
          <w:rPr>
            <w:rStyle w:val="Collegamentoipertestuale"/>
            <w:color w:val="auto"/>
            <w:sz w:val="18"/>
            <w:szCs w:val="18"/>
            <w:lang w:val="en-GB"/>
          </w:rPr>
          <w:t>Innovative Funding Solution for Public Transport 2017</w:t>
        </w:r>
      </w:hyperlink>
      <w:r w:rsidRPr="00FF4AE1">
        <w:rPr>
          <w:sz w:val="18"/>
          <w:szCs w:val="18"/>
          <w:lang w:val="en-GB"/>
        </w:rPr>
        <w:t xml:space="preserve"> - EMTA</w:t>
      </w:r>
    </w:p>
  </w:footnote>
  <w:footnote w:id="34">
    <w:p w14:paraId="63ABDC34" w14:textId="77777777" w:rsidR="0024083D" w:rsidRPr="00C128A7" w:rsidRDefault="0024083D" w:rsidP="0024083D">
      <w:pPr>
        <w:pStyle w:val="Testonotaapidipagina"/>
        <w:spacing w:before="120" w:after="0" w:line="240" w:lineRule="auto"/>
        <w:rPr>
          <w:sz w:val="18"/>
          <w:szCs w:val="18"/>
        </w:rPr>
      </w:pPr>
      <w:r w:rsidRPr="00C128A7">
        <w:rPr>
          <w:rStyle w:val="Rimandonotaapidipagina"/>
          <w:sz w:val="18"/>
          <w:szCs w:val="18"/>
        </w:rPr>
        <w:footnoteRef/>
      </w:r>
      <w:r w:rsidRPr="00C128A7">
        <w:rPr>
          <w:sz w:val="18"/>
          <w:szCs w:val="18"/>
        </w:rPr>
        <w:t xml:space="preserve"> Fondo Nazionale Trasporti come definito all’art. 16-bis comma 1 del DL n. 95 del 6 luglio 2012 convertito e modificato con la L. n. 135 del 7 agosto 2012.</w:t>
      </w:r>
    </w:p>
  </w:footnote>
  <w:footnote w:id="35">
    <w:p w14:paraId="7C641EC9" w14:textId="77777777" w:rsidR="00C2569D" w:rsidRPr="00E6004A" w:rsidRDefault="00C2569D" w:rsidP="00C2569D">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 Delibera Consiglio di Amministrazione dell’Agenzia n. 5/2025 del 19/02/2025 “Tariffe dei servizi di Trasporto Pubblico Locale; applicazione dell’adeguamento automatico all’inflazione programmata ex. D.G.R. 13-6608 del 04/11/2013 con decorrenza 1 Luglio 2025.</w:t>
      </w:r>
    </w:p>
  </w:footnote>
  <w:footnote w:id="36">
    <w:p w14:paraId="27FDF976" w14:textId="77777777" w:rsidR="00C2569D" w:rsidRPr="00E6004A" w:rsidRDefault="00C2569D" w:rsidP="00C2569D">
      <w:pPr>
        <w:pStyle w:val="Testonotaapidipagina"/>
        <w:rPr>
          <w:sz w:val="18"/>
          <w:szCs w:val="18"/>
        </w:rPr>
      </w:pPr>
      <w:r w:rsidRPr="00E6004A">
        <w:rPr>
          <w:rStyle w:val="Rimandonotaapidipagina"/>
          <w:sz w:val="18"/>
          <w:szCs w:val="18"/>
        </w:rPr>
        <w:footnoteRef/>
      </w:r>
      <w:r w:rsidRPr="00E6004A">
        <w:rPr>
          <w:sz w:val="18"/>
          <w:szCs w:val="18"/>
        </w:rPr>
        <w:t xml:space="preserve"> Gli adeguamenti tariffari richiamati in precedenza hanno aggiornato il livello di riferimento per questa tariffa che è oggi fissato a 1,80 €</w:t>
      </w:r>
    </w:p>
  </w:footnote>
  <w:footnote w:id="37">
    <w:p w14:paraId="5557E1D5" w14:textId="77777777" w:rsidR="00C2569D" w:rsidRPr="00E6004A" w:rsidRDefault="00C2569D" w:rsidP="00C2569D">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Sito del Ministero dell’Economia e delle Finanze - Dipartimento del Tesoro: Tasso d’Inflazione Programmata: </w:t>
      </w:r>
      <w:hyperlink r:id="rId10" w:history="1">
        <w:r w:rsidRPr="00E6004A">
          <w:rPr>
            <w:sz w:val="18"/>
            <w:szCs w:val="18"/>
          </w:rPr>
          <w:t>https://www.dt.mef.gov.it/it/attivita_istituzionali/analisi_programmazione_economico_finanziaria/inflaz_programmata/</w:t>
        </w:r>
      </w:hyperlink>
    </w:p>
  </w:footnote>
  <w:footnote w:id="38">
    <w:p w14:paraId="231D275A" w14:textId="77777777" w:rsidR="00162229" w:rsidRPr="005943BB" w:rsidRDefault="00162229" w:rsidP="00162229">
      <w:pPr>
        <w:pStyle w:val="Testonotaapidipagina"/>
        <w:rPr>
          <w:sz w:val="18"/>
          <w:szCs w:val="18"/>
        </w:rPr>
      </w:pPr>
      <w:r w:rsidRPr="005943BB">
        <w:rPr>
          <w:rStyle w:val="Rimandonotaapidipagina"/>
          <w:sz w:val="18"/>
          <w:szCs w:val="18"/>
        </w:rPr>
        <w:footnoteRef/>
      </w:r>
      <w:r w:rsidRPr="005943BB">
        <w:rPr>
          <w:sz w:val="18"/>
          <w:szCs w:val="18"/>
        </w:rPr>
        <w:t xml:space="preserve"> AMP – D.D. 20 del 12 gennaio 2024 “Anno 2023 – Verifica e rideterminazione del valore del Massimo Impegno Veicoli (MIV) e del Parco Autobus Ottimale (PAO) ai sensi dell’Allegato B della D.G.R. 5-2912 del 26/02/2021. Pubblicazione dei valori di MIV e PAO relativi alle aziende TPL del Piemonte per il quinquennio 2023-2027”</w:t>
      </w:r>
    </w:p>
  </w:footnote>
  <w:footnote w:id="39">
    <w:p w14:paraId="307B5A20" w14:textId="77777777" w:rsidR="00162229" w:rsidRPr="005943BB" w:rsidRDefault="00162229" w:rsidP="00162229">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Optibus è una piattaforma software avanzata progettata per ottimizzare la gestione del trasporto pubblico. Utilizza algoritmi di intelligenza artificiale e tecnologie di cloud computing per migliorare l'efficienza operativa, ridurre i costi e offrire un servizio di qualità superiore, attraverso funzioni di pianificazione e programmazione, simulazione di scenari, gestione in tempo reale, sostenibilità. </w:t>
      </w:r>
    </w:p>
  </w:footnote>
  <w:footnote w:id="40">
    <w:p w14:paraId="073D3A78" w14:textId="77777777" w:rsidR="00162229" w:rsidRPr="000840F9" w:rsidRDefault="00162229" w:rsidP="00162229">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Art. 10 (Aggiornamento e rideterminazione dei costi standard unitari) comma 1 “</w:t>
      </w:r>
      <w:r w:rsidRPr="000840F9">
        <w:rPr>
          <w:i/>
          <w:sz w:val="18"/>
          <w:szCs w:val="18"/>
        </w:rPr>
        <w:t>I costi standard unitari dei servizi definiti con il presente decreto sono calcolati su base annuale, oltre che con le modalità di cui all'articolo 8, applicando il tasso di inflazione effettivo dell'anno precedente, sulla base dell’indice dei prezzi al consumo (ISTAT NIC 072) con decreto del Ministro</w:t>
      </w:r>
      <w:r w:rsidRPr="00BC3416">
        <w:rPr>
          <w:i/>
        </w:rPr>
        <w:t xml:space="preserve"> </w:t>
      </w:r>
      <w:r w:rsidRPr="000840F9">
        <w:rPr>
          <w:i/>
          <w:sz w:val="18"/>
          <w:szCs w:val="18"/>
        </w:rPr>
        <w:t>delle Infrastrutture e dei Trasporti, sentita la Conferenza unificata di cui all'articolo 8 del decreto legislativo 28 agosto 1997, n. 281.</w:t>
      </w:r>
    </w:p>
  </w:footnote>
  <w:footnote w:id="41">
    <w:p w14:paraId="52F8D3F3" w14:textId="77777777" w:rsidR="00162229" w:rsidRPr="000840F9" w:rsidRDefault="00162229" w:rsidP="00162229">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dati.istat.it Nic – Medie annue dal 2016 (base 2015) Indice dei prezzi al consumo per l’intera collettività, Italia, Coicop 072 Spese di esercizio mezzi di trasporto; i numeri indici utilizzati per il calcolo del fattore di adeguamento sono : 97,7 (2016) – 101,1 (2017) – 104,8 (2018) – 104,9 (2019) – 101,0 (2020) – 107,9 (2021) – 119,8 (2022) - 121,6 (2023) – 121,6 (2024). </w:t>
      </w:r>
    </w:p>
  </w:footnote>
  <w:footnote w:id="42">
    <w:p w14:paraId="2EE8009F" w14:textId="77777777" w:rsidR="00162229" w:rsidRPr="000840F9" w:rsidRDefault="00162229" w:rsidP="00162229">
      <w:pPr>
        <w:pStyle w:val="Testonotaapidipagina"/>
        <w:spacing w:before="120" w:after="0" w:line="240" w:lineRule="auto"/>
        <w:rPr>
          <w:i/>
          <w:sz w:val="18"/>
          <w:szCs w:val="18"/>
        </w:rPr>
      </w:pPr>
      <w:r w:rsidRPr="000840F9">
        <w:rPr>
          <w:rStyle w:val="Rimandonotaapidipagina"/>
          <w:sz w:val="18"/>
          <w:szCs w:val="18"/>
        </w:rPr>
        <w:footnoteRef/>
      </w:r>
      <w:r w:rsidRPr="000840F9">
        <w:rPr>
          <w:sz w:val="18"/>
          <w:szCs w:val="18"/>
        </w:rPr>
        <w:t xml:space="preserve"> DM 157/2018 Art. 2 (Definizioni) </w:t>
      </w:r>
      <w:r w:rsidRPr="000840F9">
        <w:rPr>
          <w:i/>
          <w:sz w:val="18"/>
          <w:szCs w:val="18"/>
        </w:rPr>
        <w:t>“….. d) "velocità commerciale da programma di esercizio”, condizione operativa che caratterizza lo svolgimento del servizio; per i servizi con modalità di trasporto tranvia, metropolitana e ferroviaria del trasporto ferroviario regionale è calcolata quale lunghezza in chilometri delle corse in servizio commerciale effettivamente realizzate rapportata alla somma puntuale dei tempi di percorrenza, dalla partenza della corsa in servizio al pubblico all'arrivo della medesima, previsti dal programma di esercizio delle medesime corse. Per il servizio di trasporto con la modalità autolinea è calcolata quale lunghezza in chilometri delle corse in servizio al pubblico effettivamente realizzate rapportata alla somma puntuale dei tempi di percorrenza, dalla partenza della corsa in servizio al pubblico all'arrivo della medesima, previsti dal programma di esercizio delle medesime corse e dei relativi tempi di sosta al capolinea (o alla fermata) di fine corsa; il tempo di ciascuna sosta è pari:</w:t>
      </w:r>
    </w:p>
    <w:p w14:paraId="156CAA75" w14:textId="77777777" w:rsidR="00162229" w:rsidRPr="000840F9" w:rsidRDefault="00162229" w:rsidP="00162229">
      <w:pPr>
        <w:pStyle w:val="Testonotaapidipagina"/>
        <w:numPr>
          <w:ilvl w:val="0"/>
          <w:numId w:val="74"/>
        </w:numPr>
        <w:spacing w:before="120" w:after="0" w:line="240" w:lineRule="auto"/>
        <w:ind w:left="851" w:hanging="284"/>
        <w:rPr>
          <w:i/>
          <w:sz w:val="18"/>
          <w:szCs w:val="18"/>
        </w:rPr>
      </w:pPr>
      <w:r w:rsidRPr="000840F9">
        <w:rPr>
          <w:i/>
          <w:sz w:val="18"/>
          <w:szCs w:val="18"/>
        </w:rPr>
        <w:t>a tre minuti per ogni corsa in servizio al pubblico urbano ovvero suburbano;</w:t>
      </w:r>
    </w:p>
    <w:p w14:paraId="04D4040E" w14:textId="77777777" w:rsidR="00162229" w:rsidRPr="000840F9" w:rsidRDefault="00162229" w:rsidP="00162229">
      <w:pPr>
        <w:pStyle w:val="Testonotaapidipagina"/>
        <w:numPr>
          <w:ilvl w:val="0"/>
          <w:numId w:val="74"/>
        </w:numPr>
        <w:spacing w:before="120" w:after="0" w:line="240" w:lineRule="auto"/>
        <w:ind w:left="851" w:hanging="284"/>
        <w:rPr>
          <w:i/>
          <w:sz w:val="18"/>
          <w:szCs w:val="18"/>
        </w:rPr>
      </w:pPr>
      <w:r w:rsidRPr="000840F9">
        <w:rPr>
          <w:i/>
          <w:sz w:val="18"/>
          <w:szCs w:val="18"/>
        </w:rPr>
        <w:t xml:space="preserve">a trenta minuti per ogni corsa in servizio al pubblico interurbano il cui tempo di percorrenza tra i capolinea (o tra le fermate) di inizio e fine della corsa sia maggiore di duecento minuti; </w:t>
      </w:r>
    </w:p>
    <w:p w14:paraId="54AC2D61" w14:textId="77777777" w:rsidR="00162229" w:rsidRPr="000840F9" w:rsidRDefault="00162229" w:rsidP="00162229">
      <w:pPr>
        <w:pStyle w:val="Testonotaapidipagina"/>
        <w:numPr>
          <w:ilvl w:val="0"/>
          <w:numId w:val="74"/>
        </w:numPr>
        <w:spacing w:before="120" w:after="0" w:line="240" w:lineRule="auto"/>
        <w:ind w:left="851" w:hanging="284"/>
        <w:rPr>
          <w:sz w:val="18"/>
          <w:szCs w:val="18"/>
        </w:rPr>
      </w:pPr>
      <w:r w:rsidRPr="000840F9">
        <w:rPr>
          <w:i/>
          <w:sz w:val="18"/>
          <w:szCs w:val="18"/>
        </w:rPr>
        <w:t>al 15 per cento del tempo di percorrenza tra i capolinea (o tra le fermate) di inizio e fine corsa per ogni corsa in servizio al pubblico interurbano il cui tempo di percorrenza tra capolinea (o tra le fermate) di inizio e fine corsa sia al più duecento minuti;”</w:t>
      </w:r>
    </w:p>
  </w:footnote>
  <w:footnote w:id="43">
    <w:p w14:paraId="6C55C717" w14:textId="77777777" w:rsidR="00162229" w:rsidRDefault="00162229" w:rsidP="00162229">
      <w:pPr>
        <w:pStyle w:val="Testonotaapidipagina"/>
        <w:spacing w:before="120" w:after="0" w:line="240" w:lineRule="auto"/>
      </w:pPr>
      <w:r>
        <w:rPr>
          <w:rStyle w:val="Rimandonotaapidipagina"/>
        </w:rPr>
        <w:footnoteRef/>
      </w:r>
      <w:r>
        <w:t xml:space="preserve"> Sistema di qualificazione: </w:t>
      </w:r>
      <w:hyperlink r:id="rId11" w:history="1">
        <w:r w:rsidRPr="00D144FD">
          <w:rPr>
            <w:rStyle w:val="Collegamentoipertestuale"/>
          </w:rPr>
          <w:t>https://mtm.torino.it/wp-content/uploads/amministrazione-trasparente/bandi-gara-contratti/sistema-di-qualificazione-concessionari-tpl/sistema-di-qualificazione-normativa-3.00.pdf</w:t>
        </w:r>
      </w:hyperlink>
      <w:r>
        <w:t xml:space="preserve"> </w:t>
      </w:r>
    </w:p>
  </w:footnote>
  <w:footnote w:id="44">
    <w:p w14:paraId="31C3A9EE" w14:textId="77777777" w:rsidR="00162229" w:rsidRPr="00E73468" w:rsidRDefault="00162229" w:rsidP="00162229">
      <w:pPr>
        <w:pStyle w:val="Testonotaapidipagina"/>
        <w:spacing w:before="120" w:after="0" w:line="240" w:lineRule="auto"/>
        <w:rPr>
          <w:sz w:val="18"/>
          <w:szCs w:val="18"/>
        </w:rPr>
      </w:pPr>
      <w:r w:rsidRPr="00E73468">
        <w:rPr>
          <w:rStyle w:val="Rimandonotaapidipagina"/>
          <w:sz w:val="18"/>
          <w:szCs w:val="18"/>
        </w:rPr>
        <w:footnoteRef/>
      </w:r>
      <w:r w:rsidRPr="00E73468">
        <w:rPr>
          <w:sz w:val="18"/>
          <w:szCs w:val="18"/>
        </w:rPr>
        <w:t>L’offerta per partecipare alla gara dovrà prevedere i Piani Economico Finanziari ed il Piano di Mobilitazione ovvero il cronoprogramma di attività che consentirà all’impresa aggiudicataria di avviare il servizio avendo acquisto tutti i fattori di produzione necessari (autobus, depositi, personale) ed aver attivato i programmi di investimento richiesti in particolare per quanto riguarda la digitalizzazione del servizio.</w:t>
      </w:r>
    </w:p>
  </w:footnote>
  <w:footnote w:id="45">
    <w:p w14:paraId="3A5ACA94" w14:textId="77777777" w:rsidR="00162229" w:rsidRPr="00E73468" w:rsidRDefault="00162229" w:rsidP="00162229">
      <w:pPr>
        <w:pStyle w:val="Testonotaapidipagina"/>
        <w:spacing w:before="120" w:after="0" w:line="240" w:lineRule="auto"/>
        <w:rPr>
          <w:sz w:val="18"/>
          <w:szCs w:val="18"/>
        </w:rPr>
      </w:pPr>
      <w:r w:rsidRPr="00E73468">
        <w:rPr>
          <w:rStyle w:val="Rimandonotaapidipagina"/>
          <w:sz w:val="18"/>
          <w:szCs w:val="18"/>
        </w:rPr>
        <w:footnoteRef/>
      </w:r>
      <w:r w:rsidRPr="00E73468">
        <w:rPr>
          <w:sz w:val="18"/>
          <w:szCs w:val="18"/>
        </w:rPr>
        <w:t xml:space="preserve"> Nota protocollo 761 del 22/01/2025 consultabile sulla piattaforma AMPartecipa al seguente link </w:t>
      </w:r>
      <w:hyperlink r:id="rId12" w:history="1">
        <w:r w:rsidRPr="00E73468">
          <w:rPr>
            <w:rStyle w:val="Collegamentoipertestuale"/>
            <w:color w:val="auto"/>
            <w:sz w:val="18"/>
            <w:szCs w:val="18"/>
          </w:rPr>
          <w:t>https://ampartecipa.mtm.torino.it/processes/bacino-sud/f/43/posts/67</w:t>
        </w:r>
      </w:hyperlink>
      <w:r w:rsidRPr="00E73468">
        <w:rPr>
          <w:sz w:val="18"/>
          <w:szCs w:val="18"/>
        </w:rPr>
        <w:t xml:space="preserve"> </w:t>
      </w:r>
    </w:p>
  </w:footnote>
  <w:footnote w:id="46">
    <w:p w14:paraId="481A75AB" w14:textId="77777777" w:rsidR="00162229" w:rsidRPr="00E73468" w:rsidRDefault="00162229" w:rsidP="00162229">
      <w:pPr>
        <w:pStyle w:val="Testonotaapidipagina"/>
        <w:spacing w:before="120" w:after="0" w:line="240" w:lineRule="auto"/>
        <w:rPr>
          <w:sz w:val="18"/>
          <w:szCs w:val="18"/>
        </w:rPr>
      </w:pPr>
      <w:r w:rsidRPr="00E73468">
        <w:rPr>
          <w:rStyle w:val="Rimandonotaapidipagina"/>
          <w:sz w:val="18"/>
          <w:szCs w:val="18"/>
        </w:rPr>
        <w:footnoteRef/>
      </w:r>
      <w:r w:rsidRPr="00E73468">
        <w:rPr>
          <w:sz w:val="18"/>
          <w:szCs w:val="18"/>
        </w:rPr>
        <w:t xml:space="preserve"> Il termine incumbent si riferisce alle aziende ed agli operatori già presenti e consolidati nello specifico settore ed ambito territoriale.</w:t>
      </w:r>
    </w:p>
  </w:footnote>
  <w:footnote w:id="47">
    <w:p w14:paraId="3A20FC29" w14:textId="77777777" w:rsidR="00162229" w:rsidRPr="009457CB" w:rsidRDefault="00162229" w:rsidP="00162229">
      <w:pPr>
        <w:pStyle w:val="Testonotaapidipagina"/>
        <w:spacing w:before="120" w:after="0" w:line="240" w:lineRule="auto"/>
        <w:rPr>
          <w:sz w:val="18"/>
          <w:szCs w:val="18"/>
        </w:rPr>
      </w:pPr>
      <w:r w:rsidRPr="009457CB">
        <w:rPr>
          <w:rStyle w:val="Rimandonotaapidipagina"/>
          <w:sz w:val="18"/>
          <w:szCs w:val="18"/>
        </w:rPr>
        <w:footnoteRef/>
      </w:r>
      <w:r w:rsidRPr="009457CB">
        <w:rPr>
          <w:sz w:val="18"/>
          <w:szCs w:val="18"/>
        </w:rPr>
        <w:t xml:space="preserve"> L'analisi SWOT è uno strumento strategico utilizzato per valutare i punti di forza (Strengths), i punti di debolezza (Weaknesses), le opportunità (Opportunities) e le minacce (Threats) di un'organizzazione o di un progetto. Questa analisi aiuta a identificare le aree su cui costruire, quelle da migliorare, le opportunità da sfruttare e i rischi da mitigare, facilitando la pianificazione strategica e decisionale.</w:t>
      </w:r>
    </w:p>
  </w:footnote>
  <w:footnote w:id="48">
    <w:p w14:paraId="1E767EF9" w14:textId="77777777" w:rsidR="00162229" w:rsidRPr="00E73468" w:rsidRDefault="00162229" w:rsidP="00162229">
      <w:pPr>
        <w:pStyle w:val="Testonotaapidipagina"/>
        <w:spacing w:before="120" w:after="0" w:line="240" w:lineRule="auto"/>
        <w:rPr>
          <w:sz w:val="18"/>
          <w:szCs w:val="18"/>
        </w:rPr>
      </w:pPr>
      <w:r w:rsidRPr="00E73468">
        <w:rPr>
          <w:rStyle w:val="Rimandonotaapidipagina"/>
          <w:sz w:val="18"/>
          <w:szCs w:val="18"/>
        </w:rPr>
        <w:footnoteRef/>
      </w:r>
      <w:r w:rsidRPr="00E73468">
        <w:rPr>
          <w:sz w:val="18"/>
          <w:szCs w:val="18"/>
        </w:rPr>
        <w:t xml:space="preserve"> Unione Montana dei Comuni del Monviso </w:t>
      </w:r>
      <w:hyperlink r:id="rId13" w:history="1">
        <w:r w:rsidRPr="00E73468">
          <w:rPr>
            <w:rStyle w:val="Collegamentoipertestuale"/>
            <w:color w:val="auto"/>
            <w:sz w:val="18"/>
            <w:szCs w:val="18"/>
          </w:rPr>
          <w:t>https://ampartecipa.mtm.torino.it/processes/bacino-sud/f/43/posts/52</w:t>
        </w:r>
      </w:hyperlink>
      <w:r w:rsidRPr="00E73468">
        <w:rPr>
          <w:sz w:val="18"/>
          <w:szCs w:val="18"/>
        </w:rPr>
        <w:t xml:space="preserve">, </w:t>
      </w:r>
    </w:p>
    <w:p w14:paraId="42F1D446" w14:textId="77777777" w:rsidR="00162229" w:rsidRPr="00E73468" w:rsidRDefault="00162229" w:rsidP="00162229">
      <w:pPr>
        <w:pStyle w:val="Testonotaapidipagina"/>
        <w:spacing w:after="0" w:line="240" w:lineRule="auto"/>
        <w:rPr>
          <w:sz w:val="18"/>
          <w:szCs w:val="18"/>
        </w:rPr>
      </w:pPr>
      <w:r w:rsidRPr="00E73468">
        <w:rPr>
          <w:sz w:val="18"/>
          <w:szCs w:val="18"/>
        </w:rPr>
        <w:t xml:space="preserve">Unione Montana Val Maira </w:t>
      </w:r>
      <w:hyperlink r:id="rId14" w:history="1">
        <w:r w:rsidRPr="00E73468">
          <w:rPr>
            <w:rStyle w:val="Collegamentoipertestuale"/>
            <w:color w:val="auto"/>
            <w:sz w:val="18"/>
            <w:szCs w:val="18"/>
          </w:rPr>
          <w:t>https://ampartecipa.mtm.torino.it/processes/bacino-sud/f/43/posts/66</w:t>
        </w:r>
      </w:hyperlink>
      <w:r w:rsidRPr="00E73468">
        <w:rPr>
          <w:sz w:val="18"/>
          <w:szCs w:val="18"/>
        </w:rPr>
        <w:t xml:space="preserve">, </w:t>
      </w:r>
    </w:p>
    <w:p w14:paraId="526955A6" w14:textId="77777777" w:rsidR="00162229" w:rsidRPr="00E73468" w:rsidRDefault="00162229" w:rsidP="00162229">
      <w:pPr>
        <w:pStyle w:val="Testonotaapidipagina"/>
        <w:spacing w:after="0" w:line="240" w:lineRule="auto"/>
        <w:rPr>
          <w:sz w:val="18"/>
          <w:szCs w:val="18"/>
        </w:rPr>
      </w:pPr>
      <w:r w:rsidRPr="00E73468">
        <w:rPr>
          <w:sz w:val="18"/>
          <w:szCs w:val="18"/>
        </w:rPr>
        <w:t xml:space="preserve">Unione Montana Val Grana </w:t>
      </w:r>
      <w:hyperlink r:id="rId15" w:history="1">
        <w:r w:rsidRPr="00E73468">
          <w:rPr>
            <w:rStyle w:val="Collegamentoipertestuale"/>
            <w:color w:val="auto"/>
            <w:sz w:val="18"/>
            <w:szCs w:val="18"/>
          </w:rPr>
          <w:t>https://ampartecipa.mtm.torino.it/processes/bacino-sud/f/43/posts/64</w:t>
        </w:r>
      </w:hyperlink>
      <w:r w:rsidRPr="00E73468">
        <w:rPr>
          <w:sz w:val="18"/>
          <w:szCs w:val="18"/>
        </w:rPr>
        <w:t xml:space="preserve"> ,</w:t>
      </w:r>
    </w:p>
    <w:p w14:paraId="2E07A170" w14:textId="77777777" w:rsidR="00162229" w:rsidRPr="00E73468" w:rsidRDefault="00162229" w:rsidP="00162229">
      <w:pPr>
        <w:pStyle w:val="Testonotaapidipagina"/>
        <w:spacing w:after="0" w:line="240" w:lineRule="auto"/>
        <w:rPr>
          <w:sz w:val="18"/>
          <w:szCs w:val="18"/>
        </w:rPr>
      </w:pPr>
      <w:r w:rsidRPr="00E73468">
        <w:rPr>
          <w:sz w:val="18"/>
          <w:szCs w:val="18"/>
        </w:rPr>
        <w:t xml:space="preserve">Unione Montana Alta Langa </w:t>
      </w:r>
      <w:hyperlink r:id="rId16" w:history="1">
        <w:r w:rsidRPr="00E73468">
          <w:rPr>
            <w:rStyle w:val="Collegamentoipertestuale"/>
            <w:color w:val="auto"/>
            <w:sz w:val="18"/>
            <w:szCs w:val="18"/>
          </w:rPr>
          <w:t>https://ampartecipa.mtm.torino.it/processes/bacino-sud/f/43/posts/30</w:t>
        </w:r>
      </w:hyperlink>
      <w:r w:rsidRPr="00E73468">
        <w:rPr>
          <w:sz w:val="18"/>
          <w:szCs w:val="18"/>
        </w:rPr>
        <w:t xml:space="preserve"> </w:t>
      </w:r>
    </w:p>
    <w:p w14:paraId="75C9213F" w14:textId="77777777" w:rsidR="00162229" w:rsidRPr="00E73468" w:rsidRDefault="00162229" w:rsidP="00162229">
      <w:pPr>
        <w:pStyle w:val="Testonotaapidipagina"/>
        <w:spacing w:after="0" w:line="240" w:lineRule="auto"/>
        <w:rPr>
          <w:sz w:val="18"/>
          <w:szCs w:val="18"/>
        </w:rPr>
      </w:pPr>
      <w:r w:rsidRPr="00E73468">
        <w:rPr>
          <w:sz w:val="18"/>
          <w:szCs w:val="18"/>
        </w:rPr>
        <w:t xml:space="preserve">Comune di Garessio </w:t>
      </w:r>
      <w:hyperlink r:id="rId17" w:history="1">
        <w:r w:rsidRPr="00E73468">
          <w:rPr>
            <w:rStyle w:val="Collegamentoipertestuale"/>
            <w:color w:val="auto"/>
            <w:sz w:val="18"/>
            <w:szCs w:val="18"/>
          </w:rPr>
          <w:t>https://ampartecipa.mtm.torino.it/processes/bacino-sud/f/43/posts/49</w:t>
        </w:r>
      </w:hyperlink>
      <w:r w:rsidRPr="00E73468">
        <w:rPr>
          <w:sz w:val="18"/>
          <w:szCs w:val="18"/>
        </w:rPr>
        <w:t xml:space="preserve"> </w:t>
      </w:r>
    </w:p>
  </w:footnote>
  <w:footnote w:id="49">
    <w:p w14:paraId="400D6CBE" w14:textId="77777777" w:rsidR="00162229" w:rsidRPr="00853145" w:rsidRDefault="00162229" w:rsidP="00162229">
      <w:pPr>
        <w:pStyle w:val="norm"/>
        <w:shd w:val="clear" w:color="auto" w:fill="FFFFFF"/>
        <w:spacing w:before="120" w:beforeAutospacing="0" w:after="0" w:afterAutospacing="0"/>
        <w:jc w:val="both"/>
        <w:rPr>
          <w:rFonts w:asciiTheme="minorHAnsi" w:hAnsiTheme="minorHAnsi" w:cstheme="minorHAnsi"/>
          <w:color w:val="000000"/>
          <w:sz w:val="20"/>
          <w:szCs w:val="20"/>
        </w:rPr>
      </w:pPr>
      <w:r w:rsidRPr="00853145">
        <w:rPr>
          <w:rStyle w:val="Rimandonotaapidipagina"/>
          <w:rFonts w:asciiTheme="minorHAnsi" w:hAnsiTheme="minorHAnsi" w:cstheme="minorHAnsi"/>
          <w:sz w:val="20"/>
          <w:szCs w:val="20"/>
        </w:rPr>
        <w:footnoteRef/>
      </w:r>
      <w:r w:rsidRPr="00853145">
        <w:rPr>
          <w:rFonts w:asciiTheme="minorHAnsi" w:hAnsiTheme="minorHAnsi" w:cstheme="minorHAnsi"/>
          <w:sz w:val="20"/>
          <w:szCs w:val="20"/>
        </w:rPr>
        <w:t xml:space="preserve"> </w:t>
      </w:r>
      <w:r w:rsidRPr="00853145">
        <w:rPr>
          <w:rFonts w:asciiTheme="minorHAnsi" w:hAnsiTheme="minorHAnsi" w:cstheme="minorHAnsi"/>
          <w:color w:val="000000"/>
          <w:sz w:val="20"/>
          <w:szCs w:val="20"/>
        </w:rPr>
        <w:t>Art. 5 paragrafo 4 Reg. CE 1370/2007 “A meno che non sia vietato dalla legislazione nazionale, l'autorità competente ha facoltà di aggiudicare direttamente i contratti di servizio pubblico:</w:t>
      </w:r>
    </w:p>
    <w:p w14:paraId="5E117C6E" w14:textId="77777777" w:rsidR="00162229" w:rsidRPr="00853145" w:rsidRDefault="00162229" w:rsidP="00162229">
      <w:pPr>
        <w:pStyle w:val="norm"/>
        <w:shd w:val="clear" w:color="auto" w:fill="FFFFFF"/>
        <w:spacing w:before="120" w:beforeAutospacing="0" w:after="0" w:afterAutospacing="0"/>
        <w:jc w:val="both"/>
        <w:rPr>
          <w:rFonts w:asciiTheme="minorHAnsi" w:hAnsiTheme="minorHAnsi" w:cstheme="minorHAnsi"/>
          <w:color w:val="000000"/>
          <w:sz w:val="20"/>
          <w:szCs w:val="20"/>
        </w:rPr>
      </w:pPr>
      <w:r w:rsidRPr="00853145">
        <w:rPr>
          <w:rFonts w:asciiTheme="minorHAnsi" w:hAnsiTheme="minorHAnsi" w:cstheme="minorHAnsi"/>
          <w:color w:val="000000"/>
          <w:sz w:val="20"/>
          <w:szCs w:val="20"/>
        </w:rPr>
        <w:t>a) il cui valore annuo medio stimato è inferiore a 1 000 000 EUR o, nel caso di contratto di servizio pubblico che include servizi di trasporto pubblico ferroviario di passeggeri, inferiore a 7 500 000 EUR; oppure</w:t>
      </w:r>
    </w:p>
    <w:p w14:paraId="5FDF65C5" w14:textId="77777777" w:rsidR="00162229" w:rsidRPr="00853145" w:rsidRDefault="00162229" w:rsidP="00162229">
      <w:pPr>
        <w:pStyle w:val="norm"/>
        <w:shd w:val="clear" w:color="auto" w:fill="FFFFFF"/>
        <w:spacing w:before="120" w:beforeAutospacing="0" w:after="0" w:afterAutospacing="0"/>
        <w:jc w:val="both"/>
        <w:rPr>
          <w:rFonts w:asciiTheme="minorHAnsi" w:hAnsiTheme="minorHAnsi" w:cstheme="minorHAnsi"/>
          <w:color w:val="000000"/>
          <w:sz w:val="20"/>
          <w:szCs w:val="20"/>
        </w:rPr>
      </w:pPr>
      <w:r w:rsidRPr="00853145">
        <w:rPr>
          <w:rFonts w:asciiTheme="minorHAnsi" w:hAnsiTheme="minorHAnsi" w:cstheme="minorHAnsi"/>
          <w:color w:val="000000"/>
          <w:sz w:val="20"/>
          <w:szCs w:val="20"/>
        </w:rPr>
        <w:t>b) che riguardano la prestazione di servizi di trasporto pubblico di passeggeri inferiore a 300 000 chilometri l'anno o, nel caso di contratto di servizio pubblico che include servizi di trasporto pubblico di passeggeri ferroviario, inferiore a 500 000 chilometri l'anno.</w:t>
      </w:r>
    </w:p>
    <w:p w14:paraId="1850204B" w14:textId="77777777" w:rsidR="00162229" w:rsidRPr="00853145" w:rsidRDefault="00162229" w:rsidP="00162229">
      <w:pPr>
        <w:pStyle w:val="norm"/>
        <w:shd w:val="clear" w:color="auto" w:fill="FFFFFF"/>
        <w:spacing w:before="120" w:beforeAutospacing="0" w:after="0" w:afterAutospacing="0"/>
        <w:jc w:val="both"/>
        <w:rPr>
          <w:rFonts w:asciiTheme="minorHAnsi" w:hAnsiTheme="minorHAnsi" w:cstheme="minorHAnsi"/>
          <w:sz w:val="20"/>
          <w:szCs w:val="20"/>
        </w:rPr>
      </w:pPr>
      <w:r w:rsidRPr="00853145">
        <w:rPr>
          <w:rFonts w:asciiTheme="minorHAnsi" w:hAnsiTheme="minorHAnsi" w:cstheme="minorHAnsi"/>
          <w:color w:val="000000"/>
          <w:sz w:val="20"/>
          <w:szCs w:val="20"/>
        </w:rPr>
        <w:t>Qualora un contratto di servizio pubblico sia aggiudicato direttamente a una piccola o media impresa che ha in esercizio non più di 23 veicoli stradali, dette soglie possono essere aumentate a un valore annuo medio stimato inferiore a 2 000 000 EUR oppure alla prestazione di servizi di trasporto pubblico di passeggeri inferiore a 600 000 chilometri l'anno.”</w:t>
      </w:r>
    </w:p>
  </w:footnote>
  <w:footnote w:id="50">
    <w:p w14:paraId="54F39C09" w14:textId="77777777" w:rsidR="00162229" w:rsidRPr="00A1366D" w:rsidRDefault="00162229" w:rsidP="00162229">
      <w:pPr>
        <w:pStyle w:val="Testonotaapidipagina"/>
        <w:spacing w:after="0" w:line="240" w:lineRule="auto"/>
        <w:rPr>
          <w:sz w:val="18"/>
          <w:szCs w:val="18"/>
        </w:rPr>
      </w:pPr>
      <w:r w:rsidRPr="00A1366D">
        <w:rPr>
          <w:rStyle w:val="Rimandonotaapidipagina"/>
          <w:sz w:val="18"/>
          <w:szCs w:val="18"/>
        </w:rPr>
        <w:footnoteRef/>
      </w:r>
      <w:r w:rsidRPr="00A1366D">
        <w:rPr>
          <w:sz w:val="18"/>
          <w:szCs w:val="18"/>
        </w:rPr>
        <w:t xml:space="preserve"> DM 157/2018 art. 1 comma 5. “</w:t>
      </w:r>
      <w:r w:rsidRPr="00A1366D">
        <w:rPr>
          <w:i/>
          <w:sz w:val="18"/>
          <w:szCs w:val="18"/>
        </w:rPr>
        <w:t>I costi standard determinati in applicazione del decreto del Ministero delle infrastrutture e dei trasporti di cui all'articolo l, comma 84, della legge 27 dicembre 2013, n. 147, e gli indicatori programmatori ivi definiti con criteri di efficienza ed economicità sono utilizzati dagli enti che affidano i servizi di trasporto pubblico locale e regionale come elemento di riferimento per la quantificazione delle compensazioni economiche e dei corrispettivi da porre a base d’asta, determinati ai sensi dell'articolo 17 del decreto legislativo 19 novembre 1997, n. 422, e delle normative europee sugli obblighi di servizio pubblico, con le eventuali integrazioni che tengano conto della specificità del servizio e degli obiettivi degli enti locali in termini di programmazione dei servizi e di promozione dell'efficienza del settore. Tali specificità si riferiscono prioritariamente: a) ai servizi con la modalità di trasporto autolinea svolti nelle aree a domanda debole e ad elevato campo di variazione varianza altimetrica; b) ai servizi ferroviari caratterizzati da particolari modalità di esercizio; c) ai servizi ulteriori, in relazione a specifici livelli di qualità e caratteristiche tecnologiche e di alimentazione anche del materiale rotabile, richiesti nei contratti di servizio dagli enti affidanti; d) ulteriori peculiarità caratterizzanti i territori in cui i servizi sono offerti e la relativa domanda. Inoltre, nelle more delle determinazioni di competenza dell'Autorità di Regolazione dei Trasporti, il costo medio ponderato del capitale (WACC), applicato nell'ambito degli affidamenti diretti, può essere determinato in misura inferiore rispetto a quanto stabilito nell'articolo 5, comma 2, del presente decreto sulla base delle offerte degli operatori.</w:t>
      </w:r>
      <w:r w:rsidRPr="00A1366D">
        <w:rPr>
          <w:sz w:val="18"/>
          <w:szCs w:val="18"/>
        </w:rPr>
        <w:t>”</w:t>
      </w:r>
    </w:p>
  </w:footnote>
  <w:footnote w:id="51">
    <w:p w14:paraId="20B5E75A" w14:textId="77777777" w:rsidR="00162229" w:rsidRPr="00E73468" w:rsidRDefault="00162229" w:rsidP="00162229">
      <w:pPr>
        <w:spacing w:before="120" w:after="0" w:line="240" w:lineRule="auto"/>
        <w:rPr>
          <w:sz w:val="18"/>
          <w:szCs w:val="18"/>
        </w:rPr>
      </w:pPr>
      <w:r w:rsidRPr="00E73468">
        <w:rPr>
          <w:rStyle w:val="Rimandonotaapidipagina"/>
          <w:color w:val="0070C0"/>
          <w:sz w:val="18"/>
          <w:szCs w:val="18"/>
        </w:rPr>
        <w:footnoteRef/>
      </w:r>
      <w:r w:rsidRPr="00E73468">
        <w:rPr>
          <w:color w:val="0070C0"/>
          <w:sz w:val="18"/>
          <w:szCs w:val="18"/>
        </w:rPr>
        <w:t xml:space="preserve"> </w:t>
      </w:r>
      <w:r w:rsidRPr="000D4746">
        <w:rPr>
          <w:sz w:val="18"/>
          <w:szCs w:val="18"/>
        </w:rPr>
        <w:t xml:space="preserve">Misura 6 delibera ART n: 48/2017 – “…… </w:t>
      </w:r>
      <w:r w:rsidRPr="000D4746">
        <w:rPr>
          <w:i/>
          <w:iCs/>
          <w:sz w:val="18"/>
          <w:szCs w:val="18"/>
        </w:rPr>
        <w:t>Allo stesso, nel caso in cui vengano presentate un’unica offerta o manifestazione di interesse valide, il bando o la lettera di invito prevedono che il soggetto competente rivaluti in autotutela la scelta in merito alla definizione dei lotti. In tali ipotesi, l’eventuale esercizio dei poteri in autotutela può avere luogo entro e non oltre l’apertura delle offerte</w:t>
      </w:r>
      <w:r w:rsidRPr="000D4746">
        <w:rPr>
          <w:sz w:val="18"/>
          <w:szCs w:val="18"/>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9B245E" w14:paraId="42E0CAE6" w14:textId="77777777" w:rsidTr="3BCD5E71">
      <w:trPr>
        <w:trHeight w:val="300"/>
      </w:trPr>
      <w:tc>
        <w:tcPr>
          <w:tcW w:w="3020" w:type="dxa"/>
        </w:tcPr>
        <w:p w14:paraId="29C2102D" w14:textId="72BEE933" w:rsidR="009B245E" w:rsidRDefault="009B245E" w:rsidP="3BCD5E71">
          <w:pPr>
            <w:pStyle w:val="Intestazione"/>
            <w:ind w:left="-115"/>
            <w:jc w:val="left"/>
          </w:pPr>
        </w:p>
      </w:tc>
      <w:tc>
        <w:tcPr>
          <w:tcW w:w="3020" w:type="dxa"/>
        </w:tcPr>
        <w:p w14:paraId="618E59D0" w14:textId="61E1A853" w:rsidR="009B245E" w:rsidRDefault="009B245E" w:rsidP="3BCD5E71">
          <w:pPr>
            <w:pStyle w:val="Intestazione"/>
            <w:jc w:val="center"/>
          </w:pPr>
        </w:p>
      </w:tc>
      <w:tc>
        <w:tcPr>
          <w:tcW w:w="3020" w:type="dxa"/>
        </w:tcPr>
        <w:p w14:paraId="73EDBC3D" w14:textId="2B8B38AA" w:rsidR="009B245E" w:rsidRDefault="009B245E" w:rsidP="3BCD5E71">
          <w:pPr>
            <w:pStyle w:val="Intestazione"/>
            <w:ind w:right="-115"/>
            <w:jc w:val="right"/>
          </w:pPr>
        </w:p>
      </w:tc>
    </w:tr>
  </w:tbl>
  <w:p w14:paraId="56527748" w14:textId="74C4DAF6" w:rsidR="009B245E" w:rsidRDefault="009B245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B22B6" w14:textId="58F09192" w:rsidR="004E445F" w:rsidRDefault="004E445F" w:rsidP="004E445F">
    <w:pPr>
      <w:pStyle w:val="Intestazione"/>
      <w:pBdr>
        <w:bottom w:val="single" w:sz="6" w:space="1" w:color="A5C34C" w:themeColor="accent6" w:themeShade="BF"/>
      </w:pBdr>
    </w:pPr>
    <w:r w:rsidRPr="00DB7262">
      <w:rPr>
        <w:noProof/>
        <w:color w:val="A5C34C" w:themeColor="accent6" w:themeShade="BF"/>
      </w:rPr>
      <w:drawing>
        <wp:inline distT="0" distB="0" distL="0" distR="0" wp14:anchorId="37A60BB3" wp14:editId="781BAE09">
          <wp:extent cx="1068705" cy="474980"/>
          <wp:effectExtent l="0" t="0" r="0" b="1270"/>
          <wp:docPr id="1823042216" name="Immagine 1823042216"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t xml:space="preserve"> </w:t>
    </w:r>
    <w:r>
      <w:tab/>
    </w:r>
    <w:r>
      <w:tab/>
    </w:r>
    <w:r w:rsidRPr="00C41A8C">
      <w:rPr>
        <w:color w:val="003366"/>
      </w:rPr>
      <w:t>Relazione sui lotti di gara - Bacino Sud Est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3C307" w14:textId="002A8BD2" w:rsidR="00C42A5A" w:rsidRPr="00C41A8C" w:rsidRDefault="00C42A5A" w:rsidP="003B7E88">
    <w:pPr>
      <w:pStyle w:val="Intestazione"/>
      <w:pBdr>
        <w:bottom w:val="single" w:sz="6" w:space="1" w:color="A5C34C" w:themeColor="accent6" w:themeShade="BF"/>
      </w:pBdr>
    </w:pPr>
    <w:r w:rsidRPr="00DB7262">
      <w:rPr>
        <w:noProof/>
        <w:color w:val="A5C34C" w:themeColor="accent6" w:themeShade="BF"/>
      </w:rPr>
      <w:drawing>
        <wp:inline distT="0" distB="0" distL="0" distR="0" wp14:anchorId="262B02E7" wp14:editId="5B1B2CA9">
          <wp:extent cx="1068705" cy="474980"/>
          <wp:effectExtent l="0" t="0" r="0" b="1270"/>
          <wp:docPr id="1423123589" name="Immagine 1423123589"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t xml:space="preserve"> </w:t>
    </w:r>
    <w:r>
      <w:tab/>
    </w:r>
    <w:r>
      <w:tab/>
    </w:r>
    <w:r w:rsidRPr="00C41A8C">
      <w:rPr>
        <w:color w:val="003366"/>
      </w:rPr>
      <w:t>Relazione sui lotti di gara - Bacino Sud Est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C42A5A" w14:paraId="2E5B493B" w14:textId="77777777" w:rsidTr="3BCD5E71">
      <w:trPr>
        <w:trHeight w:val="300"/>
      </w:trPr>
      <w:tc>
        <w:tcPr>
          <w:tcW w:w="3020" w:type="dxa"/>
        </w:tcPr>
        <w:p w14:paraId="7010EDDD" w14:textId="77777777" w:rsidR="00C42A5A" w:rsidRDefault="00C42A5A" w:rsidP="3BCD5E71">
          <w:pPr>
            <w:pStyle w:val="Intestazione"/>
            <w:ind w:left="-115"/>
            <w:jc w:val="left"/>
          </w:pPr>
        </w:p>
      </w:tc>
      <w:tc>
        <w:tcPr>
          <w:tcW w:w="3020" w:type="dxa"/>
        </w:tcPr>
        <w:p w14:paraId="54823324" w14:textId="77777777" w:rsidR="00C42A5A" w:rsidRDefault="00C42A5A" w:rsidP="3BCD5E71">
          <w:pPr>
            <w:pStyle w:val="Intestazione"/>
            <w:jc w:val="center"/>
          </w:pPr>
        </w:p>
      </w:tc>
      <w:tc>
        <w:tcPr>
          <w:tcW w:w="3020" w:type="dxa"/>
        </w:tcPr>
        <w:p w14:paraId="21F0CFA9" w14:textId="77777777" w:rsidR="00C42A5A" w:rsidRDefault="00C42A5A" w:rsidP="3BCD5E71">
          <w:pPr>
            <w:pStyle w:val="Intestazione"/>
            <w:ind w:right="-115"/>
            <w:jc w:val="right"/>
          </w:pPr>
        </w:p>
      </w:tc>
    </w:tr>
  </w:tbl>
  <w:p w14:paraId="7F15372B" w14:textId="77777777" w:rsidR="00C42A5A" w:rsidRDefault="00C42A5A">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443B2" w14:textId="3D0E07C0" w:rsidR="00691FEF" w:rsidRPr="00C41A8C" w:rsidRDefault="00691FEF" w:rsidP="00691FEF">
    <w:pPr>
      <w:pStyle w:val="Intestazione"/>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0E924C"/>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54DE6404"/>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1FB02812"/>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5B461CD2"/>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B26AFA10"/>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D4C21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4CFB3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6C7F00"/>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6914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1220B33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C"/>
    <w:multiLevelType w:val="singleLevel"/>
    <w:tmpl w:val="0000000C"/>
    <w:name w:val="WW8Num18"/>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10"/>
    <w:multiLevelType w:val="singleLevel"/>
    <w:tmpl w:val="00000010"/>
    <w:name w:val="WW8Num42"/>
    <w:lvl w:ilvl="0">
      <w:start w:val="1"/>
      <w:numFmt w:val="bullet"/>
      <w:lvlText w:val=""/>
      <w:lvlJc w:val="left"/>
      <w:pPr>
        <w:tabs>
          <w:tab w:val="num" w:pos="720"/>
        </w:tabs>
        <w:ind w:left="720" w:hanging="360"/>
      </w:pPr>
      <w:rPr>
        <w:rFonts w:ascii="Symbol" w:hAnsi="Symbol" w:cs="Symbol"/>
        <w:szCs w:val="22"/>
      </w:rPr>
    </w:lvl>
  </w:abstractNum>
  <w:abstractNum w:abstractNumId="12" w15:restartNumberingAfterBreak="0">
    <w:nsid w:val="00000011"/>
    <w:multiLevelType w:val="singleLevel"/>
    <w:tmpl w:val="00000011"/>
    <w:name w:val="WW8Num44"/>
    <w:lvl w:ilvl="0">
      <w:start w:val="1"/>
      <w:numFmt w:val="bullet"/>
      <w:lvlText w:val=""/>
      <w:lvlJc w:val="left"/>
      <w:pPr>
        <w:tabs>
          <w:tab w:val="num" w:pos="720"/>
        </w:tabs>
        <w:ind w:left="720" w:hanging="360"/>
      </w:pPr>
      <w:rPr>
        <w:rFonts w:ascii="Symbol" w:hAnsi="Symbol" w:cs="Symbol"/>
        <w:sz w:val="20"/>
        <w:szCs w:val="22"/>
      </w:rPr>
    </w:lvl>
  </w:abstractNum>
  <w:abstractNum w:abstractNumId="13" w15:restartNumberingAfterBreak="0">
    <w:nsid w:val="00000014"/>
    <w:multiLevelType w:val="singleLevel"/>
    <w:tmpl w:val="00000014"/>
    <w:name w:val="WW8Num49"/>
    <w:lvl w:ilvl="0">
      <w:start w:val="1"/>
      <w:numFmt w:val="bullet"/>
      <w:lvlText w:val=""/>
      <w:lvlJc w:val="left"/>
      <w:pPr>
        <w:tabs>
          <w:tab w:val="num" w:pos="1417"/>
        </w:tabs>
        <w:ind w:left="1417" w:hanging="360"/>
      </w:pPr>
      <w:rPr>
        <w:rFonts w:ascii="Symbol" w:hAnsi="Symbol" w:cs="Symbol"/>
      </w:rPr>
    </w:lvl>
  </w:abstractNum>
  <w:abstractNum w:abstractNumId="14" w15:restartNumberingAfterBreak="0">
    <w:nsid w:val="00000015"/>
    <w:multiLevelType w:val="singleLevel"/>
    <w:tmpl w:val="00000015"/>
    <w:name w:val="WW8Num51"/>
    <w:lvl w:ilvl="0">
      <w:start w:val="1"/>
      <w:numFmt w:val="bullet"/>
      <w:lvlText w:val=""/>
      <w:lvlJc w:val="left"/>
      <w:pPr>
        <w:tabs>
          <w:tab w:val="num" w:pos="720"/>
        </w:tabs>
        <w:ind w:left="720" w:hanging="360"/>
      </w:pPr>
      <w:rPr>
        <w:rFonts w:ascii="Symbol" w:hAnsi="Symbol" w:cs="Symbol"/>
        <w:szCs w:val="22"/>
      </w:rPr>
    </w:lvl>
  </w:abstractNum>
  <w:abstractNum w:abstractNumId="15" w15:restartNumberingAfterBreak="0">
    <w:nsid w:val="00000016"/>
    <w:multiLevelType w:val="singleLevel"/>
    <w:tmpl w:val="00000016"/>
    <w:name w:val="WW8Num54"/>
    <w:lvl w:ilvl="0">
      <w:start w:val="1"/>
      <w:numFmt w:val="bullet"/>
      <w:lvlText w:val="-"/>
      <w:lvlJc w:val="left"/>
      <w:pPr>
        <w:tabs>
          <w:tab w:val="num" w:pos="720"/>
        </w:tabs>
        <w:ind w:left="720" w:hanging="360"/>
      </w:pPr>
      <w:rPr>
        <w:rFonts w:ascii="Calibri" w:hAnsi="Calibri" w:cs="Calibri"/>
        <w:szCs w:val="22"/>
        <w:highlight w:val="white"/>
      </w:rPr>
    </w:lvl>
  </w:abstractNum>
  <w:abstractNum w:abstractNumId="16" w15:restartNumberingAfterBreak="0">
    <w:nsid w:val="0000002B"/>
    <w:multiLevelType w:val="singleLevel"/>
    <w:tmpl w:val="0000002B"/>
    <w:name w:val="WW8Num45"/>
    <w:lvl w:ilvl="0">
      <w:start w:val="1"/>
      <w:numFmt w:val="bullet"/>
      <w:lvlText w:val=""/>
      <w:lvlJc w:val="left"/>
      <w:pPr>
        <w:tabs>
          <w:tab w:val="num" w:pos="360"/>
        </w:tabs>
        <w:ind w:left="360" w:hanging="360"/>
      </w:pPr>
      <w:rPr>
        <w:rFonts w:ascii="Symbol" w:hAnsi="Symbol" w:cs="Symbol"/>
      </w:rPr>
    </w:lvl>
  </w:abstractNum>
  <w:abstractNum w:abstractNumId="17" w15:restartNumberingAfterBreak="0">
    <w:nsid w:val="0000002F"/>
    <w:multiLevelType w:val="singleLevel"/>
    <w:tmpl w:val="0000002F"/>
    <w:name w:val="WW8Num58"/>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32"/>
    <w:multiLevelType w:val="singleLevel"/>
    <w:tmpl w:val="00000032"/>
    <w:name w:val="WW8Num61"/>
    <w:lvl w:ilvl="0">
      <w:start w:val="1"/>
      <w:numFmt w:val="bullet"/>
      <w:lvlText w:val=""/>
      <w:lvlJc w:val="left"/>
      <w:pPr>
        <w:tabs>
          <w:tab w:val="num" w:pos="720"/>
        </w:tabs>
        <w:ind w:left="720" w:hanging="360"/>
      </w:pPr>
      <w:rPr>
        <w:rFonts w:ascii="Symbol" w:hAnsi="Symbol"/>
      </w:rPr>
    </w:lvl>
  </w:abstractNum>
  <w:abstractNum w:abstractNumId="19" w15:restartNumberingAfterBreak="0">
    <w:nsid w:val="00451400"/>
    <w:multiLevelType w:val="hybridMultilevel"/>
    <w:tmpl w:val="F860FF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037A02E4"/>
    <w:multiLevelType w:val="multilevel"/>
    <w:tmpl w:val="7BD29D44"/>
    <w:lvl w:ilvl="0">
      <w:numFmt w:val="decimal"/>
      <w:pStyle w:val="Titolo1"/>
      <w:lvlText w:val="%1"/>
      <w:lvlJc w:val="left"/>
      <w:pPr>
        <w:ind w:left="432" w:hanging="432"/>
      </w:pPr>
      <w:rPr>
        <w:rFonts w:hint="default"/>
      </w:rPr>
    </w:lvl>
    <w:lvl w:ilvl="1">
      <w:start w:val="1"/>
      <w:numFmt w:val="decimal"/>
      <w:pStyle w:val="Titolo2"/>
      <w:lvlText w:val="%1.%2"/>
      <w:lvlJc w:val="left"/>
      <w:pPr>
        <w:ind w:left="8089" w:hanging="576"/>
      </w:pPr>
      <w:rPr>
        <w:rFonts w:hint="default"/>
      </w:rPr>
    </w:lvl>
    <w:lvl w:ilvl="2">
      <w:start w:val="1"/>
      <w:numFmt w:val="decimal"/>
      <w:pStyle w:val="Titolo3"/>
      <w:lvlText w:val="%1.%2.%3"/>
      <w:lvlJc w:val="left"/>
      <w:pPr>
        <w:ind w:left="9226"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1" w15:restartNumberingAfterBreak="0">
    <w:nsid w:val="040570A3"/>
    <w:multiLevelType w:val="hybridMultilevel"/>
    <w:tmpl w:val="F376871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2" w15:restartNumberingAfterBreak="0">
    <w:nsid w:val="0666390E"/>
    <w:multiLevelType w:val="multilevel"/>
    <w:tmpl w:val="244C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200260"/>
    <w:multiLevelType w:val="hybridMultilevel"/>
    <w:tmpl w:val="8614520E"/>
    <w:lvl w:ilvl="0" w:tplc="781A1946">
      <w:start w:val="1"/>
      <w:numFmt w:val="bullet"/>
      <w:pStyle w:val="03ELENCO"/>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81369A3"/>
    <w:multiLevelType w:val="hybridMultilevel"/>
    <w:tmpl w:val="D88AD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08765266"/>
    <w:multiLevelType w:val="hybridMultilevel"/>
    <w:tmpl w:val="A39C2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8DD3955"/>
    <w:multiLevelType w:val="hybridMultilevel"/>
    <w:tmpl w:val="6AA6C8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0B99303E"/>
    <w:multiLevelType w:val="hybridMultilevel"/>
    <w:tmpl w:val="F6CEE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0BE73BDC"/>
    <w:multiLevelType w:val="hybridMultilevel"/>
    <w:tmpl w:val="321A9A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0CD03E2B"/>
    <w:multiLevelType w:val="hybridMultilevel"/>
    <w:tmpl w:val="7FD69D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0CF9622C"/>
    <w:multiLevelType w:val="multilevel"/>
    <w:tmpl w:val="E06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D047B19"/>
    <w:multiLevelType w:val="hybridMultilevel"/>
    <w:tmpl w:val="25EE9B98"/>
    <w:lvl w:ilvl="0" w:tplc="9E8022F2">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131136DA"/>
    <w:multiLevelType w:val="hybridMultilevel"/>
    <w:tmpl w:val="0D360D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13E86E96"/>
    <w:multiLevelType w:val="hybridMultilevel"/>
    <w:tmpl w:val="95288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45E07BB"/>
    <w:multiLevelType w:val="hybridMultilevel"/>
    <w:tmpl w:val="69066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68E6EBA"/>
    <w:multiLevelType w:val="hybridMultilevel"/>
    <w:tmpl w:val="2A3480DA"/>
    <w:lvl w:ilvl="0" w:tplc="04100001">
      <w:start w:val="1"/>
      <w:numFmt w:val="bullet"/>
      <w:pStyle w:val="StileTitolo1TimesNewRoman13ptGiustificatoprima0p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6BB3A9D"/>
    <w:multiLevelType w:val="hybridMultilevel"/>
    <w:tmpl w:val="C6A07F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16D76F23"/>
    <w:multiLevelType w:val="hybridMultilevel"/>
    <w:tmpl w:val="E25A2E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9225806"/>
    <w:multiLevelType w:val="hybridMultilevel"/>
    <w:tmpl w:val="44BC50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9371AFB"/>
    <w:multiLevelType w:val="hybridMultilevel"/>
    <w:tmpl w:val="A740AF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1C134218"/>
    <w:multiLevelType w:val="hybridMultilevel"/>
    <w:tmpl w:val="84649918"/>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1CFA59FB"/>
    <w:multiLevelType w:val="hybridMultilevel"/>
    <w:tmpl w:val="549E9A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1D0F767C"/>
    <w:multiLevelType w:val="hybridMultilevel"/>
    <w:tmpl w:val="AB2072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1E6A77A5"/>
    <w:multiLevelType w:val="hybridMultilevel"/>
    <w:tmpl w:val="91608E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0272362"/>
    <w:multiLevelType w:val="multilevel"/>
    <w:tmpl w:val="902C60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38B4E4E"/>
    <w:multiLevelType w:val="hybridMultilevel"/>
    <w:tmpl w:val="94CA6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A2D4B29"/>
    <w:multiLevelType w:val="hybridMultilevel"/>
    <w:tmpl w:val="34E4588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7" w15:restartNumberingAfterBreak="0">
    <w:nsid w:val="2AC33CC1"/>
    <w:multiLevelType w:val="multilevel"/>
    <w:tmpl w:val="08B44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FF225E2"/>
    <w:multiLevelType w:val="hybridMultilevel"/>
    <w:tmpl w:val="43B4B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9" w15:restartNumberingAfterBreak="0">
    <w:nsid w:val="334E7423"/>
    <w:multiLevelType w:val="hybridMultilevel"/>
    <w:tmpl w:val="5E206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3D3507E"/>
    <w:multiLevelType w:val="hybridMultilevel"/>
    <w:tmpl w:val="7D70D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8A25604"/>
    <w:multiLevelType w:val="hybridMultilevel"/>
    <w:tmpl w:val="22D470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2" w15:restartNumberingAfterBreak="0">
    <w:nsid w:val="398C7102"/>
    <w:multiLevelType w:val="hybridMultilevel"/>
    <w:tmpl w:val="69B2659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3" w15:restartNumberingAfterBreak="0">
    <w:nsid w:val="3FE45AF9"/>
    <w:multiLevelType w:val="hybridMultilevel"/>
    <w:tmpl w:val="8C087510"/>
    <w:lvl w:ilvl="0" w:tplc="2DB85EC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4142311A"/>
    <w:multiLevelType w:val="hybridMultilevel"/>
    <w:tmpl w:val="CCE0563C"/>
    <w:lvl w:ilvl="0" w:tplc="3A0AEC7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1A34B8B"/>
    <w:multiLevelType w:val="multilevel"/>
    <w:tmpl w:val="C23045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41E7E59"/>
    <w:multiLevelType w:val="hybridMultilevel"/>
    <w:tmpl w:val="78303240"/>
    <w:lvl w:ilvl="0" w:tplc="08090001">
      <w:start w:val="1"/>
      <w:numFmt w:val="bullet"/>
      <w:lvlText w:val=""/>
      <w:lvlJc w:val="left"/>
      <w:pPr>
        <w:ind w:left="720" w:hanging="360"/>
      </w:pPr>
      <w:rPr>
        <w:rFonts w:ascii="Symbol" w:hAnsi="Symbol" w:hint="default"/>
      </w:rPr>
    </w:lvl>
    <w:lvl w:ilvl="1" w:tplc="2226525C">
      <w:numFmt w:val="bullet"/>
      <w:lvlText w:val="•"/>
      <w:lvlJc w:val="left"/>
      <w:pPr>
        <w:ind w:left="1785" w:hanging="705"/>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44833EB"/>
    <w:multiLevelType w:val="hybridMultilevel"/>
    <w:tmpl w:val="DC74DE9C"/>
    <w:lvl w:ilvl="0" w:tplc="0410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4D6766B"/>
    <w:multiLevelType w:val="multilevel"/>
    <w:tmpl w:val="65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3D759A"/>
    <w:multiLevelType w:val="hybridMultilevel"/>
    <w:tmpl w:val="C8F88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5674D11"/>
    <w:multiLevelType w:val="multilevel"/>
    <w:tmpl w:val="11FC30BE"/>
    <w:lvl w:ilvl="0">
      <w:start w:val="1"/>
      <w:numFmt w:val="decimal"/>
      <w:lvlText w:val="%1."/>
      <w:lvlJc w:val="left"/>
      <w:pPr>
        <w:ind w:left="360" w:hanging="360"/>
      </w:pPr>
    </w:lvl>
    <w:lvl w:ilvl="1">
      <w:start w:val="1"/>
      <w:numFmt w:val="decimal"/>
      <w:pStyle w:val="Stile4"/>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8844711"/>
    <w:multiLevelType w:val="hybridMultilevel"/>
    <w:tmpl w:val="30E8AC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8CC6D95"/>
    <w:multiLevelType w:val="multilevel"/>
    <w:tmpl w:val="9ACE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284B96"/>
    <w:multiLevelType w:val="hybridMultilevel"/>
    <w:tmpl w:val="D97E6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A3C1F8A"/>
    <w:multiLevelType w:val="hybridMultilevel"/>
    <w:tmpl w:val="38547A8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5" w15:restartNumberingAfterBreak="0">
    <w:nsid w:val="4AEF781B"/>
    <w:multiLevelType w:val="hybridMultilevel"/>
    <w:tmpl w:val="0AD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AFC785B"/>
    <w:multiLevelType w:val="hybridMultilevel"/>
    <w:tmpl w:val="FFCCF4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D847AE2"/>
    <w:multiLevelType w:val="hybridMultilevel"/>
    <w:tmpl w:val="127C8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FF244BF"/>
    <w:multiLevelType w:val="multilevel"/>
    <w:tmpl w:val="F6AA779A"/>
    <w:lvl w:ilvl="0">
      <w:start w:val="139"/>
      <w:numFmt w:val="bullet"/>
      <w:lvlText w:val="-"/>
      <w:lvlJc w:val="left"/>
      <w:pPr>
        <w:tabs>
          <w:tab w:val="num" w:pos="720"/>
        </w:tabs>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B14A60"/>
    <w:multiLevelType w:val="hybridMultilevel"/>
    <w:tmpl w:val="F730B06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70" w15:restartNumberingAfterBreak="0">
    <w:nsid w:val="52BB1227"/>
    <w:multiLevelType w:val="hybridMultilevel"/>
    <w:tmpl w:val="37E0E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2D75330"/>
    <w:multiLevelType w:val="hybridMultilevel"/>
    <w:tmpl w:val="53E053C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2" w15:restartNumberingAfterBreak="0">
    <w:nsid w:val="537449AA"/>
    <w:multiLevelType w:val="hybridMultilevel"/>
    <w:tmpl w:val="72D60F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3" w15:restartNumberingAfterBreak="0">
    <w:nsid w:val="545F76F6"/>
    <w:multiLevelType w:val="hybridMultilevel"/>
    <w:tmpl w:val="011C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4FF70AF"/>
    <w:multiLevelType w:val="hybridMultilevel"/>
    <w:tmpl w:val="78F0FE92"/>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5" w15:restartNumberingAfterBreak="0">
    <w:nsid w:val="552A7904"/>
    <w:multiLevelType w:val="hybridMultilevel"/>
    <w:tmpl w:val="C5F026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6" w15:restartNumberingAfterBreak="0">
    <w:nsid w:val="599D2E6D"/>
    <w:multiLevelType w:val="multilevel"/>
    <w:tmpl w:val="91560430"/>
    <w:lvl w:ilvl="0">
      <w:start w:val="1"/>
      <w:numFmt w:val="decimal"/>
      <w:pStyle w:val="01TitoloCapitolo"/>
      <w:lvlText w:val="%1."/>
      <w:lvlJc w:val="left"/>
      <w:pPr>
        <w:tabs>
          <w:tab w:val="num" w:pos="0"/>
        </w:tabs>
        <w:ind w:left="539" w:hanging="539"/>
      </w:pPr>
      <w:rPr>
        <w:rFonts w:hint="default"/>
      </w:rPr>
    </w:lvl>
    <w:lvl w:ilvl="1">
      <w:start w:val="1"/>
      <w:numFmt w:val="decimal"/>
      <w:pStyle w:val="01titoloparagrafo"/>
      <w:lvlText w:val="%1.%2."/>
      <w:lvlJc w:val="left"/>
      <w:pPr>
        <w:tabs>
          <w:tab w:val="num" w:pos="180"/>
        </w:tabs>
        <w:ind w:left="719" w:hanging="539"/>
      </w:pPr>
      <w:rPr>
        <w:rFonts w:hint="default"/>
      </w:rPr>
    </w:lvl>
    <w:lvl w:ilvl="2">
      <w:start w:val="1"/>
      <w:numFmt w:val="none"/>
      <w:suff w:val="nothing"/>
      <w:lvlText w:val=""/>
      <w:lvlJc w:val="left"/>
      <w:pPr>
        <w:ind w:left="-357" w:firstLine="0"/>
      </w:pPr>
      <w:rPr>
        <w:rFonts w:hint="default"/>
      </w:rPr>
    </w:lvl>
    <w:lvl w:ilvl="3">
      <w:start w:val="1"/>
      <w:numFmt w:val="none"/>
      <w:suff w:val="nothing"/>
      <w:lvlText w:val=""/>
      <w:lvlJc w:val="left"/>
      <w:pPr>
        <w:ind w:left="-357" w:firstLine="0"/>
      </w:pPr>
      <w:rPr>
        <w:rFonts w:hint="default"/>
      </w:rPr>
    </w:lvl>
    <w:lvl w:ilvl="4">
      <w:start w:val="1"/>
      <w:numFmt w:val="none"/>
      <w:suff w:val="nothing"/>
      <w:lvlText w:val=""/>
      <w:lvlJc w:val="left"/>
      <w:pPr>
        <w:ind w:left="-357" w:firstLine="0"/>
      </w:pPr>
      <w:rPr>
        <w:rFonts w:hint="default"/>
      </w:rPr>
    </w:lvl>
    <w:lvl w:ilvl="5">
      <w:start w:val="1"/>
      <w:numFmt w:val="none"/>
      <w:suff w:val="nothing"/>
      <w:lvlText w:val=""/>
      <w:lvlJc w:val="left"/>
      <w:pPr>
        <w:ind w:left="-357" w:firstLine="0"/>
      </w:pPr>
      <w:rPr>
        <w:rFonts w:hint="default"/>
      </w:rPr>
    </w:lvl>
    <w:lvl w:ilvl="6">
      <w:start w:val="1"/>
      <w:numFmt w:val="none"/>
      <w:suff w:val="nothing"/>
      <w:lvlText w:val=""/>
      <w:lvlJc w:val="left"/>
      <w:pPr>
        <w:ind w:left="-357" w:firstLine="0"/>
      </w:pPr>
      <w:rPr>
        <w:rFonts w:hint="default"/>
      </w:rPr>
    </w:lvl>
    <w:lvl w:ilvl="7">
      <w:start w:val="1"/>
      <w:numFmt w:val="none"/>
      <w:suff w:val="nothing"/>
      <w:lvlText w:val=""/>
      <w:lvlJc w:val="left"/>
      <w:pPr>
        <w:ind w:left="-357" w:firstLine="0"/>
      </w:pPr>
      <w:rPr>
        <w:rFonts w:hint="default"/>
      </w:rPr>
    </w:lvl>
    <w:lvl w:ilvl="8">
      <w:start w:val="1"/>
      <w:numFmt w:val="none"/>
      <w:suff w:val="nothing"/>
      <w:lvlText w:val=""/>
      <w:lvlJc w:val="left"/>
      <w:pPr>
        <w:ind w:left="-357" w:firstLine="0"/>
      </w:pPr>
      <w:rPr>
        <w:rFonts w:hint="default"/>
      </w:rPr>
    </w:lvl>
  </w:abstractNum>
  <w:abstractNum w:abstractNumId="77" w15:restartNumberingAfterBreak="0">
    <w:nsid w:val="59D63639"/>
    <w:multiLevelType w:val="hybridMultilevel"/>
    <w:tmpl w:val="E46220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8" w15:restartNumberingAfterBreak="0">
    <w:nsid w:val="5AB63AFD"/>
    <w:multiLevelType w:val="hybridMultilevel"/>
    <w:tmpl w:val="B60459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DB8201C"/>
    <w:multiLevelType w:val="hybridMultilevel"/>
    <w:tmpl w:val="F4AC1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EB03D64"/>
    <w:multiLevelType w:val="multilevel"/>
    <w:tmpl w:val="E08A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EE411AE"/>
    <w:multiLevelType w:val="hybridMultilevel"/>
    <w:tmpl w:val="0930C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60B0178B"/>
    <w:multiLevelType w:val="multilevel"/>
    <w:tmpl w:val="AC26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173538B"/>
    <w:multiLevelType w:val="hybridMultilevel"/>
    <w:tmpl w:val="7F66FC6C"/>
    <w:lvl w:ilvl="0" w:tplc="DEFA9FEC">
      <w:start w:val="3"/>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24368C0"/>
    <w:multiLevelType w:val="hybridMultilevel"/>
    <w:tmpl w:val="63063AF0"/>
    <w:lvl w:ilvl="0" w:tplc="0410000F">
      <w:start w:val="1"/>
      <w:numFmt w:val="decimal"/>
      <w:lvlText w:val="%1."/>
      <w:lvlJc w:val="left"/>
      <w:pPr>
        <w:ind w:left="720" w:hanging="360"/>
      </w:pPr>
    </w:lvl>
    <w:lvl w:ilvl="1" w:tplc="92BA6A9C">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644E5604"/>
    <w:multiLevelType w:val="hybridMultilevel"/>
    <w:tmpl w:val="BCC8E6F0"/>
    <w:lvl w:ilvl="0" w:tplc="04100001">
      <w:start w:val="1"/>
      <w:numFmt w:val="upperRoman"/>
      <w:pStyle w:val="0titolo"/>
      <w:lvlText w:val="CAP. %1"/>
      <w:lvlJc w:val="left"/>
      <w:pPr>
        <w:tabs>
          <w:tab w:val="num" w:pos="720"/>
        </w:tabs>
        <w:ind w:left="720" w:hanging="720"/>
      </w:pPr>
      <w:rPr>
        <w:rFonts w:hint="default"/>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86" w15:restartNumberingAfterBreak="0">
    <w:nsid w:val="659C4E0B"/>
    <w:multiLevelType w:val="hybridMultilevel"/>
    <w:tmpl w:val="9D4A85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7" w15:restartNumberingAfterBreak="0">
    <w:nsid w:val="659C6EB3"/>
    <w:multiLevelType w:val="multilevel"/>
    <w:tmpl w:val="4096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A47631"/>
    <w:multiLevelType w:val="multilevel"/>
    <w:tmpl w:val="795EA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0"/>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9E8354A"/>
    <w:multiLevelType w:val="hybridMultilevel"/>
    <w:tmpl w:val="30FEE8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6A49515C"/>
    <w:multiLevelType w:val="hybridMultilevel"/>
    <w:tmpl w:val="3554596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6B3A4EC9"/>
    <w:multiLevelType w:val="hybridMultilevel"/>
    <w:tmpl w:val="57EEA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E0A484C"/>
    <w:multiLevelType w:val="hybridMultilevel"/>
    <w:tmpl w:val="BD5C0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EDC3BB9"/>
    <w:multiLevelType w:val="multilevel"/>
    <w:tmpl w:val="BB86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0467D94"/>
    <w:multiLevelType w:val="hybridMultilevel"/>
    <w:tmpl w:val="F04C29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5" w15:restartNumberingAfterBreak="0">
    <w:nsid w:val="717F5667"/>
    <w:multiLevelType w:val="hybridMultilevel"/>
    <w:tmpl w:val="EE1084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73485A2F"/>
    <w:multiLevelType w:val="hybridMultilevel"/>
    <w:tmpl w:val="0CA68A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7" w15:restartNumberingAfterBreak="0">
    <w:nsid w:val="73B3693B"/>
    <w:multiLevelType w:val="hybridMultilevel"/>
    <w:tmpl w:val="732CE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7409454D"/>
    <w:multiLevelType w:val="hybridMultilevel"/>
    <w:tmpl w:val="BE566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4CA4726"/>
    <w:multiLevelType w:val="hybridMultilevel"/>
    <w:tmpl w:val="A0F0A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5B900A4"/>
    <w:multiLevelType w:val="hybridMultilevel"/>
    <w:tmpl w:val="8D068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76027914"/>
    <w:multiLevelType w:val="hybridMultilevel"/>
    <w:tmpl w:val="A0127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760F601F"/>
    <w:multiLevelType w:val="hybridMultilevel"/>
    <w:tmpl w:val="7ECE4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6FA22E4"/>
    <w:multiLevelType w:val="hybridMultilevel"/>
    <w:tmpl w:val="949A75F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4" w15:restartNumberingAfterBreak="0">
    <w:nsid w:val="78AC2CD9"/>
    <w:multiLevelType w:val="hybridMultilevel"/>
    <w:tmpl w:val="6E1EE1E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5" w15:restartNumberingAfterBreak="0">
    <w:nsid w:val="7CEA5FAD"/>
    <w:multiLevelType w:val="multilevel"/>
    <w:tmpl w:val="90B8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7171530">
    <w:abstractNumId w:val="35"/>
  </w:num>
  <w:num w:numId="2" w16cid:durableId="1775594022">
    <w:abstractNumId w:val="85"/>
  </w:num>
  <w:num w:numId="3" w16cid:durableId="1443644046">
    <w:abstractNumId w:val="2"/>
  </w:num>
  <w:num w:numId="4" w16cid:durableId="1053458422">
    <w:abstractNumId w:val="23"/>
  </w:num>
  <w:num w:numId="5" w16cid:durableId="1738821075">
    <w:abstractNumId w:val="76"/>
  </w:num>
  <w:num w:numId="6" w16cid:durableId="756484051">
    <w:abstractNumId w:val="8"/>
  </w:num>
  <w:num w:numId="7" w16cid:durableId="7221544">
    <w:abstractNumId w:val="3"/>
  </w:num>
  <w:num w:numId="8" w16cid:durableId="2093547808">
    <w:abstractNumId w:val="1"/>
  </w:num>
  <w:num w:numId="9" w16cid:durableId="1463110802">
    <w:abstractNumId w:val="0"/>
  </w:num>
  <w:num w:numId="10" w16cid:durableId="1777095023">
    <w:abstractNumId w:val="9"/>
  </w:num>
  <w:num w:numId="11" w16cid:durableId="2073967942">
    <w:abstractNumId w:val="7"/>
  </w:num>
  <w:num w:numId="12" w16cid:durableId="1844079494">
    <w:abstractNumId w:val="6"/>
  </w:num>
  <w:num w:numId="13" w16cid:durableId="538395399">
    <w:abstractNumId w:val="5"/>
  </w:num>
  <w:num w:numId="14" w16cid:durableId="354112563">
    <w:abstractNumId w:val="4"/>
  </w:num>
  <w:num w:numId="15" w16cid:durableId="191111682">
    <w:abstractNumId w:val="20"/>
  </w:num>
  <w:num w:numId="16" w16cid:durableId="1286544723">
    <w:abstractNumId w:val="25"/>
  </w:num>
  <w:num w:numId="17" w16cid:durableId="1301036430">
    <w:abstractNumId w:val="60"/>
  </w:num>
  <w:num w:numId="18" w16cid:durableId="291324579">
    <w:abstractNumId w:val="74"/>
  </w:num>
  <w:num w:numId="19" w16cid:durableId="135535512">
    <w:abstractNumId w:val="99"/>
  </w:num>
  <w:num w:numId="20" w16cid:durableId="1211916035">
    <w:abstractNumId w:val="58"/>
  </w:num>
  <w:num w:numId="21" w16cid:durableId="1443501385">
    <w:abstractNumId w:val="43"/>
  </w:num>
  <w:num w:numId="22" w16cid:durableId="1023900433">
    <w:abstractNumId w:val="68"/>
  </w:num>
  <w:num w:numId="23" w16cid:durableId="1438717761">
    <w:abstractNumId w:val="34"/>
  </w:num>
  <w:num w:numId="24" w16cid:durableId="1178621198">
    <w:abstractNumId w:val="70"/>
  </w:num>
  <w:num w:numId="25" w16cid:durableId="1364018093">
    <w:abstractNumId w:val="91"/>
  </w:num>
  <w:num w:numId="26" w16cid:durableId="796679604">
    <w:abstractNumId w:val="40"/>
  </w:num>
  <w:num w:numId="27" w16cid:durableId="1752462068">
    <w:abstractNumId w:val="63"/>
  </w:num>
  <w:num w:numId="28" w16cid:durableId="2057122997">
    <w:abstractNumId w:val="27"/>
  </w:num>
  <w:num w:numId="29" w16cid:durableId="1911191017">
    <w:abstractNumId w:val="89"/>
  </w:num>
  <w:num w:numId="30" w16cid:durableId="1077439024">
    <w:abstractNumId w:val="38"/>
  </w:num>
  <w:num w:numId="31" w16cid:durableId="480465462">
    <w:abstractNumId w:val="98"/>
  </w:num>
  <w:num w:numId="32" w16cid:durableId="1946302869">
    <w:abstractNumId w:val="100"/>
  </w:num>
  <w:num w:numId="33" w16cid:durableId="1349601579">
    <w:abstractNumId w:val="97"/>
  </w:num>
  <w:num w:numId="34" w16cid:durableId="2063944437">
    <w:abstractNumId w:val="49"/>
  </w:num>
  <w:num w:numId="35" w16cid:durableId="6323890">
    <w:abstractNumId w:val="67"/>
  </w:num>
  <w:num w:numId="36" w16cid:durableId="752506546">
    <w:abstractNumId w:val="81"/>
  </w:num>
  <w:num w:numId="37" w16cid:durableId="2107800144">
    <w:abstractNumId w:val="83"/>
  </w:num>
  <w:num w:numId="38" w16cid:durableId="1237977063">
    <w:abstractNumId w:val="61"/>
  </w:num>
  <w:num w:numId="39" w16cid:durableId="1205605024">
    <w:abstractNumId w:val="37"/>
  </w:num>
  <w:num w:numId="40" w16cid:durableId="1733890104">
    <w:abstractNumId w:val="39"/>
  </w:num>
  <w:num w:numId="41" w16cid:durableId="516504996">
    <w:abstractNumId w:val="33"/>
  </w:num>
  <w:num w:numId="42" w16cid:durableId="1674987459">
    <w:abstractNumId w:val="44"/>
  </w:num>
  <w:num w:numId="43" w16cid:durableId="1572815308">
    <w:abstractNumId w:val="55"/>
  </w:num>
  <w:num w:numId="44" w16cid:durableId="1146388122">
    <w:abstractNumId w:val="71"/>
  </w:num>
  <w:num w:numId="45" w16cid:durableId="662857961">
    <w:abstractNumId w:val="105"/>
  </w:num>
  <w:num w:numId="46" w16cid:durableId="2111969327">
    <w:abstractNumId w:val="78"/>
  </w:num>
  <w:num w:numId="47" w16cid:durableId="21442218">
    <w:abstractNumId w:val="84"/>
  </w:num>
  <w:num w:numId="48" w16cid:durableId="796293954">
    <w:abstractNumId w:val="59"/>
  </w:num>
  <w:num w:numId="49" w16cid:durableId="999191548">
    <w:abstractNumId w:val="28"/>
  </w:num>
  <w:num w:numId="50" w16cid:durableId="236136715">
    <w:abstractNumId w:val="73"/>
  </w:num>
  <w:num w:numId="51" w16cid:durableId="1785954073">
    <w:abstractNumId w:val="45"/>
  </w:num>
  <w:num w:numId="52" w16cid:durableId="1392924848">
    <w:abstractNumId w:val="51"/>
  </w:num>
  <w:num w:numId="53" w16cid:durableId="1131630494">
    <w:abstractNumId w:val="29"/>
  </w:num>
  <w:num w:numId="54" w16cid:durableId="1692101697">
    <w:abstractNumId w:val="77"/>
  </w:num>
  <w:num w:numId="55" w16cid:durableId="2125686112">
    <w:abstractNumId w:val="54"/>
  </w:num>
  <w:num w:numId="56" w16cid:durableId="1950626547">
    <w:abstractNumId w:val="53"/>
  </w:num>
  <w:num w:numId="57" w16cid:durableId="1118449746">
    <w:abstractNumId w:val="46"/>
  </w:num>
  <w:num w:numId="58" w16cid:durableId="903183288">
    <w:abstractNumId w:val="72"/>
  </w:num>
  <w:num w:numId="59" w16cid:durableId="1078361602">
    <w:abstractNumId w:val="41"/>
  </w:num>
  <w:num w:numId="60" w16cid:durableId="1642036703">
    <w:abstractNumId w:val="64"/>
  </w:num>
  <w:num w:numId="61" w16cid:durableId="775367160">
    <w:abstractNumId w:val="66"/>
  </w:num>
  <w:num w:numId="62" w16cid:durableId="1986083084">
    <w:abstractNumId w:val="19"/>
  </w:num>
  <w:num w:numId="63" w16cid:durableId="959654830">
    <w:abstractNumId w:val="90"/>
  </w:num>
  <w:num w:numId="64" w16cid:durableId="1927569790">
    <w:abstractNumId w:val="56"/>
  </w:num>
  <w:num w:numId="65" w16cid:durableId="1972204314">
    <w:abstractNumId w:val="57"/>
  </w:num>
  <w:num w:numId="66" w16cid:durableId="1443375905">
    <w:abstractNumId w:val="48"/>
  </w:num>
  <w:num w:numId="67" w16cid:durableId="1740251596">
    <w:abstractNumId w:val="65"/>
  </w:num>
  <w:num w:numId="68" w16cid:durableId="1068070707">
    <w:abstractNumId w:val="22"/>
  </w:num>
  <w:num w:numId="69" w16cid:durableId="1395857454">
    <w:abstractNumId w:val="88"/>
  </w:num>
  <w:num w:numId="70" w16cid:durableId="774524661">
    <w:abstractNumId w:val="82"/>
  </w:num>
  <w:num w:numId="71" w16cid:durableId="2061325834">
    <w:abstractNumId w:val="79"/>
  </w:num>
  <w:num w:numId="72" w16cid:durableId="446237825">
    <w:abstractNumId w:val="47"/>
  </w:num>
  <w:num w:numId="73" w16cid:durableId="1660619130">
    <w:abstractNumId w:val="32"/>
  </w:num>
  <w:num w:numId="74" w16cid:durableId="1819834934">
    <w:abstractNumId w:val="31"/>
  </w:num>
  <w:num w:numId="75" w16cid:durableId="1668433490">
    <w:abstractNumId w:val="96"/>
  </w:num>
  <w:num w:numId="76" w16cid:durableId="1138062395">
    <w:abstractNumId w:val="36"/>
  </w:num>
  <w:num w:numId="77" w16cid:durableId="1353796318">
    <w:abstractNumId w:val="52"/>
  </w:num>
  <w:num w:numId="78" w16cid:durableId="445392843">
    <w:abstractNumId w:val="86"/>
  </w:num>
  <w:num w:numId="79" w16cid:durableId="1438790413">
    <w:abstractNumId w:val="21"/>
  </w:num>
  <w:num w:numId="80" w16cid:durableId="767189579">
    <w:abstractNumId w:val="104"/>
  </w:num>
  <w:num w:numId="81" w16cid:durableId="684097481">
    <w:abstractNumId w:val="69"/>
  </w:num>
  <w:num w:numId="82" w16cid:durableId="2051877948">
    <w:abstractNumId w:val="50"/>
  </w:num>
  <w:num w:numId="83" w16cid:durableId="1217349576">
    <w:abstractNumId w:val="103"/>
  </w:num>
  <w:num w:numId="84" w16cid:durableId="9726135">
    <w:abstractNumId w:val="26"/>
  </w:num>
  <w:num w:numId="85" w16cid:durableId="567037904">
    <w:abstractNumId w:val="24"/>
  </w:num>
  <w:num w:numId="86" w16cid:durableId="1599411353">
    <w:abstractNumId w:val="75"/>
  </w:num>
  <w:num w:numId="87" w16cid:durableId="1531988514">
    <w:abstractNumId w:val="94"/>
  </w:num>
  <w:num w:numId="88" w16cid:durableId="761494868">
    <w:abstractNumId w:val="92"/>
  </w:num>
  <w:num w:numId="89" w16cid:durableId="1618564200">
    <w:abstractNumId w:val="101"/>
  </w:num>
  <w:num w:numId="90" w16cid:durableId="1971475111">
    <w:abstractNumId w:val="42"/>
  </w:num>
  <w:num w:numId="91" w16cid:durableId="139004077">
    <w:abstractNumId w:val="102"/>
  </w:num>
  <w:num w:numId="92" w16cid:durableId="1314144667">
    <w:abstractNumId w:val="20"/>
  </w:num>
  <w:num w:numId="93" w16cid:durableId="2096319310">
    <w:abstractNumId w:val="20"/>
  </w:num>
  <w:num w:numId="94" w16cid:durableId="820272470">
    <w:abstractNumId w:val="62"/>
  </w:num>
  <w:num w:numId="95" w16cid:durableId="622493019">
    <w:abstractNumId w:val="87"/>
  </w:num>
  <w:num w:numId="96" w16cid:durableId="1633290198">
    <w:abstractNumId w:val="80"/>
  </w:num>
  <w:num w:numId="97" w16cid:durableId="1935286144">
    <w:abstractNumId w:val="93"/>
  </w:num>
  <w:num w:numId="98" w16cid:durableId="33043950">
    <w:abstractNumId w:val="30"/>
  </w:num>
  <w:num w:numId="99" w16cid:durableId="50006312">
    <w:abstractNumId w:val="95"/>
  </w:num>
  <w:num w:numId="100" w16cid:durableId="334381872">
    <w:abstractNumId w:val="20"/>
  </w:num>
  <w:num w:numId="101" w16cid:durableId="504713960">
    <w:abstractNumId w:val="2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isplayBackgroundShape/>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0"/>
  <w:hyphenationZone w:val="283"/>
  <w:characterSpacingControl w:val="doNotCompress"/>
  <w:hdrShapeDefaults>
    <o:shapedefaults v:ext="edit" spidmax="2056"/>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FB"/>
    <w:rsid w:val="00001054"/>
    <w:rsid w:val="000014C3"/>
    <w:rsid w:val="00001948"/>
    <w:rsid w:val="00001CB0"/>
    <w:rsid w:val="00001F37"/>
    <w:rsid w:val="00002423"/>
    <w:rsid w:val="00002BD6"/>
    <w:rsid w:val="00002F7A"/>
    <w:rsid w:val="0000319C"/>
    <w:rsid w:val="000033A4"/>
    <w:rsid w:val="0000351E"/>
    <w:rsid w:val="00003A66"/>
    <w:rsid w:val="00003AB6"/>
    <w:rsid w:val="0000503C"/>
    <w:rsid w:val="000057AA"/>
    <w:rsid w:val="000059A6"/>
    <w:rsid w:val="00005A86"/>
    <w:rsid w:val="00005C69"/>
    <w:rsid w:val="0000601F"/>
    <w:rsid w:val="000070C5"/>
    <w:rsid w:val="00007448"/>
    <w:rsid w:val="00007F7F"/>
    <w:rsid w:val="00010755"/>
    <w:rsid w:val="00010B70"/>
    <w:rsid w:val="00010B7A"/>
    <w:rsid w:val="000115D6"/>
    <w:rsid w:val="00011D97"/>
    <w:rsid w:val="00011DDD"/>
    <w:rsid w:val="00012C5D"/>
    <w:rsid w:val="00012D56"/>
    <w:rsid w:val="0001356E"/>
    <w:rsid w:val="00013785"/>
    <w:rsid w:val="00014557"/>
    <w:rsid w:val="00014A70"/>
    <w:rsid w:val="00014F4A"/>
    <w:rsid w:val="00015D11"/>
    <w:rsid w:val="0001619F"/>
    <w:rsid w:val="000172D2"/>
    <w:rsid w:val="000173D4"/>
    <w:rsid w:val="00020E2E"/>
    <w:rsid w:val="000212F0"/>
    <w:rsid w:val="00021585"/>
    <w:rsid w:val="000218E4"/>
    <w:rsid w:val="000223C6"/>
    <w:rsid w:val="000228E3"/>
    <w:rsid w:val="00022D07"/>
    <w:rsid w:val="000233D8"/>
    <w:rsid w:val="0002371D"/>
    <w:rsid w:val="00023DD7"/>
    <w:rsid w:val="00023E25"/>
    <w:rsid w:val="0002456B"/>
    <w:rsid w:val="00024C3A"/>
    <w:rsid w:val="00024E5D"/>
    <w:rsid w:val="00024F7C"/>
    <w:rsid w:val="00025762"/>
    <w:rsid w:val="00025D95"/>
    <w:rsid w:val="00025E2B"/>
    <w:rsid w:val="00026999"/>
    <w:rsid w:val="000269DD"/>
    <w:rsid w:val="00026F06"/>
    <w:rsid w:val="000275F8"/>
    <w:rsid w:val="000279C1"/>
    <w:rsid w:val="00027F54"/>
    <w:rsid w:val="000300B4"/>
    <w:rsid w:val="0003032F"/>
    <w:rsid w:val="000303C0"/>
    <w:rsid w:val="000305F3"/>
    <w:rsid w:val="000305F7"/>
    <w:rsid w:val="0003190E"/>
    <w:rsid w:val="00031A98"/>
    <w:rsid w:val="00031AE7"/>
    <w:rsid w:val="000322A2"/>
    <w:rsid w:val="00032329"/>
    <w:rsid w:val="000323CE"/>
    <w:rsid w:val="000324AC"/>
    <w:rsid w:val="00032519"/>
    <w:rsid w:val="00032B37"/>
    <w:rsid w:val="000330A3"/>
    <w:rsid w:val="00033D25"/>
    <w:rsid w:val="00033D56"/>
    <w:rsid w:val="0003492C"/>
    <w:rsid w:val="00034CB1"/>
    <w:rsid w:val="00034ED1"/>
    <w:rsid w:val="00034F65"/>
    <w:rsid w:val="00035D15"/>
    <w:rsid w:val="000365FF"/>
    <w:rsid w:val="00036DB2"/>
    <w:rsid w:val="00036E9D"/>
    <w:rsid w:val="00037061"/>
    <w:rsid w:val="00037BD7"/>
    <w:rsid w:val="00037C35"/>
    <w:rsid w:val="00037F01"/>
    <w:rsid w:val="000402EE"/>
    <w:rsid w:val="00040648"/>
    <w:rsid w:val="00040706"/>
    <w:rsid w:val="0004091A"/>
    <w:rsid w:val="000409D1"/>
    <w:rsid w:val="00041878"/>
    <w:rsid w:val="00041ECA"/>
    <w:rsid w:val="00042C42"/>
    <w:rsid w:val="00042F9B"/>
    <w:rsid w:val="00044D05"/>
    <w:rsid w:val="00044E59"/>
    <w:rsid w:val="00045184"/>
    <w:rsid w:val="0004565C"/>
    <w:rsid w:val="00046034"/>
    <w:rsid w:val="00047565"/>
    <w:rsid w:val="00050079"/>
    <w:rsid w:val="00051161"/>
    <w:rsid w:val="000513A5"/>
    <w:rsid w:val="000517CF"/>
    <w:rsid w:val="000518DC"/>
    <w:rsid w:val="00051FF1"/>
    <w:rsid w:val="00052E3A"/>
    <w:rsid w:val="00053024"/>
    <w:rsid w:val="00053317"/>
    <w:rsid w:val="00053775"/>
    <w:rsid w:val="00053AF7"/>
    <w:rsid w:val="00053F06"/>
    <w:rsid w:val="00054BEA"/>
    <w:rsid w:val="00055146"/>
    <w:rsid w:val="00055149"/>
    <w:rsid w:val="00055779"/>
    <w:rsid w:val="000559BE"/>
    <w:rsid w:val="000559F1"/>
    <w:rsid w:val="00055FE6"/>
    <w:rsid w:val="0005699A"/>
    <w:rsid w:val="00056DCE"/>
    <w:rsid w:val="00057F38"/>
    <w:rsid w:val="000600EF"/>
    <w:rsid w:val="00060245"/>
    <w:rsid w:val="00060282"/>
    <w:rsid w:val="00060632"/>
    <w:rsid w:val="000606D5"/>
    <w:rsid w:val="00061F0D"/>
    <w:rsid w:val="0006217A"/>
    <w:rsid w:val="00062345"/>
    <w:rsid w:val="000625A3"/>
    <w:rsid w:val="00062FB7"/>
    <w:rsid w:val="00063D6D"/>
    <w:rsid w:val="00063EAF"/>
    <w:rsid w:val="0006463B"/>
    <w:rsid w:val="00065439"/>
    <w:rsid w:val="00065BD2"/>
    <w:rsid w:val="000664E7"/>
    <w:rsid w:val="00066D90"/>
    <w:rsid w:val="00066DB2"/>
    <w:rsid w:val="0006710E"/>
    <w:rsid w:val="00067948"/>
    <w:rsid w:val="000708EE"/>
    <w:rsid w:val="000713EF"/>
    <w:rsid w:val="000729CC"/>
    <w:rsid w:val="0007381F"/>
    <w:rsid w:val="00073E03"/>
    <w:rsid w:val="00074612"/>
    <w:rsid w:val="00074A9C"/>
    <w:rsid w:val="00075393"/>
    <w:rsid w:val="00075C78"/>
    <w:rsid w:val="00075F1F"/>
    <w:rsid w:val="00076575"/>
    <w:rsid w:val="00076615"/>
    <w:rsid w:val="0007686F"/>
    <w:rsid w:val="00076C6B"/>
    <w:rsid w:val="0007749E"/>
    <w:rsid w:val="00077BE1"/>
    <w:rsid w:val="00077F5B"/>
    <w:rsid w:val="000801F2"/>
    <w:rsid w:val="0008092D"/>
    <w:rsid w:val="00080F4E"/>
    <w:rsid w:val="00081CD1"/>
    <w:rsid w:val="00082045"/>
    <w:rsid w:val="00082063"/>
    <w:rsid w:val="000824F5"/>
    <w:rsid w:val="00082AB0"/>
    <w:rsid w:val="00082DC6"/>
    <w:rsid w:val="00082EE7"/>
    <w:rsid w:val="00083187"/>
    <w:rsid w:val="00083BB2"/>
    <w:rsid w:val="00084089"/>
    <w:rsid w:val="000840F9"/>
    <w:rsid w:val="0008494E"/>
    <w:rsid w:val="00084EF6"/>
    <w:rsid w:val="00085126"/>
    <w:rsid w:val="00085192"/>
    <w:rsid w:val="00086D7C"/>
    <w:rsid w:val="000873FE"/>
    <w:rsid w:val="000876B3"/>
    <w:rsid w:val="00087EDC"/>
    <w:rsid w:val="00090158"/>
    <w:rsid w:val="00090361"/>
    <w:rsid w:val="0009055F"/>
    <w:rsid w:val="00090897"/>
    <w:rsid w:val="00090BAA"/>
    <w:rsid w:val="0009104C"/>
    <w:rsid w:val="00092102"/>
    <w:rsid w:val="0009278F"/>
    <w:rsid w:val="000934B0"/>
    <w:rsid w:val="00093BF3"/>
    <w:rsid w:val="0009435E"/>
    <w:rsid w:val="000944CC"/>
    <w:rsid w:val="0009465C"/>
    <w:rsid w:val="00094EA3"/>
    <w:rsid w:val="00095C65"/>
    <w:rsid w:val="000961CD"/>
    <w:rsid w:val="000964B9"/>
    <w:rsid w:val="00096B26"/>
    <w:rsid w:val="00097078"/>
    <w:rsid w:val="000973BC"/>
    <w:rsid w:val="000A053E"/>
    <w:rsid w:val="000A06CA"/>
    <w:rsid w:val="000A0D7D"/>
    <w:rsid w:val="000A0F0F"/>
    <w:rsid w:val="000A250D"/>
    <w:rsid w:val="000A2922"/>
    <w:rsid w:val="000A2B93"/>
    <w:rsid w:val="000A30FB"/>
    <w:rsid w:val="000A32E6"/>
    <w:rsid w:val="000A374A"/>
    <w:rsid w:val="000A3D6D"/>
    <w:rsid w:val="000A4577"/>
    <w:rsid w:val="000A4D11"/>
    <w:rsid w:val="000A4ED2"/>
    <w:rsid w:val="000A5239"/>
    <w:rsid w:val="000A561D"/>
    <w:rsid w:val="000A572A"/>
    <w:rsid w:val="000A58F8"/>
    <w:rsid w:val="000A617E"/>
    <w:rsid w:val="000A6ACA"/>
    <w:rsid w:val="000A6C02"/>
    <w:rsid w:val="000A6D54"/>
    <w:rsid w:val="000A7A85"/>
    <w:rsid w:val="000A7E1D"/>
    <w:rsid w:val="000B0060"/>
    <w:rsid w:val="000B00D9"/>
    <w:rsid w:val="000B080B"/>
    <w:rsid w:val="000B2263"/>
    <w:rsid w:val="000B23F7"/>
    <w:rsid w:val="000B2D32"/>
    <w:rsid w:val="000B30BF"/>
    <w:rsid w:val="000B39F4"/>
    <w:rsid w:val="000B41AC"/>
    <w:rsid w:val="000B47C6"/>
    <w:rsid w:val="000B4FF6"/>
    <w:rsid w:val="000B597A"/>
    <w:rsid w:val="000B6208"/>
    <w:rsid w:val="000B6350"/>
    <w:rsid w:val="000B6A8B"/>
    <w:rsid w:val="000B6B18"/>
    <w:rsid w:val="000B6D26"/>
    <w:rsid w:val="000B7232"/>
    <w:rsid w:val="000B75EF"/>
    <w:rsid w:val="000C01F4"/>
    <w:rsid w:val="000C0DEA"/>
    <w:rsid w:val="000C0FDE"/>
    <w:rsid w:val="000C112F"/>
    <w:rsid w:val="000C12FF"/>
    <w:rsid w:val="000C1987"/>
    <w:rsid w:val="000C1EB2"/>
    <w:rsid w:val="000C2AA1"/>
    <w:rsid w:val="000C2F5A"/>
    <w:rsid w:val="000C31DC"/>
    <w:rsid w:val="000C37C6"/>
    <w:rsid w:val="000C37E7"/>
    <w:rsid w:val="000C3E60"/>
    <w:rsid w:val="000C406A"/>
    <w:rsid w:val="000C4740"/>
    <w:rsid w:val="000C4EDF"/>
    <w:rsid w:val="000C5551"/>
    <w:rsid w:val="000C5676"/>
    <w:rsid w:val="000C58AC"/>
    <w:rsid w:val="000C6009"/>
    <w:rsid w:val="000C61A1"/>
    <w:rsid w:val="000C61F0"/>
    <w:rsid w:val="000C62DE"/>
    <w:rsid w:val="000C6B34"/>
    <w:rsid w:val="000C6F5D"/>
    <w:rsid w:val="000C7617"/>
    <w:rsid w:val="000C76E8"/>
    <w:rsid w:val="000D0118"/>
    <w:rsid w:val="000D0426"/>
    <w:rsid w:val="000D0BE5"/>
    <w:rsid w:val="000D0F3A"/>
    <w:rsid w:val="000D1238"/>
    <w:rsid w:val="000D19AA"/>
    <w:rsid w:val="000D1B54"/>
    <w:rsid w:val="000D1B56"/>
    <w:rsid w:val="000D271D"/>
    <w:rsid w:val="000D31E8"/>
    <w:rsid w:val="000D31F8"/>
    <w:rsid w:val="000D3266"/>
    <w:rsid w:val="000D34CA"/>
    <w:rsid w:val="000D389B"/>
    <w:rsid w:val="000D3D4C"/>
    <w:rsid w:val="000D45E2"/>
    <w:rsid w:val="000D4746"/>
    <w:rsid w:val="000D48F4"/>
    <w:rsid w:val="000D5168"/>
    <w:rsid w:val="000D5647"/>
    <w:rsid w:val="000D578B"/>
    <w:rsid w:val="000D61C0"/>
    <w:rsid w:val="000D6572"/>
    <w:rsid w:val="000D6C9D"/>
    <w:rsid w:val="000D7059"/>
    <w:rsid w:val="000D70A2"/>
    <w:rsid w:val="000D729B"/>
    <w:rsid w:val="000D7725"/>
    <w:rsid w:val="000E04C1"/>
    <w:rsid w:val="000E16A0"/>
    <w:rsid w:val="000E17B7"/>
    <w:rsid w:val="000E1BF4"/>
    <w:rsid w:val="000E1D01"/>
    <w:rsid w:val="000E2180"/>
    <w:rsid w:val="000E2532"/>
    <w:rsid w:val="000E2837"/>
    <w:rsid w:val="000E2C41"/>
    <w:rsid w:val="000E2C87"/>
    <w:rsid w:val="000E4041"/>
    <w:rsid w:val="000E4CCA"/>
    <w:rsid w:val="000E5A40"/>
    <w:rsid w:val="000E6481"/>
    <w:rsid w:val="000E6693"/>
    <w:rsid w:val="000E6990"/>
    <w:rsid w:val="000E7B81"/>
    <w:rsid w:val="000F051E"/>
    <w:rsid w:val="000F08D8"/>
    <w:rsid w:val="000F0E53"/>
    <w:rsid w:val="000F2136"/>
    <w:rsid w:val="000F28EB"/>
    <w:rsid w:val="000F2A45"/>
    <w:rsid w:val="000F2DE4"/>
    <w:rsid w:val="000F3890"/>
    <w:rsid w:val="000F3D32"/>
    <w:rsid w:val="000F4C97"/>
    <w:rsid w:val="000F5260"/>
    <w:rsid w:val="000F5406"/>
    <w:rsid w:val="000F5A27"/>
    <w:rsid w:val="000F5D0F"/>
    <w:rsid w:val="000F622F"/>
    <w:rsid w:val="000F6767"/>
    <w:rsid w:val="000F709A"/>
    <w:rsid w:val="000F752A"/>
    <w:rsid w:val="000F75A8"/>
    <w:rsid w:val="000F7C97"/>
    <w:rsid w:val="001001D2"/>
    <w:rsid w:val="0010097F"/>
    <w:rsid w:val="00100D89"/>
    <w:rsid w:val="001014BE"/>
    <w:rsid w:val="00101523"/>
    <w:rsid w:val="0010153E"/>
    <w:rsid w:val="00101A9A"/>
    <w:rsid w:val="00102596"/>
    <w:rsid w:val="00102874"/>
    <w:rsid w:val="0010298D"/>
    <w:rsid w:val="00102E43"/>
    <w:rsid w:val="00103371"/>
    <w:rsid w:val="001033A9"/>
    <w:rsid w:val="0010383A"/>
    <w:rsid w:val="0010434C"/>
    <w:rsid w:val="001045B2"/>
    <w:rsid w:val="00104C18"/>
    <w:rsid w:val="001053F7"/>
    <w:rsid w:val="00105C24"/>
    <w:rsid w:val="00106022"/>
    <w:rsid w:val="0010701F"/>
    <w:rsid w:val="00107375"/>
    <w:rsid w:val="00107835"/>
    <w:rsid w:val="00107BEE"/>
    <w:rsid w:val="00107F3C"/>
    <w:rsid w:val="00110C19"/>
    <w:rsid w:val="00110F2F"/>
    <w:rsid w:val="00110FC0"/>
    <w:rsid w:val="001112F2"/>
    <w:rsid w:val="00111370"/>
    <w:rsid w:val="00111CB1"/>
    <w:rsid w:val="00112486"/>
    <w:rsid w:val="00112A5E"/>
    <w:rsid w:val="001131E3"/>
    <w:rsid w:val="00113397"/>
    <w:rsid w:val="001135B8"/>
    <w:rsid w:val="0011459E"/>
    <w:rsid w:val="00114AED"/>
    <w:rsid w:val="00114B8F"/>
    <w:rsid w:val="00115509"/>
    <w:rsid w:val="00115A42"/>
    <w:rsid w:val="001160C2"/>
    <w:rsid w:val="001163E9"/>
    <w:rsid w:val="001166E6"/>
    <w:rsid w:val="00116ECB"/>
    <w:rsid w:val="00116ED4"/>
    <w:rsid w:val="00117D13"/>
    <w:rsid w:val="00117D80"/>
    <w:rsid w:val="00117DC3"/>
    <w:rsid w:val="0012009B"/>
    <w:rsid w:val="00120791"/>
    <w:rsid w:val="001207A3"/>
    <w:rsid w:val="00121383"/>
    <w:rsid w:val="00121779"/>
    <w:rsid w:val="00121FCE"/>
    <w:rsid w:val="001226A9"/>
    <w:rsid w:val="00122B86"/>
    <w:rsid w:val="00123033"/>
    <w:rsid w:val="001230EE"/>
    <w:rsid w:val="00123351"/>
    <w:rsid w:val="001234F9"/>
    <w:rsid w:val="001235B0"/>
    <w:rsid w:val="00123812"/>
    <w:rsid w:val="00123B6B"/>
    <w:rsid w:val="00124581"/>
    <w:rsid w:val="00124D62"/>
    <w:rsid w:val="00125068"/>
    <w:rsid w:val="001252E3"/>
    <w:rsid w:val="001256B4"/>
    <w:rsid w:val="00125D29"/>
    <w:rsid w:val="001269B4"/>
    <w:rsid w:val="00126EC2"/>
    <w:rsid w:val="001278DB"/>
    <w:rsid w:val="00127A52"/>
    <w:rsid w:val="001302F6"/>
    <w:rsid w:val="0013057C"/>
    <w:rsid w:val="001310E3"/>
    <w:rsid w:val="001312AF"/>
    <w:rsid w:val="001314C9"/>
    <w:rsid w:val="001316A5"/>
    <w:rsid w:val="00131C67"/>
    <w:rsid w:val="0013273E"/>
    <w:rsid w:val="00132C5D"/>
    <w:rsid w:val="00132F16"/>
    <w:rsid w:val="00132F70"/>
    <w:rsid w:val="00133FE6"/>
    <w:rsid w:val="0013445E"/>
    <w:rsid w:val="00134BF2"/>
    <w:rsid w:val="00134FF2"/>
    <w:rsid w:val="00135149"/>
    <w:rsid w:val="0013613D"/>
    <w:rsid w:val="001361C3"/>
    <w:rsid w:val="00136B70"/>
    <w:rsid w:val="00136C90"/>
    <w:rsid w:val="00137795"/>
    <w:rsid w:val="00137DBC"/>
    <w:rsid w:val="00140556"/>
    <w:rsid w:val="001407DC"/>
    <w:rsid w:val="001409A4"/>
    <w:rsid w:val="00140D97"/>
    <w:rsid w:val="00140ED2"/>
    <w:rsid w:val="00141026"/>
    <w:rsid w:val="0014142C"/>
    <w:rsid w:val="00141458"/>
    <w:rsid w:val="001417F1"/>
    <w:rsid w:val="00141A49"/>
    <w:rsid w:val="00141FA6"/>
    <w:rsid w:val="00142330"/>
    <w:rsid w:val="00142CC5"/>
    <w:rsid w:val="00142D33"/>
    <w:rsid w:val="00142F7F"/>
    <w:rsid w:val="00143569"/>
    <w:rsid w:val="00143785"/>
    <w:rsid w:val="00143FB7"/>
    <w:rsid w:val="00144A11"/>
    <w:rsid w:val="0014507A"/>
    <w:rsid w:val="001452FC"/>
    <w:rsid w:val="00145862"/>
    <w:rsid w:val="00145A07"/>
    <w:rsid w:val="0014766F"/>
    <w:rsid w:val="0014778B"/>
    <w:rsid w:val="00147890"/>
    <w:rsid w:val="00147E35"/>
    <w:rsid w:val="00150B73"/>
    <w:rsid w:val="00150BDA"/>
    <w:rsid w:val="0015155A"/>
    <w:rsid w:val="00151856"/>
    <w:rsid w:val="001518A1"/>
    <w:rsid w:val="00152556"/>
    <w:rsid w:val="0015299F"/>
    <w:rsid w:val="00152D52"/>
    <w:rsid w:val="00152D79"/>
    <w:rsid w:val="00152FC2"/>
    <w:rsid w:val="00153295"/>
    <w:rsid w:val="0015383A"/>
    <w:rsid w:val="001538A5"/>
    <w:rsid w:val="00153B6B"/>
    <w:rsid w:val="00153F03"/>
    <w:rsid w:val="00153FEB"/>
    <w:rsid w:val="00154398"/>
    <w:rsid w:val="001543F3"/>
    <w:rsid w:val="00154D3B"/>
    <w:rsid w:val="001553A1"/>
    <w:rsid w:val="001558A2"/>
    <w:rsid w:val="00155EEF"/>
    <w:rsid w:val="00156126"/>
    <w:rsid w:val="0015618D"/>
    <w:rsid w:val="00156FF5"/>
    <w:rsid w:val="00156FFD"/>
    <w:rsid w:val="00157300"/>
    <w:rsid w:val="0015737F"/>
    <w:rsid w:val="00157FF8"/>
    <w:rsid w:val="001600D8"/>
    <w:rsid w:val="0016097A"/>
    <w:rsid w:val="00161954"/>
    <w:rsid w:val="00162229"/>
    <w:rsid w:val="0016254C"/>
    <w:rsid w:val="0016297D"/>
    <w:rsid w:val="00162C86"/>
    <w:rsid w:val="00162DE4"/>
    <w:rsid w:val="00162E8C"/>
    <w:rsid w:val="001632ED"/>
    <w:rsid w:val="00163384"/>
    <w:rsid w:val="00163DED"/>
    <w:rsid w:val="001648CC"/>
    <w:rsid w:val="00164F71"/>
    <w:rsid w:val="00165308"/>
    <w:rsid w:val="001655C3"/>
    <w:rsid w:val="00165AF5"/>
    <w:rsid w:val="00165BB7"/>
    <w:rsid w:val="00165F8D"/>
    <w:rsid w:val="001661C2"/>
    <w:rsid w:val="0016630A"/>
    <w:rsid w:val="00166862"/>
    <w:rsid w:val="00166DED"/>
    <w:rsid w:val="00166F51"/>
    <w:rsid w:val="00167156"/>
    <w:rsid w:val="001672A5"/>
    <w:rsid w:val="0016733E"/>
    <w:rsid w:val="0016739D"/>
    <w:rsid w:val="001674BD"/>
    <w:rsid w:val="00167B9C"/>
    <w:rsid w:val="00170D7A"/>
    <w:rsid w:val="00170E01"/>
    <w:rsid w:val="00170E3D"/>
    <w:rsid w:val="00171BE7"/>
    <w:rsid w:val="00171DA6"/>
    <w:rsid w:val="0017259E"/>
    <w:rsid w:val="00172996"/>
    <w:rsid w:val="00172B76"/>
    <w:rsid w:val="00173F8E"/>
    <w:rsid w:val="001741C6"/>
    <w:rsid w:val="00174772"/>
    <w:rsid w:val="001751C2"/>
    <w:rsid w:val="001758B4"/>
    <w:rsid w:val="001761DF"/>
    <w:rsid w:val="001762A5"/>
    <w:rsid w:val="0017662C"/>
    <w:rsid w:val="0017663C"/>
    <w:rsid w:val="00176C8F"/>
    <w:rsid w:val="001772A6"/>
    <w:rsid w:val="00177D18"/>
    <w:rsid w:val="00180770"/>
    <w:rsid w:val="001809DF"/>
    <w:rsid w:val="00180A46"/>
    <w:rsid w:val="001812B0"/>
    <w:rsid w:val="0018155C"/>
    <w:rsid w:val="00181A2E"/>
    <w:rsid w:val="00182280"/>
    <w:rsid w:val="0018241D"/>
    <w:rsid w:val="001827F5"/>
    <w:rsid w:val="00182E8E"/>
    <w:rsid w:val="00183251"/>
    <w:rsid w:val="0018346E"/>
    <w:rsid w:val="00183FF9"/>
    <w:rsid w:val="0018426A"/>
    <w:rsid w:val="001849DB"/>
    <w:rsid w:val="00184A18"/>
    <w:rsid w:val="00184FA3"/>
    <w:rsid w:val="00185765"/>
    <w:rsid w:val="00185E37"/>
    <w:rsid w:val="0018703C"/>
    <w:rsid w:val="001873AB"/>
    <w:rsid w:val="001873BE"/>
    <w:rsid w:val="001873C6"/>
    <w:rsid w:val="00187740"/>
    <w:rsid w:val="00187A36"/>
    <w:rsid w:val="00187AD7"/>
    <w:rsid w:val="00187C2F"/>
    <w:rsid w:val="00190716"/>
    <w:rsid w:val="00191B09"/>
    <w:rsid w:val="00192682"/>
    <w:rsid w:val="00192B32"/>
    <w:rsid w:val="00192D39"/>
    <w:rsid w:val="00193252"/>
    <w:rsid w:val="0019544F"/>
    <w:rsid w:val="00195886"/>
    <w:rsid w:val="00195923"/>
    <w:rsid w:val="0019598B"/>
    <w:rsid w:val="00195A08"/>
    <w:rsid w:val="00195D9B"/>
    <w:rsid w:val="00195FCC"/>
    <w:rsid w:val="0019611D"/>
    <w:rsid w:val="001964FB"/>
    <w:rsid w:val="00196663"/>
    <w:rsid w:val="001969E6"/>
    <w:rsid w:val="00196B54"/>
    <w:rsid w:val="00196C63"/>
    <w:rsid w:val="00196F00"/>
    <w:rsid w:val="001A0672"/>
    <w:rsid w:val="001A0A8C"/>
    <w:rsid w:val="001A0CD2"/>
    <w:rsid w:val="001A1F54"/>
    <w:rsid w:val="001A246B"/>
    <w:rsid w:val="001A27AA"/>
    <w:rsid w:val="001A2976"/>
    <w:rsid w:val="001A35E4"/>
    <w:rsid w:val="001A3A8A"/>
    <w:rsid w:val="001A3AED"/>
    <w:rsid w:val="001A4ECE"/>
    <w:rsid w:val="001A5FAC"/>
    <w:rsid w:val="001A5FC6"/>
    <w:rsid w:val="001A7037"/>
    <w:rsid w:val="001A71DF"/>
    <w:rsid w:val="001B046F"/>
    <w:rsid w:val="001B05B6"/>
    <w:rsid w:val="001B08A5"/>
    <w:rsid w:val="001B09AD"/>
    <w:rsid w:val="001B0B91"/>
    <w:rsid w:val="001B10EA"/>
    <w:rsid w:val="001B1C81"/>
    <w:rsid w:val="001B1DC0"/>
    <w:rsid w:val="001B1F4D"/>
    <w:rsid w:val="001B26FC"/>
    <w:rsid w:val="001B2A08"/>
    <w:rsid w:val="001B3A19"/>
    <w:rsid w:val="001B3AFC"/>
    <w:rsid w:val="001B42C4"/>
    <w:rsid w:val="001B46CB"/>
    <w:rsid w:val="001B481F"/>
    <w:rsid w:val="001B4C2A"/>
    <w:rsid w:val="001B4D59"/>
    <w:rsid w:val="001B502C"/>
    <w:rsid w:val="001B5207"/>
    <w:rsid w:val="001B5456"/>
    <w:rsid w:val="001B60D7"/>
    <w:rsid w:val="001B6A39"/>
    <w:rsid w:val="001C00B5"/>
    <w:rsid w:val="001C0BE7"/>
    <w:rsid w:val="001C0D2F"/>
    <w:rsid w:val="001C0FC9"/>
    <w:rsid w:val="001C105F"/>
    <w:rsid w:val="001C111A"/>
    <w:rsid w:val="001C13E8"/>
    <w:rsid w:val="001C1543"/>
    <w:rsid w:val="001C1CFE"/>
    <w:rsid w:val="001C205F"/>
    <w:rsid w:val="001C207B"/>
    <w:rsid w:val="001C27DD"/>
    <w:rsid w:val="001C2D0C"/>
    <w:rsid w:val="001C2D51"/>
    <w:rsid w:val="001C330C"/>
    <w:rsid w:val="001C362F"/>
    <w:rsid w:val="001C3B35"/>
    <w:rsid w:val="001C3E44"/>
    <w:rsid w:val="001C496B"/>
    <w:rsid w:val="001C49B3"/>
    <w:rsid w:val="001C5006"/>
    <w:rsid w:val="001C59C7"/>
    <w:rsid w:val="001C5EC3"/>
    <w:rsid w:val="001C60BF"/>
    <w:rsid w:val="001C628E"/>
    <w:rsid w:val="001C6686"/>
    <w:rsid w:val="001C67A7"/>
    <w:rsid w:val="001C6BEB"/>
    <w:rsid w:val="001C6CAE"/>
    <w:rsid w:val="001C7629"/>
    <w:rsid w:val="001C77FF"/>
    <w:rsid w:val="001C7E5F"/>
    <w:rsid w:val="001C7F77"/>
    <w:rsid w:val="001D01D3"/>
    <w:rsid w:val="001D0841"/>
    <w:rsid w:val="001D0D8E"/>
    <w:rsid w:val="001D130A"/>
    <w:rsid w:val="001D16CC"/>
    <w:rsid w:val="001D269D"/>
    <w:rsid w:val="001D26D4"/>
    <w:rsid w:val="001D2A79"/>
    <w:rsid w:val="001D3342"/>
    <w:rsid w:val="001D3559"/>
    <w:rsid w:val="001D3DEC"/>
    <w:rsid w:val="001D451C"/>
    <w:rsid w:val="001D4545"/>
    <w:rsid w:val="001D46EC"/>
    <w:rsid w:val="001D5528"/>
    <w:rsid w:val="001D5603"/>
    <w:rsid w:val="001D57C2"/>
    <w:rsid w:val="001D5DD6"/>
    <w:rsid w:val="001D5E11"/>
    <w:rsid w:val="001D61DD"/>
    <w:rsid w:val="001D6963"/>
    <w:rsid w:val="001D6CFC"/>
    <w:rsid w:val="001D7078"/>
    <w:rsid w:val="001D7683"/>
    <w:rsid w:val="001D7885"/>
    <w:rsid w:val="001D7B74"/>
    <w:rsid w:val="001D7C96"/>
    <w:rsid w:val="001E08EB"/>
    <w:rsid w:val="001E0B18"/>
    <w:rsid w:val="001E11B5"/>
    <w:rsid w:val="001E1CAC"/>
    <w:rsid w:val="001E1FBD"/>
    <w:rsid w:val="001E403A"/>
    <w:rsid w:val="001E416E"/>
    <w:rsid w:val="001E4861"/>
    <w:rsid w:val="001E53E5"/>
    <w:rsid w:val="001E5B00"/>
    <w:rsid w:val="001E5BF8"/>
    <w:rsid w:val="001E5CAF"/>
    <w:rsid w:val="001E6339"/>
    <w:rsid w:val="001E640F"/>
    <w:rsid w:val="001E68AE"/>
    <w:rsid w:val="001E69C8"/>
    <w:rsid w:val="001E6F4D"/>
    <w:rsid w:val="001E79F6"/>
    <w:rsid w:val="001E7DA4"/>
    <w:rsid w:val="001E7F44"/>
    <w:rsid w:val="001F151F"/>
    <w:rsid w:val="001F2235"/>
    <w:rsid w:val="001F313C"/>
    <w:rsid w:val="001F3334"/>
    <w:rsid w:val="001F3350"/>
    <w:rsid w:val="001F3886"/>
    <w:rsid w:val="001F3976"/>
    <w:rsid w:val="001F3CA9"/>
    <w:rsid w:val="001F3DDA"/>
    <w:rsid w:val="001F3FE3"/>
    <w:rsid w:val="001F43AB"/>
    <w:rsid w:val="001F468A"/>
    <w:rsid w:val="001F49AB"/>
    <w:rsid w:val="001F580E"/>
    <w:rsid w:val="001F5834"/>
    <w:rsid w:val="001F6098"/>
    <w:rsid w:val="001F684D"/>
    <w:rsid w:val="001F6F4F"/>
    <w:rsid w:val="00200C89"/>
    <w:rsid w:val="00200EC6"/>
    <w:rsid w:val="00201CD1"/>
    <w:rsid w:val="002020EA"/>
    <w:rsid w:val="002023D9"/>
    <w:rsid w:val="00202B6A"/>
    <w:rsid w:val="00203C40"/>
    <w:rsid w:val="002043C6"/>
    <w:rsid w:val="002051EC"/>
    <w:rsid w:val="002054D5"/>
    <w:rsid w:val="0020663F"/>
    <w:rsid w:val="00206A78"/>
    <w:rsid w:val="00206CCC"/>
    <w:rsid w:val="00207140"/>
    <w:rsid w:val="0020717A"/>
    <w:rsid w:val="002076FE"/>
    <w:rsid w:val="00207886"/>
    <w:rsid w:val="00207ED9"/>
    <w:rsid w:val="00207F79"/>
    <w:rsid w:val="002100EF"/>
    <w:rsid w:val="002114AF"/>
    <w:rsid w:val="00212182"/>
    <w:rsid w:val="002128F2"/>
    <w:rsid w:val="00212C8B"/>
    <w:rsid w:val="002135D5"/>
    <w:rsid w:val="00213C08"/>
    <w:rsid w:val="00213FE9"/>
    <w:rsid w:val="002145D2"/>
    <w:rsid w:val="00214693"/>
    <w:rsid w:val="002150E3"/>
    <w:rsid w:val="00215345"/>
    <w:rsid w:val="00215404"/>
    <w:rsid w:val="00215B47"/>
    <w:rsid w:val="002162D1"/>
    <w:rsid w:val="00216F95"/>
    <w:rsid w:val="00216FB6"/>
    <w:rsid w:val="00217C64"/>
    <w:rsid w:val="00217CC5"/>
    <w:rsid w:val="00220CEA"/>
    <w:rsid w:val="00222315"/>
    <w:rsid w:val="00222D11"/>
    <w:rsid w:val="00222D51"/>
    <w:rsid w:val="00222EB3"/>
    <w:rsid w:val="002231EB"/>
    <w:rsid w:val="0022354B"/>
    <w:rsid w:val="0022519A"/>
    <w:rsid w:val="002253B2"/>
    <w:rsid w:val="002259A7"/>
    <w:rsid w:val="00225C3A"/>
    <w:rsid w:val="0022774A"/>
    <w:rsid w:val="00227E4A"/>
    <w:rsid w:val="002305B3"/>
    <w:rsid w:val="00230654"/>
    <w:rsid w:val="00230786"/>
    <w:rsid w:val="00230DB3"/>
    <w:rsid w:val="00231D3D"/>
    <w:rsid w:val="00231EE6"/>
    <w:rsid w:val="00232073"/>
    <w:rsid w:val="002324E3"/>
    <w:rsid w:val="00233B17"/>
    <w:rsid w:val="0023464F"/>
    <w:rsid w:val="00234ADC"/>
    <w:rsid w:val="00235903"/>
    <w:rsid w:val="00235AA6"/>
    <w:rsid w:val="00235D51"/>
    <w:rsid w:val="00235EC6"/>
    <w:rsid w:val="0023610A"/>
    <w:rsid w:val="00236435"/>
    <w:rsid w:val="0023646E"/>
    <w:rsid w:val="002371DC"/>
    <w:rsid w:val="00237318"/>
    <w:rsid w:val="0023762C"/>
    <w:rsid w:val="002376D4"/>
    <w:rsid w:val="00237B49"/>
    <w:rsid w:val="002400D6"/>
    <w:rsid w:val="0024032E"/>
    <w:rsid w:val="0024083D"/>
    <w:rsid w:val="00240A18"/>
    <w:rsid w:val="00242482"/>
    <w:rsid w:val="0024273B"/>
    <w:rsid w:val="00242915"/>
    <w:rsid w:val="0024316A"/>
    <w:rsid w:val="002432D7"/>
    <w:rsid w:val="002434CB"/>
    <w:rsid w:val="0024358C"/>
    <w:rsid w:val="00243A1D"/>
    <w:rsid w:val="00243C12"/>
    <w:rsid w:val="002454E6"/>
    <w:rsid w:val="00245BB1"/>
    <w:rsid w:val="00246A4A"/>
    <w:rsid w:val="00247159"/>
    <w:rsid w:val="002500B0"/>
    <w:rsid w:val="00250999"/>
    <w:rsid w:val="00251174"/>
    <w:rsid w:val="0025144D"/>
    <w:rsid w:val="00251E32"/>
    <w:rsid w:val="002527B0"/>
    <w:rsid w:val="00252A40"/>
    <w:rsid w:val="00252C57"/>
    <w:rsid w:val="0025313D"/>
    <w:rsid w:val="00253151"/>
    <w:rsid w:val="00253699"/>
    <w:rsid w:val="00253E95"/>
    <w:rsid w:val="00253FA4"/>
    <w:rsid w:val="0025407C"/>
    <w:rsid w:val="002544B6"/>
    <w:rsid w:val="0025471C"/>
    <w:rsid w:val="00254D1E"/>
    <w:rsid w:val="00254DFE"/>
    <w:rsid w:val="002559CE"/>
    <w:rsid w:val="0025653A"/>
    <w:rsid w:val="0025685C"/>
    <w:rsid w:val="00257780"/>
    <w:rsid w:val="002577E2"/>
    <w:rsid w:val="00260989"/>
    <w:rsid w:val="00260E2C"/>
    <w:rsid w:val="0026109C"/>
    <w:rsid w:val="002611DF"/>
    <w:rsid w:val="00261899"/>
    <w:rsid w:val="00261A14"/>
    <w:rsid w:val="002623FE"/>
    <w:rsid w:val="0026267C"/>
    <w:rsid w:val="002630C9"/>
    <w:rsid w:val="0026326F"/>
    <w:rsid w:val="00263343"/>
    <w:rsid w:val="00264191"/>
    <w:rsid w:val="00264724"/>
    <w:rsid w:val="002652B6"/>
    <w:rsid w:val="00265F04"/>
    <w:rsid w:val="00265F4A"/>
    <w:rsid w:val="0026661A"/>
    <w:rsid w:val="00266906"/>
    <w:rsid w:val="00266D76"/>
    <w:rsid w:val="00266D9D"/>
    <w:rsid w:val="00266E08"/>
    <w:rsid w:val="00266E98"/>
    <w:rsid w:val="00267914"/>
    <w:rsid w:val="00270804"/>
    <w:rsid w:val="002708E1"/>
    <w:rsid w:val="00271076"/>
    <w:rsid w:val="0027156A"/>
    <w:rsid w:val="00271B2D"/>
    <w:rsid w:val="0027228B"/>
    <w:rsid w:val="00272632"/>
    <w:rsid w:val="00272AF7"/>
    <w:rsid w:val="00273063"/>
    <w:rsid w:val="00274982"/>
    <w:rsid w:val="00274C89"/>
    <w:rsid w:val="00275846"/>
    <w:rsid w:val="002764A7"/>
    <w:rsid w:val="00276701"/>
    <w:rsid w:val="00277C36"/>
    <w:rsid w:val="00280011"/>
    <w:rsid w:val="00280187"/>
    <w:rsid w:val="002805ED"/>
    <w:rsid w:val="0028064D"/>
    <w:rsid w:val="00280851"/>
    <w:rsid w:val="00280932"/>
    <w:rsid w:val="00280BC3"/>
    <w:rsid w:val="00280C79"/>
    <w:rsid w:val="00281F47"/>
    <w:rsid w:val="0028304D"/>
    <w:rsid w:val="00283126"/>
    <w:rsid w:val="002834AC"/>
    <w:rsid w:val="0028360C"/>
    <w:rsid w:val="002843B9"/>
    <w:rsid w:val="002849CE"/>
    <w:rsid w:val="00284C3D"/>
    <w:rsid w:val="00284D03"/>
    <w:rsid w:val="00284FB8"/>
    <w:rsid w:val="00285715"/>
    <w:rsid w:val="002864F9"/>
    <w:rsid w:val="002876A4"/>
    <w:rsid w:val="002912FA"/>
    <w:rsid w:val="00291528"/>
    <w:rsid w:val="00291EDA"/>
    <w:rsid w:val="00292039"/>
    <w:rsid w:val="0029276D"/>
    <w:rsid w:val="002927E2"/>
    <w:rsid w:val="00292865"/>
    <w:rsid w:val="002929D9"/>
    <w:rsid w:val="00292B31"/>
    <w:rsid w:val="00292C2C"/>
    <w:rsid w:val="00292D49"/>
    <w:rsid w:val="00292F9D"/>
    <w:rsid w:val="00292FEC"/>
    <w:rsid w:val="002931E9"/>
    <w:rsid w:val="002934B9"/>
    <w:rsid w:val="0029365E"/>
    <w:rsid w:val="00293A35"/>
    <w:rsid w:val="002945E6"/>
    <w:rsid w:val="0029463E"/>
    <w:rsid w:val="00294C67"/>
    <w:rsid w:val="002951F4"/>
    <w:rsid w:val="00295819"/>
    <w:rsid w:val="00295961"/>
    <w:rsid w:val="00295EB6"/>
    <w:rsid w:val="00295FFE"/>
    <w:rsid w:val="0029662E"/>
    <w:rsid w:val="0029776A"/>
    <w:rsid w:val="002A01A1"/>
    <w:rsid w:val="002A0BD9"/>
    <w:rsid w:val="002A1350"/>
    <w:rsid w:val="002A1D6D"/>
    <w:rsid w:val="002A2AC9"/>
    <w:rsid w:val="002A2B35"/>
    <w:rsid w:val="002A2CEE"/>
    <w:rsid w:val="002A312C"/>
    <w:rsid w:val="002A319A"/>
    <w:rsid w:val="002A3687"/>
    <w:rsid w:val="002A3E6C"/>
    <w:rsid w:val="002A4772"/>
    <w:rsid w:val="002A5D08"/>
    <w:rsid w:val="002A78C2"/>
    <w:rsid w:val="002B024E"/>
    <w:rsid w:val="002B0604"/>
    <w:rsid w:val="002B06E1"/>
    <w:rsid w:val="002B117B"/>
    <w:rsid w:val="002B1A99"/>
    <w:rsid w:val="002B2DD9"/>
    <w:rsid w:val="002B395D"/>
    <w:rsid w:val="002B3C12"/>
    <w:rsid w:val="002B3E3B"/>
    <w:rsid w:val="002B445F"/>
    <w:rsid w:val="002B4474"/>
    <w:rsid w:val="002B4665"/>
    <w:rsid w:val="002B4F86"/>
    <w:rsid w:val="002B570F"/>
    <w:rsid w:val="002B5853"/>
    <w:rsid w:val="002B59B7"/>
    <w:rsid w:val="002B5FC5"/>
    <w:rsid w:val="002B63FB"/>
    <w:rsid w:val="002B66B1"/>
    <w:rsid w:val="002B6829"/>
    <w:rsid w:val="002B6BB8"/>
    <w:rsid w:val="002B6DED"/>
    <w:rsid w:val="002B7BF4"/>
    <w:rsid w:val="002C01C1"/>
    <w:rsid w:val="002C0751"/>
    <w:rsid w:val="002C0836"/>
    <w:rsid w:val="002C0E3B"/>
    <w:rsid w:val="002C0F6B"/>
    <w:rsid w:val="002C12ED"/>
    <w:rsid w:val="002C18F7"/>
    <w:rsid w:val="002C2082"/>
    <w:rsid w:val="002C22A2"/>
    <w:rsid w:val="002C2609"/>
    <w:rsid w:val="002C3636"/>
    <w:rsid w:val="002C3A02"/>
    <w:rsid w:val="002C3A55"/>
    <w:rsid w:val="002C3EC8"/>
    <w:rsid w:val="002C401A"/>
    <w:rsid w:val="002C4A47"/>
    <w:rsid w:val="002C5912"/>
    <w:rsid w:val="002C5CB8"/>
    <w:rsid w:val="002C5DC8"/>
    <w:rsid w:val="002C65CA"/>
    <w:rsid w:val="002C6912"/>
    <w:rsid w:val="002C6F2B"/>
    <w:rsid w:val="002C720D"/>
    <w:rsid w:val="002C77C2"/>
    <w:rsid w:val="002C7BF6"/>
    <w:rsid w:val="002C7D32"/>
    <w:rsid w:val="002C7D86"/>
    <w:rsid w:val="002D0399"/>
    <w:rsid w:val="002D0A69"/>
    <w:rsid w:val="002D10B0"/>
    <w:rsid w:val="002D130D"/>
    <w:rsid w:val="002D1488"/>
    <w:rsid w:val="002D1672"/>
    <w:rsid w:val="002D16DB"/>
    <w:rsid w:val="002D1763"/>
    <w:rsid w:val="002D238E"/>
    <w:rsid w:val="002D2A7C"/>
    <w:rsid w:val="002D3705"/>
    <w:rsid w:val="002D386A"/>
    <w:rsid w:val="002D3F00"/>
    <w:rsid w:val="002D5107"/>
    <w:rsid w:val="002D54F6"/>
    <w:rsid w:val="002D5B13"/>
    <w:rsid w:val="002D5E2F"/>
    <w:rsid w:val="002D715A"/>
    <w:rsid w:val="002D74F1"/>
    <w:rsid w:val="002D790E"/>
    <w:rsid w:val="002D7E87"/>
    <w:rsid w:val="002E0B1C"/>
    <w:rsid w:val="002E0CAA"/>
    <w:rsid w:val="002E0D82"/>
    <w:rsid w:val="002E13C1"/>
    <w:rsid w:val="002E1797"/>
    <w:rsid w:val="002E1802"/>
    <w:rsid w:val="002E1952"/>
    <w:rsid w:val="002E1BC0"/>
    <w:rsid w:val="002E23F7"/>
    <w:rsid w:val="002E2637"/>
    <w:rsid w:val="002E267F"/>
    <w:rsid w:val="002E2843"/>
    <w:rsid w:val="002E2A2A"/>
    <w:rsid w:val="002E2CD1"/>
    <w:rsid w:val="002E2FA4"/>
    <w:rsid w:val="002E2FA7"/>
    <w:rsid w:val="002E3937"/>
    <w:rsid w:val="002E3D87"/>
    <w:rsid w:val="002E470D"/>
    <w:rsid w:val="002E4A34"/>
    <w:rsid w:val="002E4FB3"/>
    <w:rsid w:val="002E57E3"/>
    <w:rsid w:val="002E636B"/>
    <w:rsid w:val="002E68E5"/>
    <w:rsid w:val="002E7B70"/>
    <w:rsid w:val="002E7E62"/>
    <w:rsid w:val="002F02FD"/>
    <w:rsid w:val="002F03F1"/>
    <w:rsid w:val="002F09D3"/>
    <w:rsid w:val="002F0D33"/>
    <w:rsid w:val="002F0FE9"/>
    <w:rsid w:val="002F197C"/>
    <w:rsid w:val="002F1B2A"/>
    <w:rsid w:val="002F1ED6"/>
    <w:rsid w:val="002F31BD"/>
    <w:rsid w:val="002F322C"/>
    <w:rsid w:val="002F420E"/>
    <w:rsid w:val="002F431C"/>
    <w:rsid w:val="002F4D11"/>
    <w:rsid w:val="002F4DCD"/>
    <w:rsid w:val="002F6812"/>
    <w:rsid w:val="002F685C"/>
    <w:rsid w:val="002F68ED"/>
    <w:rsid w:val="002F6C35"/>
    <w:rsid w:val="002F6C85"/>
    <w:rsid w:val="002F6CFB"/>
    <w:rsid w:val="002F6D3A"/>
    <w:rsid w:val="002F6EA7"/>
    <w:rsid w:val="003001F6"/>
    <w:rsid w:val="003003D4"/>
    <w:rsid w:val="0030050D"/>
    <w:rsid w:val="00300E19"/>
    <w:rsid w:val="003013B3"/>
    <w:rsid w:val="003024B2"/>
    <w:rsid w:val="00302540"/>
    <w:rsid w:val="003025F6"/>
    <w:rsid w:val="00302B53"/>
    <w:rsid w:val="00303213"/>
    <w:rsid w:val="00303643"/>
    <w:rsid w:val="00303D41"/>
    <w:rsid w:val="003045DA"/>
    <w:rsid w:val="00305FB6"/>
    <w:rsid w:val="003060E5"/>
    <w:rsid w:val="003063EC"/>
    <w:rsid w:val="00306BEA"/>
    <w:rsid w:val="00311121"/>
    <w:rsid w:val="0031133C"/>
    <w:rsid w:val="00311638"/>
    <w:rsid w:val="003116B1"/>
    <w:rsid w:val="00311722"/>
    <w:rsid w:val="00311844"/>
    <w:rsid w:val="0031199B"/>
    <w:rsid w:val="00312160"/>
    <w:rsid w:val="0031222C"/>
    <w:rsid w:val="003130F3"/>
    <w:rsid w:val="00313141"/>
    <w:rsid w:val="003134D4"/>
    <w:rsid w:val="00313DC2"/>
    <w:rsid w:val="00314BA9"/>
    <w:rsid w:val="00314CDF"/>
    <w:rsid w:val="003152F4"/>
    <w:rsid w:val="003160A9"/>
    <w:rsid w:val="0031622C"/>
    <w:rsid w:val="0031772E"/>
    <w:rsid w:val="003201F2"/>
    <w:rsid w:val="00320258"/>
    <w:rsid w:val="00320CB8"/>
    <w:rsid w:val="0032148E"/>
    <w:rsid w:val="00321794"/>
    <w:rsid w:val="0032186D"/>
    <w:rsid w:val="00321CBC"/>
    <w:rsid w:val="0032227A"/>
    <w:rsid w:val="0032283E"/>
    <w:rsid w:val="003228CD"/>
    <w:rsid w:val="00322DF1"/>
    <w:rsid w:val="00323482"/>
    <w:rsid w:val="00323BF0"/>
    <w:rsid w:val="00323E2D"/>
    <w:rsid w:val="00324F1F"/>
    <w:rsid w:val="00325212"/>
    <w:rsid w:val="00325BAE"/>
    <w:rsid w:val="003260D9"/>
    <w:rsid w:val="003262C6"/>
    <w:rsid w:val="00326393"/>
    <w:rsid w:val="0032687F"/>
    <w:rsid w:val="00327258"/>
    <w:rsid w:val="00327E71"/>
    <w:rsid w:val="003307CD"/>
    <w:rsid w:val="00330AA6"/>
    <w:rsid w:val="00330D66"/>
    <w:rsid w:val="0033183E"/>
    <w:rsid w:val="00331A9B"/>
    <w:rsid w:val="00332559"/>
    <w:rsid w:val="00332FB4"/>
    <w:rsid w:val="00333F7D"/>
    <w:rsid w:val="00333F8F"/>
    <w:rsid w:val="00335312"/>
    <w:rsid w:val="00335B41"/>
    <w:rsid w:val="00335B81"/>
    <w:rsid w:val="00336212"/>
    <w:rsid w:val="00337069"/>
    <w:rsid w:val="003370FC"/>
    <w:rsid w:val="00337466"/>
    <w:rsid w:val="00340B3A"/>
    <w:rsid w:val="00340E2F"/>
    <w:rsid w:val="00341203"/>
    <w:rsid w:val="00341375"/>
    <w:rsid w:val="00341E6C"/>
    <w:rsid w:val="003420B0"/>
    <w:rsid w:val="00342495"/>
    <w:rsid w:val="00342EDF"/>
    <w:rsid w:val="00343533"/>
    <w:rsid w:val="0034384C"/>
    <w:rsid w:val="00344045"/>
    <w:rsid w:val="0034476C"/>
    <w:rsid w:val="003447A5"/>
    <w:rsid w:val="00344C4F"/>
    <w:rsid w:val="003452C3"/>
    <w:rsid w:val="00345858"/>
    <w:rsid w:val="003458AD"/>
    <w:rsid w:val="00345989"/>
    <w:rsid w:val="003459D3"/>
    <w:rsid w:val="00346912"/>
    <w:rsid w:val="00346ACD"/>
    <w:rsid w:val="00346BDA"/>
    <w:rsid w:val="003472B4"/>
    <w:rsid w:val="00347C13"/>
    <w:rsid w:val="003500B8"/>
    <w:rsid w:val="00350441"/>
    <w:rsid w:val="003505C6"/>
    <w:rsid w:val="00350C45"/>
    <w:rsid w:val="00350C76"/>
    <w:rsid w:val="00350D23"/>
    <w:rsid w:val="00351610"/>
    <w:rsid w:val="00351DE7"/>
    <w:rsid w:val="0035225F"/>
    <w:rsid w:val="00352C6D"/>
    <w:rsid w:val="00352E0B"/>
    <w:rsid w:val="00353AD4"/>
    <w:rsid w:val="00353C56"/>
    <w:rsid w:val="00353D9C"/>
    <w:rsid w:val="003547DD"/>
    <w:rsid w:val="00354B24"/>
    <w:rsid w:val="00355438"/>
    <w:rsid w:val="00355986"/>
    <w:rsid w:val="00355B55"/>
    <w:rsid w:val="00355B89"/>
    <w:rsid w:val="00355D99"/>
    <w:rsid w:val="00357B03"/>
    <w:rsid w:val="00361984"/>
    <w:rsid w:val="00361AAC"/>
    <w:rsid w:val="00361FFA"/>
    <w:rsid w:val="00362BF3"/>
    <w:rsid w:val="00362E1D"/>
    <w:rsid w:val="00362EFE"/>
    <w:rsid w:val="00363115"/>
    <w:rsid w:val="00363F73"/>
    <w:rsid w:val="00364696"/>
    <w:rsid w:val="00364C5D"/>
    <w:rsid w:val="00364E52"/>
    <w:rsid w:val="003656A9"/>
    <w:rsid w:val="003657B5"/>
    <w:rsid w:val="00365886"/>
    <w:rsid w:val="00365CE6"/>
    <w:rsid w:val="00365E62"/>
    <w:rsid w:val="00366165"/>
    <w:rsid w:val="00367036"/>
    <w:rsid w:val="0036730E"/>
    <w:rsid w:val="00367A8E"/>
    <w:rsid w:val="00367BF3"/>
    <w:rsid w:val="00370155"/>
    <w:rsid w:val="003712EC"/>
    <w:rsid w:val="00371372"/>
    <w:rsid w:val="003713AB"/>
    <w:rsid w:val="00372205"/>
    <w:rsid w:val="00372D15"/>
    <w:rsid w:val="003730FB"/>
    <w:rsid w:val="0037364E"/>
    <w:rsid w:val="003739BC"/>
    <w:rsid w:val="003739F5"/>
    <w:rsid w:val="00373BF4"/>
    <w:rsid w:val="00373E45"/>
    <w:rsid w:val="00374524"/>
    <w:rsid w:val="0037494C"/>
    <w:rsid w:val="00374E1F"/>
    <w:rsid w:val="0037504F"/>
    <w:rsid w:val="003750EE"/>
    <w:rsid w:val="00375AFB"/>
    <w:rsid w:val="00376132"/>
    <w:rsid w:val="0037633F"/>
    <w:rsid w:val="003773E0"/>
    <w:rsid w:val="0037744F"/>
    <w:rsid w:val="003775C6"/>
    <w:rsid w:val="00377625"/>
    <w:rsid w:val="00377DC2"/>
    <w:rsid w:val="00377DC5"/>
    <w:rsid w:val="00381124"/>
    <w:rsid w:val="0038193B"/>
    <w:rsid w:val="00382A11"/>
    <w:rsid w:val="0038355A"/>
    <w:rsid w:val="00383BC9"/>
    <w:rsid w:val="003843C3"/>
    <w:rsid w:val="00384820"/>
    <w:rsid w:val="00385091"/>
    <w:rsid w:val="003854EA"/>
    <w:rsid w:val="0038583F"/>
    <w:rsid w:val="00385BBD"/>
    <w:rsid w:val="00386518"/>
    <w:rsid w:val="003872E8"/>
    <w:rsid w:val="003876D3"/>
    <w:rsid w:val="00387D16"/>
    <w:rsid w:val="00390AE0"/>
    <w:rsid w:val="00390C99"/>
    <w:rsid w:val="00390DE4"/>
    <w:rsid w:val="00390EC3"/>
    <w:rsid w:val="00390FE1"/>
    <w:rsid w:val="00391182"/>
    <w:rsid w:val="003919F5"/>
    <w:rsid w:val="00392756"/>
    <w:rsid w:val="00393E7B"/>
    <w:rsid w:val="00393FC3"/>
    <w:rsid w:val="003948C3"/>
    <w:rsid w:val="00394FF3"/>
    <w:rsid w:val="00395DC1"/>
    <w:rsid w:val="00396BB3"/>
    <w:rsid w:val="00396C01"/>
    <w:rsid w:val="00396EE8"/>
    <w:rsid w:val="003A0252"/>
    <w:rsid w:val="003A033E"/>
    <w:rsid w:val="003A03D3"/>
    <w:rsid w:val="003A117C"/>
    <w:rsid w:val="003A1420"/>
    <w:rsid w:val="003A1747"/>
    <w:rsid w:val="003A208F"/>
    <w:rsid w:val="003A2427"/>
    <w:rsid w:val="003A2B61"/>
    <w:rsid w:val="003A31A8"/>
    <w:rsid w:val="003A3764"/>
    <w:rsid w:val="003A39EF"/>
    <w:rsid w:val="003A3FE1"/>
    <w:rsid w:val="003A4483"/>
    <w:rsid w:val="003A452B"/>
    <w:rsid w:val="003A45B8"/>
    <w:rsid w:val="003A4E92"/>
    <w:rsid w:val="003A52C2"/>
    <w:rsid w:val="003A54A8"/>
    <w:rsid w:val="003A59A3"/>
    <w:rsid w:val="003A59FD"/>
    <w:rsid w:val="003A654C"/>
    <w:rsid w:val="003A6C05"/>
    <w:rsid w:val="003A75CB"/>
    <w:rsid w:val="003A79E2"/>
    <w:rsid w:val="003A7BFA"/>
    <w:rsid w:val="003B02AC"/>
    <w:rsid w:val="003B02CC"/>
    <w:rsid w:val="003B090A"/>
    <w:rsid w:val="003B13DD"/>
    <w:rsid w:val="003B252F"/>
    <w:rsid w:val="003B2BDB"/>
    <w:rsid w:val="003B2CC8"/>
    <w:rsid w:val="003B2F6F"/>
    <w:rsid w:val="003B32AE"/>
    <w:rsid w:val="003B4687"/>
    <w:rsid w:val="003B48DC"/>
    <w:rsid w:val="003B4E55"/>
    <w:rsid w:val="003B6870"/>
    <w:rsid w:val="003B6897"/>
    <w:rsid w:val="003B69F5"/>
    <w:rsid w:val="003B6A7D"/>
    <w:rsid w:val="003B7648"/>
    <w:rsid w:val="003B7864"/>
    <w:rsid w:val="003B7A6D"/>
    <w:rsid w:val="003B7BAD"/>
    <w:rsid w:val="003B7E50"/>
    <w:rsid w:val="003B7E88"/>
    <w:rsid w:val="003B7F85"/>
    <w:rsid w:val="003C0FBF"/>
    <w:rsid w:val="003C1079"/>
    <w:rsid w:val="003C1111"/>
    <w:rsid w:val="003C16AF"/>
    <w:rsid w:val="003C16E4"/>
    <w:rsid w:val="003C1C48"/>
    <w:rsid w:val="003C21F1"/>
    <w:rsid w:val="003C23E9"/>
    <w:rsid w:val="003C2BB3"/>
    <w:rsid w:val="003C3108"/>
    <w:rsid w:val="003C31B2"/>
    <w:rsid w:val="003C3411"/>
    <w:rsid w:val="003C34BF"/>
    <w:rsid w:val="003C44C8"/>
    <w:rsid w:val="003C5715"/>
    <w:rsid w:val="003C571C"/>
    <w:rsid w:val="003C6B10"/>
    <w:rsid w:val="003C6DCE"/>
    <w:rsid w:val="003C7647"/>
    <w:rsid w:val="003C76F6"/>
    <w:rsid w:val="003D0548"/>
    <w:rsid w:val="003D0852"/>
    <w:rsid w:val="003D0F69"/>
    <w:rsid w:val="003D1211"/>
    <w:rsid w:val="003D1A02"/>
    <w:rsid w:val="003D1BE5"/>
    <w:rsid w:val="003D1CD8"/>
    <w:rsid w:val="003D22A8"/>
    <w:rsid w:val="003D2B00"/>
    <w:rsid w:val="003D2E5A"/>
    <w:rsid w:val="003D3336"/>
    <w:rsid w:val="003D36A0"/>
    <w:rsid w:val="003D3B1B"/>
    <w:rsid w:val="003D4BA2"/>
    <w:rsid w:val="003D4F45"/>
    <w:rsid w:val="003D4F84"/>
    <w:rsid w:val="003D590B"/>
    <w:rsid w:val="003D5CEE"/>
    <w:rsid w:val="003D6787"/>
    <w:rsid w:val="003D6E3D"/>
    <w:rsid w:val="003D7D6B"/>
    <w:rsid w:val="003D7F18"/>
    <w:rsid w:val="003E0175"/>
    <w:rsid w:val="003E0754"/>
    <w:rsid w:val="003E0DDE"/>
    <w:rsid w:val="003E14A8"/>
    <w:rsid w:val="003E1807"/>
    <w:rsid w:val="003E2862"/>
    <w:rsid w:val="003E2AFE"/>
    <w:rsid w:val="003E2CB8"/>
    <w:rsid w:val="003E3255"/>
    <w:rsid w:val="003E3C14"/>
    <w:rsid w:val="003E40A3"/>
    <w:rsid w:val="003E4223"/>
    <w:rsid w:val="003E4296"/>
    <w:rsid w:val="003E46CB"/>
    <w:rsid w:val="003E48F6"/>
    <w:rsid w:val="003E4C21"/>
    <w:rsid w:val="003E5229"/>
    <w:rsid w:val="003E537E"/>
    <w:rsid w:val="003E60F3"/>
    <w:rsid w:val="003E6E28"/>
    <w:rsid w:val="003E72BF"/>
    <w:rsid w:val="003E78A9"/>
    <w:rsid w:val="003E79DD"/>
    <w:rsid w:val="003F0D12"/>
    <w:rsid w:val="003F117A"/>
    <w:rsid w:val="003F134D"/>
    <w:rsid w:val="003F1448"/>
    <w:rsid w:val="003F1883"/>
    <w:rsid w:val="003F1E71"/>
    <w:rsid w:val="003F207B"/>
    <w:rsid w:val="003F2138"/>
    <w:rsid w:val="003F21EF"/>
    <w:rsid w:val="003F24E1"/>
    <w:rsid w:val="003F2A59"/>
    <w:rsid w:val="003F31C3"/>
    <w:rsid w:val="003F3F8C"/>
    <w:rsid w:val="003F4287"/>
    <w:rsid w:val="003F476A"/>
    <w:rsid w:val="003F494F"/>
    <w:rsid w:val="003F4D82"/>
    <w:rsid w:val="003F6D33"/>
    <w:rsid w:val="00400FF0"/>
    <w:rsid w:val="0040110B"/>
    <w:rsid w:val="00401B50"/>
    <w:rsid w:val="00401EAF"/>
    <w:rsid w:val="00402B21"/>
    <w:rsid w:val="00402BD4"/>
    <w:rsid w:val="00403142"/>
    <w:rsid w:val="0040321F"/>
    <w:rsid w:val="0040339E"/>
    <w:rsid w:val="004036A3"/>
    <w:rsid w:val="00403AEB"/>
    <w:rsid w:val="00403E12"/>
    <w:rsid w:val="00404182"/>
    <w:rsid w:val="00404D46"/>
    <w:rsid w:val="00404E45"/>
    <w:rsid w:val="0040568D"/>
    <w:rsid w:val="00405CC7"/>
    <w:rsid w:val="0040699F"/>
    <w:rsid w:val="00406BDB"/>
    <w:rsid w:val="00406ECF"/>
    <w:rsid w:val="00407490"/>
    <w:rsid w:val="0040779A"/>
    <w:rsid w:val="00407BC2"/>
    <w:rsid w:val="00407EE0"/>
    <w:rsid w:val="004103A9"/>
    <w:rsid w:val="0041153F"/>
    <w:rsid w:val="004115D5"/>
    <w:rsid w:val="00411F07"/>
    <w:rsid w:val="0041209C"/>
    <w:rsid w:val="00413198"/>
    <w:rsid w:val="00413495"/>
    <w:rsid w:val="00414092"/>
    <w:rsid w:val="004147C7"/>
    <w:rsid w:val="00415344"/>
    <w:rsid w:val="00415F49"/>
    <w:rsid w:val="004161BC"/>
    <w:rsid w:val="00416269"/>
    <w:rsid w:val="00416922"/>
    <w:rsid w:val="00417233"/>
    <w:rsid w:val="00420233"/>
    <w:rsid w:val="004203ED"/>
    <w:rsid w:val="0042089F"/>
    <w:rsid w:val="0042090B"/>
    <w:rsid w:val="00420A87"/>
    <w:rsid w:val="0042194E"/>
    <w:rsid w:val="00421C74"/>
    <w:rsid w:val="00421F06"/>
    <w:rsid w:val="00422146"/>
    <w:rsid w:val="004221E3"/>
    <w:rsid w:val="004225DB"/>
    <w:rsid w:val="004225E6"/>
    <w:rsid w:val="004228C2"/>
    <w:rsid w:val="0042297A"/>
    <w:rsid w:val="004237B2"/>
    <w:rsid w:val="004240A4"/>
    <w:rsid w:val="00424494"/>
    <w:rsid w:val="0042459C"/>
    <w:rsid w:val="00424D4F"/>
    <w:rsid w:val="00425270"/>
    <w:rsid w:val="00426489"/>
    <w:rsid w:val="0042708E"/>
    <w:rsid w:val="004270A8"/>
    <w:rsid w:val="004275B6"/>
    <w:rsid w:val="00427752"/>
    <w:rsid w:val="004300F8"/>
    <w:rsid w:val="004302F8"/>
    <w:rsid w:val="004304ED"/>
    <w:rsid w:val="004307EA"/>
    <w:rsid w:val="00430A5F"/>
    <w:rsid w:val="00431872"/>
    <w:rsid w:val="00431B90"/>
    <w:rsid w:val="00432133"/>
    <w:rsid w:val="0043243D"/>
    <w:rsid w:val="00432C50"/>
    <w:rsid w:val="00433435"/>
    <w:rsid w:val="0043380E"/>
    <w:rsid w:val="00433911"/>
    <w:rsid w:val="00433D11"/>
    <w:rsid w:val="0043459A"/>
    <w:rsid w:val="00434772"/>
    <w:rsid w:val="004349E2"/>
    <w:rsid w:val="00434E4B"/>
    <w:rsid w:val="00436410"/>
    <w:rsid w:val="0043642E"/>
    <w:rsid w:val="00436451"/>
    <w:rsid w:val="00436987"/>
    <w:rsid w:val="0043701D"/>
    <w:rsid w:val="0043776C"/>
    <w:rsid w:val="00441A0B"/>
    <w:rsid w:val="00441C08"/>
    <w:rsid w:val="00442DCB"/>
    <w:rsid w:val="00442E87"/>
    <w:rsid w:val="00442F5F"/>
    <w:rsid w:val="00443118"/>
    <w:rsid w:val="00443171"/>
    <w:rsid w:val="004433E0"/>
    <w:rsid w:val="0044344E"/>
    <w:rsid w:val="00443730"/>
    <w:rsid w:val="00443A7E"/>
    <w:rsid w:val="00443E11"/>
    <w:rsid w:val="00444139"/>
    <w:rsid w:val="00444D0D"/>
    <w:rsid w:val="00445476"/>
    <w:rsid w:val="00445649"/>
    <w:rsid w:val="004457B5"/>
    <w:rsid w:val="0044590E"/>
    <w:rsid w:val="00445922"/>
    <w:rsid w:val="00445E05"/>
    <w:rsid w:val="004460EC"/>
    <w:rsid w:val="00446884"/>
    <w:rsid w:val="00446906"/>
    <w:rsid w:val="00446C01"/>
    <w:rsid w:val="00446C5F"/>
    <w:rsid w:val="004478CC"/>
    <w:rsid w:val="00447CCF"/>
    <w:rsid w:val="00450B59"/>
    <w:rsid w:val="00450BAF"/>
    <w:rsid w:val="0045115F"/>
    <w:rsid w:val="00451F37"/>
    <w:rsid w:val="00452034"/>
    <w:rsid w:val="00452AB1"/>
    <w:rsid w:val="004533AC"/>
    <w:rsid w:val="004537E6"/>
    <w:rsid w:val="004539D3"/>
    <w:rsid w:val="00453E5F"/>
    <w:rsid w:val="0045432E"/>
    <w:rsid w:val="004543E2"/>
    <w:rsid w:val="00454DF4"/>
    <w:rsid w:val="004550B8"/>
    <w:rsid w:val="0045606F"/>
    <w:rsid w:val="00456AE5"/>
    <w:rsid w:val="004570FC"/>
    <w:rsid w:val="00457324"/>
    <w:rsid w:val="004578D5"/>
    <w:rsid w:val="00457C11"/>
    <w:rsid w:val="00460013"/>
    <w:rsid w:val="004606C6"/>
    <w:rsid w:val="0046072C"/>
    <w:rsid w:val="00460A51"/>
    <w:rsid w:val="00460D84"/>
    <w:rsid w:val="004613C8"/>
    <w:rsid w:val="004614F9"/>
    <w:rsid w:val="0046173E"/>
    <w:rsid w:val="0046240F"/>
    <w:rsid w:val="00462BB4"/>
    <w:rsid w:val="00462C0E"/>
    <w:rsid w:val="00463B86"/>
    <w:rsid w:val="00463B9F"/>
    <w:rsid w:val="004659A4"/>
    <w:rsid w:val="00465BDA"/>
    <w:rsid w:val="0046612A"/>
    <w:rsid w:val="0046644F"/>
    <w:rsid w:val="0046651F"/>
    <w:rsid w:val="00466531"/>
    <w:rsid w:val="00466745"/>
    <w:rsid w:val="00466B82"/>
    <w:rsid w:val="004671B4"/>
    <w:rsid w:val="004678FC"/>
    <w:rsid w:val="00467DB6"/>
    <w:rsid w:val="00467EA3"/>
    <w:rsid w:val="00470DD7"/>
    <w:rsid w:val="00471068"/>
    <w:rsid w:val="00471262"/>
    <w:rsid w:val="00471953"/>
    <w:rsid w:val="00471972"/>
    <w:rsid w:val="0047243B"/>
    <w:rsid w:val="00472B86"/>
    <w:rsid w:val="00472BC0"/>
    <w:rsid w:val="00472EF6"/>
    <w:rsid w:val="004732A8"/>
    <w:rsid w:val="004734CA"/>
    <w:rsid w:val="004735C6"/>
    <w:rsid w:val="00473832"/>
    <w:rsid w:val="00473F9F"/>
    <w:rsid w:val="0047407A"/>
    <w:rsid w:val="0047499C"/>
    <w:rsid w:val="004754F2"/>
    <w:rsid w:val="004762EB"/>
    <w:rsid w:val="004765A1"/>
    <w:rsid w:val="0047704F"/>
    <w:rsid w:val="00477AAC"/>
    <w:rsid w:val="00477DAD"/>
    <w:rsid w:val="004800DC"/>
    <w:rsid w:val="00481273"/>
    <w:rsid w:val="004813A6"/>
    <w:rsid w:val="00481C27"/>
    <w:rsid w:val="00482081"/>
    <w:rsid w:val="00482CEC"/>
    <w:rsid w:val="004830DF"/>
    <w:rsid w:val="004834C0"/>
    <w:rsid w:val="004839FB"/>
    <w:rsid w:val="00483A2E"/>
    <w:rsid w:val="00483D24"/>
    <w:rsid w:val="00484761"/>
    <w:rsid w:val="00485731"/>
    <w:rsid w:val="0048574E"/>
    <w:rsid w:val="00485CE4"/>
    <w:rsid w:val="00486092"/>
    <w:rsid w:val="0048631E"/>
    <w:rsid w:val="0048788A"/>
    <w:rsid w:val="00491142"/>
    <w:rsid w:val="004914FE"/>
    <w:rsid w:val="00491853"/>
    <w:rsid w:val="00491915"/>
    <w:rsid w:val="004921AB"/>
    <w:rsid w:val="0049225F"/>
    <w:rsid w:val="00492349"/>
    <w:rsid w:val="00492718"/>
    <w:rsid w:val="00492766"/>
    <w:rsid w:val="00492B0B"/>
    <w:rsid w:val="004931D3"/>
    <w:rsid w:val="004932D9"/>
    <w:rsid w:val="00494091"/>
    <w:rsid w:val="004945B1"/>
    <w:rsid w:val="00494D06"/>
    <w:rsid w:val="00495674"/>
    <w:rsid w:val="00496010"/>
    <w:rsid w:val="00496048"/>
    <w:rsid w:val="00496291"/>
    <w:rsid w:val="00496539"/>
    <w:rsid w:val="0049677B"/>
    <w:rsid w:val="00497C37"/>
    <w:rsid w:val="004A02B5"/>
    <w:rsid w:val="004A1899"/>
    <w:rsid w:val="004A1B7A"/>
    <w:rsid w:val="004A2117"/>
    <w:rsid w:val="004A2C9C"/>
    <w:rsid w:val="004A2D23"/>
    <w:rsid w:val="004A3149"/>
    <w:rsid w:val="004A3773"/>
    <w:rsid w:val="004A3C08"/>
    <w:rsid w:val="004A4069"/>
    <w:rsid w:val="004A40CA"/>
    <w:rsid w:val="004A484B"/>
    <w:rsid w:val="004A4AFF"/>
    <w:rsid w:val="004A50D8"/>
    <w:rsid w:val="004A524C"/>
    <w:rsid w:val="004A55F0"/>
    <w:rsid w:val="004A57B8"/>
    <w:rsid w:val="004A58FD"/>
    <w:rsid w:val="004A678F"/>
    <w:rsid w:val="004A6979"/>
    <w:rsid w:val="004A69F6"/>
    <w:rsid w:val="004B12FD"/>
    <w:rsid w:val="004B1500"/>
    <w:rsid w:val="004B1923"/>
    <w:rsid w:val="004B1F39"/>
    <w:rsid w:val="004B24EB"/>
    <w:rsid w:val="004B37CB"/>
    <w:rsid w:val="004B3BB2"/>
    <w:rsid w:val="004B439F"/>
    <w:rsid w:val="004B4E3D"/>
    <w:rsid w:val="004B572A"/>
    <w:rsid w:val="004B6443"/>
    <w:rsid w:val="004B65D2"/>
    <w:rsid w:val="004B670A"/>
    <w:rsid w:val="004B6CDA"/>
    <w:rsid w:val="004B711C"/>
    <w:rsid w:val="004B7124"/>
    <w:rsid w:val="004C0292"/>
    <w:rsid w:val="004C02A0"/>
    <w:rsid w:val="004C0657"/>
    <w:rsid w:val="004C0D00"/>
    <w:rsid w:val="004C1967"/>
    <w:rsid w:val="004C1D0D"/>
    <w:rsid w:val="004C25D7"/>
    <w:rsid w:val="004C2AFF"/>
    <w:rsid w:val="004C3821"/>
    <w:rsid w:val="004C3AE6"/>
    <w:rsid w:val="004C402F"/>
    <w:rsid w:val="004C4733"/>
    <w:rsid w:val="004C490D"/>
    <w:rsid w:val="004C4C79"/>
    <w:rsid w:val="004C721D"/>
    <w:rsid w:val="004C758D"/>
    <w:rsid w:val="004C760C"/>
    <w:rsid w:val="004C77D6"/>
    <w:rsid w:val="004C7F4A"/>
    <w:rsid w:val="004D0058"/>
    <w:rsid w:val="004D0145"/>
    <w:rsid w:val="004D0205"/>
    <w:rsid w:val="004D02D1"/>
    <w:rsid w:val="004D0C45"/>
    <w:rsid w:val="004D0FEB"/>
    <w:rsid w:val="004D1CF0"/>
    <w:rsid w:val="004D2B05"/>
    <w:rsid w:val="004D362A"/>
    <w:rsid w:val="004D3672"/>
    <w:rsid w:val="004D3929"/>
    <w:rsid w:val="004D397B"/>
    <w:rsid w:val="004D3F78"/>
    <w:rsid w:val="004D4030"/>
    <w:rsid w:val="004D4D49"/>
    <w:rsid w:val="004D5372"/>
    <w:rsid w:val="004D565D"/>
    <w:rsid w:val="004D5FA1"/>
    <w:rsid w:val="004D6AD3"/>
    <w:rsid w:val="004D6CEF"/>
    <w:rsid w:val="004D7416"/>
    <w:rsid w:val="004D7C51"/>
    <w:rsid w:val="004E049C"/>
    <w:rsid w:val="004E057E"/>
    <w:rsid w:val="004E061D"/>
    <w:rsid w:val="004E237D"/>
    <w:rsid w:val="004E2AA5"/>
    <w:rsid w:val="004E2E96"/>
    <w:rsid w:val="004E336D"/>
    <w:rsid w:val="004E445F"/>
    <w:rsid w:val="004E51AF"/>
    <w:rsid w:val="004E5711"/>
    <w:rsid w:val="004E5E87"/>
    <w:rsid w:val="004E626F"/>
    <w:rsid w:val="004E63B1"/>
    <w:rsid w:val="004E7B65"/>
    <w:rsid w:val="004E7C6D"/>
    <w:rsid w:val="004F02BD"/>
    <w:rsid w:val="004F041B"/>
    <w:rsid w:val="004F0781"/>
    <w:rsid w:val="004F0D23"/>
    <w:rsid w:val="004F16F9"/>
    <w:rsid w:val="004F19EE"/>
    <w:rsid w:val="004F1CE8"/>
    <w:rsid w:val="004F1ED2"/>
    <w:rsid w:val="004F267C"/>
    <w:rsid w:val="004F3240"/>
    <w:rsid w:val="004F3A8E"/>
    <w:rsid w:val="004F3F5B"/>
    <w:rsid w:val="004F3FC7"/>
    <w:rsid w:val="004F4741"/>
    <w:rsid w:val="004F57C8"/>
    <w:rsid w:val="004F58EF"/>
    <w:rsid w:val="004F6953"/>
    <w:rsid w:val="004F6EFE"/>
    <w:rsid w:val="004F740D"/>
    <w:rsid w:val="004F7647"/>
    <w:rsid w:val="004F7DB2"/>
    <w:rsid w:val="005005E7"/>
    <w:rsid w:val="00500688"/>
    <w:rsid w:val="00501134"/>
    <w:rsid w:val="005020B1"/>
    <w:rsid w:val="005026FF"/>
    <w:rsid w:val="00502D8B"/>
    <w:rsid w:val="0050373F"/>
    <w:rsid w:val="005039A3"/>
    <w:rsid w:val="0050455D"/>
    <w:rsid w:val="00504562"/>
    <w:rsid w:val="00504D78"/>
    <w:rsid w:val="00505518"/>
    <w:rsid w:val="0050576A"/>
    <w:rsid w:val="005062EE"/>
    <w:rsid w:val="0050686E"/>
    <w:rsid w:val="0050755D"/>
    <w:rsid w:val="005076C3"/>
    <w:rsid w:val="00507A53"/>
    <w:rsid w:val="005106C6"/>
    <w:rsid w:val="005113AA"/>
    <w:rsid w:val="005114B6"/>
    <w:rsid w:val="00511B9B"/>
    <w:rsid w:val="00511D08"/>
    <w:rsid w:val="00511E8C"/>
    <w:rsid w:val="00512343"/>
    <w:rsid w:val="00512552"/>
    <w:rsid w:val="005129CB"/>
    <w:rsid w:val="00512CD1"/>
    <w:rsid w:val="005136D6"/>
    <w:rsid w:val="00514837"/>
    <w:rsid w:val="00514DBA"/>
    <w:rsid w:val="00514EF5"/>
    <w:rsid w:val="00514F97"/>
    <w:rsid w:val="00515187"/>
    <w:rsid w:val="005154FC"/>
    <w:rsid w:val="00516029"/>
    <w:rsid w:val="005161D2"/>
    <w:rsid w:val="0051632C"/>
    <w:rsid w:val="0051641A"/>
    <w:rsid w:val="005169AF"/>
    <w:rsid w:val="00517CC4"/>
    <w:rsid w:val="00520013"/>
    <w:rsid w:val="00520067"/>
    <w:rsid w:val="00520087"/>
    <w:rsid w:val="005202E0"/>
    <w:rsid w:val="005203D1"/>
    <w:rsid w:val="00520718"/>
    <w:rsid w:val="00521F4A"/>
    <w:rsid w:val="005222BA"/>
    <w:rsid w:val="00522307"/>
    <w:rsid w:val="0052294F"/>
    <w:rsid w:val="00522B48"/>
    <w:rsid w:val="005233EF"/>
    <w:rsid w:val="0052443F"/>
    <w:rsid w:val="005249ED"/>
    <w:rsid w:val="005249F0"/>
    <w:rsid w:val="00524AB4"/>
    <w:rsid w:val="00524F10"/>
    <w:rsid w:val="00525195"/>
    <w:rsid w:val="0052542B"/>
    <w:rsid w:val="00525BAD"/>
    <w:rsid w:val="00525C8B"/>
    <w:rsid w:val="00525F0B"/>
    <w:rsid w:val="00527226"/>
    <w:rsid w:val="005276A3"/>
    <w:rsid w:val="00527860"/>
    <w:rsid w:val="00530584"/>
    <w:rsid w:val="00530810"/>
    <w:rsid w:val="00530C6C"/>
    <w:rsid w:val="00530CE7"/>
    <w:rsid w:val="00532169"/>
    <w:rsid w:val="00532CEF"/>
    <w:rsid w:val="00532E32"/>
    <w:rsid w:val="00532FF3"/>
    <w:rsid w:val="005346B7"/>
    <w:rsid w:val="00534A60"/>
    <w:rsid w:val="00534B3C"/>
    <w:rsid w:val="00534B70"/>
    <w:rsid w:val="00535472"/>
    <w:rsid w:val="00535484"/>
    <w:rsid w:val="005356CB"/>
    <w:rsid w:val="005361AC"/>
    <w:rsid w:val="005362EE"/>
    <w:rsid w:val="00536640"/>
    <w:rsid w:val="005367E5"/>
    <w:rsid w:val="00536A8D"/>
    <w:rsid w:val="00536C12"/>
    <w:rsid w:val="00537DEB"/>
    <w:rsid w:val="00540ADE"/>
    <w:rsid w:val="00540CD4"/>
    <w:rsid w:val="00541607"/>
    <w:rsid w:val="00541FA7"/>
    <w:rsid w:val="005422A8"/>
    <w:rsid w:val="0054268D"/>
    <w:rsid w:val="005426A9"/>
    <w:rsid w:val="0054319A"/>
    <w:rsid w:val="00543396"/>
    <w:rsid w:val="00543A74"/>
    <w:rsid w:val="00543EB3"/>
    <w:rsid w:val="00543FA6"/>
    <w:rsid w:val="00544203"/>
    <w:rsid w:val="00544510"/>
    <w:rsid w:val="00544602"/>
    <w:rsid w:val="00544A54"/>
    <w:rsid w:val="00545158"/>
    <w:rsid w:val="005451B4"/>
    <w:rsid w:val="00545363"/>
    <w:rsid w:val="005460D8"/>
    <w:rsid w:val="0054639B"/>
    <w:rsid w:val="005464D9"/>
    <w:rsid w:val="005464E0"/>
    <w:rsid w:val="00546835"/>
    <w:rsid w:val="00546A2E"/>
    <w:rsid w:val="00547150"/>
    <w:rsid w:val="00547BE8"/>
    <w:rsid w:val="00547E48"/>
    <w:rsid w:val="0055025F"/>
    <w:rsid w:val="00550423"/>
    <w:rsid w:val="00550C3E"/>
    <w:rsid w:val="00550E93"/>
    <w:rsid w:val="0055110D"/>
    <w:rsid w:val="0055116A"/>
    <w:rsid w:val="00551FDE"/>
    <w:rsid w:val="005520E6"/>
    <w:rsid w:val="005527D5"/>
    <w:rsid w:val="00552B40"/>
    <w:rsid w:val="00552F90"/>
    <w:rsid w:val="0055365B"/>
    <w:rsid w:val="00553753"/>
    <w:rsid w:val="00554171"/>
    <w:rsid w:val="0055433D"/>
    <w:rsid w:val="005544CD"/>
    <w:rsid w:val="00554513"/>
    <w:rsid w:val="005547F5"/>
    <w:rsid w:val="00554F7F"/>
    <w:rsid w:val="00555379"/>
    <w:rsid w:val="00555449"/>
    <w:rsid w:val="00555782"/>
    <w:rsid w:val="00555D39"/>
    <w:rsid w:val="00555FEC"/>
    <w:rsid w:val="005566A9"/>
    <w:rsid w:val="005569DF"/>
    <w:rsid w:val="00556E56"/>
    <w:rsid w:val="00557E35"/>
    <w:rsid w:val="00557ED8"/>
    <w:rsid w:val="0056020C"/>
    <w:rsid w:val="00560B6A"/>
    <w:rsid w:val="00560CE1"/>
    <w:rsid w:val="00561061"/>
    <w:rsid w:val="00561AA9"/>
    <w:rsid w:val="00561D0C"/>
    <w:rsid w:val="0056270B"/>
    <w:rsid w:val="00563125"/>
    <w:rsid w:val="005638CD"/>
    <w:rsid w:val="00563D75"/>
    <w:rsid w:val="00565850"/>
    <w:rsid w:val="00565851"/>
    <w:rsid w:val="00566674"/>
    <w:rsid w:val="00566D6A"/>
    <w:rsid w:val="00567855"/>
    <w:rsid w:val="0056797A"/>
    <w:rsid w:val="00567A1F"/>
    <w:rsid w:val="00570031"/>
    <w:rsid w:val="00570A9B"/>
    <w:rsid w:val="00570AF3"/>
    <w:rsid w:val="00570C98"/>
    <w:rsid w:val="0057123B"/>
    <w:rsid w:val="0057130F"/>
    <w:rsid w:val="005713AC"/>
    <w:rsid w:val="0057166D"/>
    <w:rsid w:val="00571A3E"/>
    <w:rsid w:val="005724D3"/>
    <w:rsid w:val="005729A7"/>
    <w:rsid w:val="00573251"/>
    <w:rsid w:val="00573668"/>
    <w:rsid w:val="00573C09"/>
    <w:rsid w:val="00573F1D"/>
    <w:rsid w:val="00574538"/>
    <w:rsid w:val="00574553"/>
    <w:rsid w:val="00574593"/>
    <w:rsid w:val="00574A79"/>
    <w:rsid w:val="00574B37"/>
    <w:rsid w:val="00574DF7"/>
    <w:rsid w:val="00574FEF"/>
    <w:rsid w:val="00575918"/>
    <w:rsid w:val="0057609A"/>
    <w:rsid w:val="005765E6"/>
    <w:rsid w:val="0057676A"/>
    <w:rsid w:val="005769A2"/>
    <w:rsid w:val="00576B64"/>
    <w:rsid w:val="00577475"/>
    <w:rsid w:val="00577806"/>
    <w:rsid w:val="005779E9"/>
    <w:rsid w:val="00577DA4"/>
    <w:rsid w:val="005807FD"/>
    <w:rsid w:val="0058139E"/>
    <w:rsid w:val="0058168B"/>
    <w:rsid w:val="00581AEA"/>
    <w:rsid w:val="00581CB2"/>
    <w:rsid w:val="00581FE3"/>
    <w:rsid w:val="0058245E"/>
    <w:rsid w:val="005829FE"/>
    <w:rsid w:val="00582EA5"/>
    <w:rsid w:val="005833FD"/>
    <w:rsid w:val="005835A4"/>
    <w:rsid w:val="00584157"/>
    <w:rsid w:val="00584784"/>
    <w:rsid w:val="00584EF0"/>
    <w:rsid w:val="005858CF"/>
    <w:rsid w:val="00585D55"/>
    <w:rsid w:val="00585F88"/>
    <w:rsid w:val="00586031"/>
    <w:rsid w:val="00586B83"/>
    <w:rsid w:val="00586C7D"/>
    <w:rsid w:val="00586DD6"/>
    <w:rsid w:val="005870AB"/>
    <w:rsid w:val="0058718A"/>
    <w:rsid w:val="00587574"/>
    <w:rsid w:val="005878F4"/>
    <w:rsid w:val="00587962"/>
    <w:rsid w:val="00587F12"/>
    <w:rsid w:val="005902CA"/>
    <w:rsid w:val="00590C9F"/>
    <w:rsid w:val="00590D59"/>
    <w:rsid w:val="00590E0D"/>
    <w:rsid w:val="0059103E"/>
    <w:rsid w:val="00591355"/>
    <w:rsid w:val="005914F5"/>
    <w:rsid w:val="005918F9"/>
    <w:rsid w:val="005928B4"/>
    <w:rsid w:val="00592D41"/>
    <w:rsid w:val="00592F21"/>
    <w:rsid w:val="00593047"/>
    <w:rsid w:val="005932C9"/>
    <w:rsid w:val="00593A1A"/>
    <w:rsid w:val="00593C8A"/>
    <w:rsid w:val="005943BB"/>
    <w:rsid w:val="005944DE"/>
    <w:rsid w:val="005951AB"/>
    <w:rsid w:val="00595474"/>
    <w:rsid w:val="00595622"/>
    <w:rsid w:val="005958E6"/>
    <w:rsid w:val="00595A30"/>
    <w:rsid w:val="00596646"/>
    <w:rsid w:val="00596CC0"/>
    <w:rsid w:val="005973F8"/>
    <w:rsid w:val="005A058A"/>
    <w:rsid w:val="005A1536"/>
    <w:rsid w:val="005A1DBC"/>
    <w:rsid w:val="005A1ED9"/>
    <w:rsid w:val="005A263C"/>
    <w:rsid w:val="005A27D4"/>
    <w:rsid w:val="005A4046"/>
    <w:rsid w:val="005A40AE"/>
    <w:rsid w:val="005A437A"/>
    <w:rsid w:val="005A5446"/>
    <w:rsid w:val="005A573D"/>
    <w:rsid w:val="005A6E14"/>
    <w:rsid w:val="005A6F24"/>
    <w:rsid w:val="005A70F3"/>
    <w:rsid w:val="005A7A09"/>
    <w:rsid w:val="005A7B02"/>
    <w:rsid w:val="005A7C11"/>
    <w:rsid w:val="005B017D"/>
    <w:rsid w:val="005B0597"/>
    <w:rsid w:val="005B0868"/>
    <w:rsid w:val="005B09FE"/>
    <w:rsid w:val="005B0C46"/>
    <w:rsid w:val="005B2167"/>
    <w:rsid w:val="005B2B8D"/>
    <w:rsid w:val="005B2DEC"/>
    <w:rsid w:val="005B3289"/>
    <w:rsid w:val="005B38E2"/>
    <w:rsid w:val="005B3905"/>
    <w:rsid w:val="005B4238"/>
    <w:rsid w:val="005B4319"/>
    <w:rsid w:val="005B4527"/>
    <w:rsid w:val="005B49E4"/>
    <w:rsid w:val="005B4F4C"/>
    <w:rsid w:val="005B534B"/>
    <w:rsid w:val="005B6118"/>
    <w:rsid w:val="005B643B"/>
    <w:rsid w:val="005B6666"/>
    <w:rsid w:val="005B66D5"/>
    <w:rsid w:val="005B6D83"/>
    <w:rsid w:val="005B7A33"/>
    <w:rsid w:val="005B7AC9"/>
    <w:rsid w:val="005B7E29"/>
    <w:rsid w:val="005B7EB3"/>
    <w:rsid w:val="005C01E6"/>
    <w:rsid w:val="005C0A72"/>
    <w:rsid w:val="005C10DC"/>
    <w:rsid w:val="005C24BA"/>
    <w:rsid w:val="005C3144"/>
    <w:rsid w:val="005C38FE"/>
    <w:rsid w:val="005C3AE9"/>
    <w:rsid w:val="005C3D68"/>
    <w:rsid w:val="005C4029"/>
    <w:rsid w:val="005C41B2"/>
    <w:rsid w:val="005C42B8"/>
    <w:rsid w:val="005C431E"/>
    <w:rsid w:val="005C457C"/>
    <w:rsid w:val="005C4DAA"/>
    <w:rsid w:val="005C5B3F"/>
    <w:rsid w:val="005C5B56"/>
    <w:rsid w:val="005C64A6"/>
    <w:rsid w:val="005C64B0"/>
    <w:rsid w:val="005C657E"/>
    <w:rsid w:val="005C69C0"/>
    <w:rsid w:val="005C7180"/>
    <w:rsid w:val="005C71B3"/>
    <w:rsid w:val="005C7787"/>
    <w:rsid w:val="005C7F19"/>
    <w:rsid w:val="005D0269"/>
    <w:rsid w:val="005D0E20"/>
    <w:rsid w:val="005D10B6"/>
    <w:rsid w:val="005D1550"/>
    <w:rsid w:val="005D1D31"/>
    <w:rsid w:val="005D2100"/>
    <w:rsid w:val="005D3B2A"/>
    <w:rsid w:val="005D46FA"/>
    <w:rsid w:val="005D528A"/>
    <w:rsid w:val="005D53B8"/>
    <w:rsid w:val="005D5913"/>
    <w:rsid w:val="005D5E9B"/>
    <w:rsid w:val="005D5F1D"/>
    <w:rsid w:val="005D6240"/>
    <w:rsid w:val="005D7424"/>
    <w:rsid w:val="005D7784"/>
    <w:rsid w:val="005E0E1A"/>
    <w:rsid w:val="005E0E8F"/>
    <w:rsid w:val="005E0F51"/>
    <w:rsid w:val="005E213D"/>
    <w:rsid w:val="005E22FB"/>
    <w:rsid w:val="005E305F"/>
    <w:rsid w:val="005E3A63"/>
    <w:rsid w:val="005E42CE"/>
    <w:rsid w:val="005E44F2"/>
    <w:rsid w:val="005E4702"/>
    <w:rsid w:val="005E4A20"/>
    <w:rsid w:val="005E4C23"/>
    <w:rsid w:val="005E5A29"/>
    <w:rsid w:val="005E5E77"/>
    <w:rsid w:val="005E60A0"/>
    <w:rsid w:val="005E60DD"/>
    <w:rsid w:val="005E61B6"/>
    <w:rsid w:val="005E62E6"/>
    <w:rsid w:val="005E65B4"/>
    <w:rsid w:val="005E6A2E"/>
    <w:rsid w:val="005E72DC"/>
    <w:rsid w:val="005E7310"/>
    <w:rsid w:val="005E7915"/>
    <w:rsid w:val="005E7AFC"/>
    <w:rsid w:val="005E7DC0"/>
    <w:rsid w:val="005E7DC8"/>
    <w:rsid w:val="005F018F"/>
    <w:rsid w:val="005F0713"/>
    <w:rsid w:val="005F0999"/>
    <w:rsid w:val="005F0BA2"/>
    <w:rsid w:val="005F1004"/>
    <w:rsid w:val="005F12CD"/>
    <w:rsid w:val="005F1A5A"/>
    <w:rsid w:val="005F23A0"/>
    <w:rsid w:val="005F314A"/>
    <w:rsid w:val="005F31FF"/>
    <w:rsid w:val="005F4361"/>
    <w:rsid w:val="005F48F2"/>
    <w:rsid w:val="005F4AEF"/>
    <w:rsid w:val="005F57F7"/>
    <w:rsid w:val="005F67C6"/>
    <w:rsid w:val="005F6C0F"/>
    <w:rsid w:val="005F7827"/>
    <w:rsid w:val="005F79C0"/>
    <w:rsid w:val="005F7A07"/>
    <w:rsid w:val="005F7B30"/>
    <w:rsid w:val="005F7EA6"/>
    <w:rsid w:val="0060023E"/>
    <w:rsid w:val="006003E5"/>
    <w:rsid w:val="006010DC"/>
    <w:rsid w:val="006010E9"/>
    <w:rsid w:val="0060150E"/>
    <w:rsid w:val="00601E84"/>
    <w:rsid w:val="0060210A"/>
    <w:rsid w:val="006025CF"/>
    <w:rsid w:val="00602756"/>
    <w:rsid w:val="00602B12"/>
    <w:rsid w:val="00602FA3"/>
    <w:rsid w:val="00603322"/>
    <w:rsid w:val="0060347C"/>
    <w:rsid w:val="00603C20"/>
    <w:rsid w:val="006043BD"/>
    <w:rsid w:val="00604449"/>
    <w:rsid w:val="00604567"/>
    <w:rsid w:val="006047BC"/>
    <w:rsid w:val="006049F2"/>
    <w:rsid w:val="00604A39"/>
    <w:rsid w:val="00604B59"/>
    <w:rsid w:val="00604D21"/>
    <w:rsid w:val="006054D0"/>
    <w:rsid w:val="006057BB"/>
    <w:rsid w:val="0060590D"/>
    <w:rsid w:val="00606371"/>
    <w:rsid w:val="006064FE"/>
    <w:rsid w:val="00606A72"/>
    <w:rsid w:val="00606BAA"/>
    <w:rsid w:val="00606DE9"/>
    <w:rsid w:val="00606E7A"/>
    <w:rsid w:val="00607B14"/>
    <w:rsid w:val="00610498"/>
    <w:rsid w:val="006106B2"/>
    <w:rsid w:val="00610BFB"/>
    <w:rsid w:val="006111C8"/>
    <w:rsid w:val="006125D3"/>
    <w:rsid w:val="006135B8"/>
    <w:rsid w:val="00613799"/>
    <w:rsid w:val="00613AA0"/>
    <w:rsid w:val="00614029"/>
    <w:rsid w:val="00614C9A"/>
    <w:rsid w:val="0061594A"/>
    <w:rsid w:val="00615AC1"/>
    <w:rsid w:val="0061679B"/>
    <w:rsid w:val="00616821"/>
    <w:rsid w:val="00616B66"/>
    <w:rsid w:val="00617017"/>
    <w:rsid w:val="006172C6"/>
    <w:rsid w:val="0061758C"/>
    <w:rsid w:val="006177EE"/>
    <w:rsid w:val="00617B45"/>
    <w:rsid w:val="00617EAA"/>
    <w:rsid w:val="0062086C"/>
    <w:rsid w:val="00620A4D"/>
    <w:rsid w:val="00620CE6"/>
    <w:rsid w:val="00620E26"/>
    <w:rsid w:val="00621372"/>
    <w:rsid w:val="00621645"/>
    <w:rsid w:val="00622AB5"/>
    <w:rsid w:val="00623676"/>
    <w:rsid w:val="00624160"/>
    <w:rsid w:val="0062443B"/>
    <w:rsid w:val="006249FD"/>
    <w:rsid w:val="00626426"/>
    <w:rsid w:val="006265DA"/>
    <w:rsid w:val="00626B9D"/>
    <w:rsid w:val="006301B5"/>
    <w:rsid w:val="0063075A"/>
    <w:rsid w:val="0063159A"/>
    <w:rsid w:val="00631A24"/>
    <w:rsid w:val="00631B94"/>
    <w:rsid w:val="00631FEC"/>
    <w:rsid w:val="00632616"/>
    <w:rsid w:val="00632A76"/>
    <w:rsid w:val="00633245"/>
    <w:rsid w:val="00633356"/>
    <w:rsid w:val="0063388C"/>
    <w:rsid w:val="006338A8"/>
    <w:rsid w:val="00633B7E"/>
    <w:rsid w:val="00633D92"/>
    <w:rsid w:val="00633ECB"/>
    <w:rsid w:val="00634511"/>
    <w:rsid w:val="006347D0"/>
    <w:rsid w:val="00635320"/>
    <w:rsid w:val="006373D9"/>
    <w:rsid w:val="006375DE"/>
    <w:rsid w:val="006378F2"/>
    <w:rsid w:val="00637E2B"/>
    <w:rsid w:val="006403F0"/>
    <w:rsid w:val="006404D1"/>
    <w:rsid w:val="00640A9A"/>
    <w:rsid w:val="00640F6F"/>
    <w:rsid w:val="00641589"/>
    <w:rsid w:val="00641853"/>
    <w:rsid w:val="00641B05"/>
    <w:rsid w:val="00642476"/>
    <w:rsid w:val="00642636"/>
    <w:rsid w:val="00642D2C"/>
    <w:rsid w:val="00643044"/>
    <w:rsid w:val="006453BC"/>
    <w:rsid w:val="0064548F"/>
    <w:rsid w:val="006455BF"/>
    <w:rsid w:val="00645669"/>
    <w:rsid w:val="00646DE9"/>
    <w:rsid w:val="0064720A"/>
    <w:rsid w:val="00647811"/>
    <w:rsid w:val="00647B13"/>
    <w:rsid w:val="0065112A"/>
    <w:rsid w:val="00651225"/>
    <w:rsid w:val="00651499"/>
    <w:rsid w:val="0065157D"/>
    <w:rsid w:val="0065176B"/>
    <w:rsid w:val="00651AF2"/>
    <w:rsid w:val="00652279"/>
    <w:rsid w:val="006525B9"/>
    <w:rsid w:val="00652C2C"/>
    <w:rsid w:val="00652D6B"/>
    <w:rsid w:val="00652D6E"/>
    <w:rsid w:val="00652DBB"/>
    <w:rsid w:val="00653C3B"/>
    <w:rsid w:val="00653CF8"/>
    <w:rsid w:val="0065419A"/>
    <w:rsid w:val="00654293"/>
    <w:rsid w:val="00654A10"/>
    <w:rsid w:val="00655A0D"/>
    <w:rsid w:val="0065606E"/>
    <w:rsid w:val="00660AF4"/>
    <w:rsid w:val="006611EC"/>
    <w:rsid w:val="0066272B"/>
    <w:rsid w:val="00662AC7"/>
    <w:rsid w:val="0066303C"/>
    <w:rsid w:val="00663313"/>
    <w:rsid w:val="00663A52"/>
    <w:rsid w:val="006642F3"/>
    <w:rsid w:val="006647FC"/>
    <w:rsid w:val="00664AAF"/>
    <w:rsid w:val="0066500E"/>
    <w:rsid w:val="0066532D"/>
    <w:rsid w:val="0066573A"/>
    <w:rsid w:val="0066584E"/>
    <w:rsid w:val="00665E51"/>
    <w:rsid w:val="00666A12"/>
    <w:rsid w:val="00666E63"/>
    <w:rsid w:val="006679AF"/>
    <w:rsid w:val="00667F43"/>
    <w:rsid w:val="00667FEC"/>
    <w:rsid w:val="00670903"/>
    <w:rsid w:val="00670BF6"/>
    <w:rsid w:val="00671534"/>
    <w:rsid w:val="00671705"/>
    <w:rsid w:val="006721B3"/>
    <w:rsid w:val="00672BF9"/>
    <w:rsid w:val="006733C5"/>
    <w:rsid w:val="006733FA"/>
    <w:rsid w:val="00673BFB"/>
    <w:rsid w:val="00673F18"/>
    <w:rsid w:val="00673F53"/>
    <w:rsid w:val="0067470C"/>
    <w:rsid w:val="00674D57"/>
    <w:rsid w:val="006756F5"/>
    <w:rsid w:val="006763E0"/>
    <w:rsid w:val="0067644D"/>
    <w:rsid w:val="00677A61"/>
    <w:rsid w:val="00677BB7"/>
    <w:rsid w:val="00677BE4"/>
    <w:rsid w:val="00680621"/>
    <w:rsid w:val="00680CAA"/>
    <w:rsid w:val="006812D4"/>
    <w:rsid w:val="006829A4"/>
    <w:rsid w:val="00683C05"/>
    <w:rsid w:val="00684691"/>
    <w:rsid w:val="00685428"/>
    <w:rsid w:val="00685A3F"/>
    <w:rsid w:val="00685D5D"/>
    <w:rsid w:val="00686836"/>
    <w:rsid w:val="006903C3"/>
    <w:rsid w:val="006910DC"/>
    <w:rsid w:val="00691397"/>
    <w:rsid w:val="006918E5"/>
    <w:rsid w:val="00691996"/>
    <w:rsid w:val="00691FEF"/>
    <w:rsid w:val="00692901"/>
    <w:rsid w:val="00692AE8"/>
    <w:rsid w:val="00692E9A"/>
    <w:rsid w:val="006930A2"/>
    <w:rsid w:val="00693149"/>
    <w:rsid w:val="0069364A"/>
    <w:rsid w:val="006939B6"/>
    <w:rsid w:val="00693F25"/>
    <w:rsid w:val="006941F0"/>
    <w:rsid w:val="00694C9B"/>
    <w:rsid w:val="00694FED"/>
    <w:rsid w:val="00695599"/>
    <w:rsid w:val="00695945"/>
    <w:rsid w:val="0069627B"/>
    <w:rsid w:val="00696D7F"/>
    <w:rsid w:val="00696EB1"/>
    <w:rsid w:val="00696F92"/>
    <w:rsid w:val="00697BF6"/>
    <w:rsid w:val="00697C8D"/>
    <w:rsid w:val="006A089D"/>
    <w:rsid w:val="006A08AA"/>
    <w:rsid w:val="006A0B32"/>
    <w:rsid w:val="006A1EA4"/>
    <w:rsid w:val="006A248A"/>
    <w:rsid w:val="006A285C"/>
    <w:rsid w:val="006A2B9C"/>
    <w:rsid w:val="006A3147"/>
    <w:rsid w:val="006A3B74"/>
    <w:rsid w:val="006A3F1E"/>
    <w:rsid w:val="006A44DD"/>
    <w:rsid w:val="006A4B12"/>
    <w:rsid w:val="006A50EA"/>
    <w:rsid w:val="006A523E"/>
    <w:rsid w:val="006A576B"/>
    <w:rsid w:val="006A5A14"/>
    <w:rsid w:val="006A5E5B"/>
    <w:rsid w:val="006A6057"/>
    <w:rsid w:val="006A6808"/>
    <w:rsid w:val="006B062E"/>
    <w:rsid w:val="006B0A9D"/>
    <w:rsid w:val="006B0B03"/>
    <w:rsid w:val="006B1168"/>
    <w:rsid w:val="006B12C9"/>
    <w:rsid w:val="006B17C2"/>
    <w:rsid w:val="006B28DA"/>
    <w:rsid w:val="006B2AC5"/>
    <w:rsid w:val="006B2B37"/>
    <w:rsid w:val="006B3119"/>
    <w:rsid w:val="006B3469"/>
    <w:rsid w:val="006B44F3"/>
    <w:rsid w:val="006B4F13"/>
    <w:rsid w:val="006B5561"/>
    <w:rsid w:val="006B55F5"/>
    <w:rsid w:val="006B5995"/>
    <w:rsid w:val="006B61D3"/>
    <w:rsid w:val="006B6271"/>
    <w:rsid w:val="006B6364"/>
    <w:rsid w:val="006B6B71"/>
    <w:rsid w:val="006B6BC4"/>
    <w:rsid w:val="006B6EC9"/>
    <w:rsid w:val="006B77AC"/>
    <w:rsid w:val="006B781C"/>
    <w:rsid w:val="006B790F"/>
    <w:rsid w:val="006B7C97"/>
    <w:rsid w:val="006C015D"/>
    <w:rsid w:val="006C08EF"/>
    <w:rsid w:val="006C0A04"/>
    <w:rsid w:val="006C0A22"/>
    <w:rsid w:val="006C1344"/>
    <w:rsid w:val="006C1B36"/>
    <w:rsid w:val="006C2038"/>
    <w:rsid w:val="006C207B"/>
    <w:rsid w:val="006C29A9"/>
    <w:rsid w:val="006C29B8"/>
    <w:rsid w:val="006C2D1C"/>
    <w:rsid w:val="006C36A9"/>
    <w:rsid w:val="006C3E83"/>
    <w:rsid w:val="006C3EE6"/>
    <w:rsid w:val="006C4636"/>
    <w:rsid w:val="006C48C6"/>
    <w:rsid w:val="006C4977"/>
    <w:rsid w:val="006C4D54"/>
    <w:rsid w:val="006C5030"/>
    <w:rsid w:val="006C56DF"/>
    <w:rsid w:val="006C578C"/>
    <w:rsid w:val="006C5FFC"/>
    <w:rsid w:val="006C60D7"/>
    <w:rsid w:val="006C65C9"/>
    <w:rsid w:val="006C66E0"/>
    <w:rsid w:val="006C675E"/>
    <w:rsid w:val="006C6E89"/>
    <w:rsid w:val="006C7280"/>
    <w:rsid w:val="006C7460"/>
    <w:rsid w:val="006D03A7"/>
    <w:rsid w:val="006D0B04"/>
    <w:rsid w:val="006D0CF6"/>
    <w:rsid w:val="006D10DB"/>
    <w:rsid w:val="006D1649"/>
    <w:rsid w:val="006D2017"/>
    <w:rsid w:val="006D2733"/>
    <w:rsid w:val="006D38F4"/>
    <w:rsid w:val="006D43FA"/>
    <w:rsid w:val="006D4649"/>
    <w:rsid w:val="006D4BD5"/>
    <w:rsid w:val="006D52DA"/>
    <w:rsid w:val="006D5F4B"/>
    <w:rsid w:val="006D5FE8"/>
    <w:rsid w:val="006D6090"/>
    <w:rsid w:val="006D6C75"/>
    <w:rsid w:val="006D6CFE"/>
    <w:rsid w:val="006D713C"/>
    <w:rsid w:val="006D7E6F"/>
    <w:rsid w:val="006D7F55"/>
    <w:rsid w:val="006D7FF3"/>
    <w:rsid w:val="006E05F2"/>
    <w:rsid w:val="006E1078"/>
    <w:rsid w:val="006E20F7"/>
    <w:rsid w:val="006E260A"/>
    <w:rsid w:val="006E29FA"/>
    <w:rsid w:val="006E2D91"/>
    <w:rsid w:val="006E2E36"/>
    <w:rsid w:val="006E3047"/>
    <w:rsid w:val="006E3232"/>
    <w:rsid w:val="006E32E4"/>
    <w:rsid w:val="006E3AC9"/>
    <w:rsid w:val="006E3D15"/>
    <w:rsid w:val="006E40F9"/>
    <w:rsid w:val="006E44AB"/>
    <w:rsid w:val="006E5453"/>
    <w:rsid w:val="006E54DC"/>
    <w:rsid w:val="006E60F6"/>
    <w:rsid w:val="006E6161"/>
    <w:rsid w:val="006E65FA"/>
    <w:rsid w:val="006E6D0C"/>
    <w:rsid w:val="006E75FB"/>
    <w:rsid w:val="006E7A94"/>
    <w:rsid w:val="006F0101"/>
    <w:rsid w:val="006F0740"/>
    <w:rsid w:val="006F0BC4"/>
    <w:rsid w:val="006F0CB2"/>
    <w:rsid w:val="006F158F"/>
    <w:rsid w:val="006F1CB5"/>
    <w:rsid w:val="006F228E"/>
    <w:rsid w:val="006F299B"/>
    <w:rsid w:val="006F2CB5"/>
    <w:rsid w:val="006F2E9C"/>
    <w:rsid w:val="006F2F25"/>
    <w:rsid w:val="006F38D7"/>
    <w:rsid w:val="006F42AC"/>
    <w:rsid w:val="006F4861"/>
    <w:rsid w:val="006F4AE7"/>
    <w:rsid w:val="006F5B0C"/>
    <w:rsid w:val="006F7758"/>
    <w:rsid w:val="006F7857"/>
    <w:rsid w:val="006F7999"/>
    <w:rsid w:val="00700145"/>
    <w:rsid w:val="007003CE"/>
    <w:rsid w:val="00700803"/>
    <w:rsid w:val="007013C2"/>
    <w:rsid w:val="00702818"/>
    <w:rsid w:val="00702E47"/>
    <w:rsid w:val="007032B8"/>
    <w:rsid w:val="007045CA"/>
    <w:rsid w:val="007046B9"/>
    <w:rsid w:val="00705698"/>
    <w:rsid w:val="00707505"/>
    <w:rsid w:val="00707DE6"/>
    <w:rsid w:val="00707F3B"/>
    <w:rsid w:val="00710265"/>
    <w:rsid w:val="00710C11"/>
    <w:rsid w:val="00710E52"/>
    <w:rsid w:val="007115F7"/>
    <w:rsid w:val="00712450"/>
    <w:rsid w:val="00712761"/>
    <w:rsid w:val="00713417"/>
    <w:rsid w:val="007148D6"/>
    <w:rsid w:val="00715160"/>
    <w:rsid w:val="007152F2"/>
    <w:rsid w:val="007155EB"/>
    <w:rsid w:val="00716338"/>
    <w:rsid w:val="00716997"/>
    <w:rsid w:val="00716C8F"/>
    <w:rsid w:val="00717180"/>
    <w:rsid w:val="00717718"/>
    <w:rsid w:val="00717B03"/>
    <w:rsid w:val="00717B05"/>
    <w:rsid w:val="00717BDB"/>
    <w:rsid w:val="00717CD2"/>
    <w:rsid w:val="00720592"/>
    <w:rsid w:val="00720A98"/>
    <w:rsid w:val="00720B0F"/>
    <w:rsid w:val="00720B7A"/>
    <w:rsid w:val="00720E23"/>
    <w:rsid w:val="00720FA4"/>
    <w:rsid w:val="00721373"/>
    <w:rsid w:val="007213A9"/>
    <w:rsid w:val="00721745"/>
    <w:rsid w:val="00721E05"/>
    <w:rsid w:val="00721F66"/>
    <w:rsid w:val="00721FAB"/>
    <w:rsid w:val="00722FFD"/>
    <w:rsid w:val="00723113"/>
    <w:rsid w:val="0072311E"/>
    <w:rsid w:val="00723298"/>
    <w:rsid w:val="00723469"/>
    <w:rsid w:val="007238A7"/>
    <w:rsid w:val="007241C0"/>
    <w:rsid w:val="00724DFB"/>
    <w:rsid w:val="007253F5"/>
    <w:rsid w:val="00725B7A"/>
    <w:rsid w:val="00725CD0"/>
    <w:rsid w:val="007260A2"/>
    <w:rsid w:val="00727719"/>
    <w:rsid w:val="00727B87"/>
    <w:rsid w:val="00730421"/>
    <w:rsid w:val="007304AA"/>
    <w:rsid w:val="0073053F"/>
    <w:rsid w:val="00730622"/>
    <w:rsid w:val="007309BC"/>
    <w:rsid w:val="00730CAF"/>
    <w:rsid w:val="007310CE"/>
    <w:rsid w:val="007328B7"/>
    <w:rsid w:val="00732F60"/>
    <w:rsid w:val="00733526"/>
    <w:rsid w:val="00733A00"/>
    <w:rsid w:val="00734ACA"/>
    <w:rsid w:val="00734BAC"/>
    <w:rsid w:val="00735402"/>
    <w:rsid w:val="0073589F"/>
    <w:rsid w:val="00735B93"/>
    <w:rsid w:val="00736217"/>
    <w:rsid w:val="007368B2"/>
    <w:rsid w:val="00736DA0"/>
    <w:rsid w:val="007375D2"/>
    <w:rsid w:val="0074049B"/>
    <w:rsid w:val="00740B57"/>
    <w:rsid w:val="00740EB7"/>
    <w:rsid w:val="00741274"/>
    <w:rsid w:val="00741658"/>
    <w:rsid w:val="00741F9E"/>
    <w:rsid w:val="00741FDC"/>
    <w:rsid w:val="00741FFA"/>
    <w:rsid w:val="0074283F"/>
    <w:rsid w:val="00742A1F"/>
    <w:rsid w:val="00743681"/>
    <w:rsid w:val="00743C49"/>
    <w:rsid w:val="00744998"/>
    <w:rsid w:val="00744D7D"/>
    <w:rsid w:val="00744EBA"/>
    <w:rsid w:val="00745351"/>
    <w:rsid w:val="007456EC"/>
    <w:rsid w:val="00745B5C"/>
    <w:rsid w:val="00745E3A"/>
    <w:rsid w:val="00746804"/>
    <w:rsid w:val="00746BC7"/>
    <w:rsid w:val="00746F11"/>
    <w:rsid w:val="00750079"/>
    <w:rsid w:val="00750C38"/>
    <w:rsid w:val="0075134D"/>
    <w:rsid w:val="00751817"/>
    <w:rsid w:val="00751C7C"/>
    <w:rsid w:val="00752414"/>
    <w:rsid w:val="00752A76"/>
    <w:rsid w:val="00752F08"/>
    <w:rsid w:val="007538C9"/>
    <w:rsid w:val="00754A3F"/>
    <w:rsid w:val="007551CD"/>
    <w:rsid w:val="00755DFB"/>
    <w:rsid w:val="007567CF"/>
    <w:rsid w:val="007574C3"/>
    <w:rsid w:val="0075770D"/>
    <w:rsid w:val="00757B30"/>
    <w:rsid w:val="00760272"/>
    <w:rsid w:val="0076053A"/>
    <w:rsid w:val="007605E8"/>
    <w:rsid w:val="007607D4"/>
    <w:rsid w:val="00761997"/>
    <w:rsid w:val="00761A13"/>
    <w:rsid w:val="00762249"/>
    <w:rsid w:val="007629A3"/>
    <w:rsid w:val="00762C1C"/>
    <w:rsid w:val="00762C50"/>
    <w:rsid w:val="0076518F"/>
    <w:rsid w:val="007668ED"/>
    <w:rsid w:val="00767510"/>
    <w:rsid w:val="007713B6"/>
    <w:rsid w:val="007715D3"/>
    <w:rsid w:val="007715DB"/>
    <w:rsid w:val="00771CB9"/>
    <w:rsid w:val="007720C3"/>
    <w:rsid w:val="0077269E"/>
    <w:rsid w:val="00772C2D"/>
    <w:rsid w:val="00772D05"/>
    <w:rsid w:val="00773227"/>
    <w:rsid w:val="0077410C"/>
    <w:rsid w:val="007743B7"/>
    <w:rsid w:val="00774B7C"/>
    <w:rsid w:val="00774C7C"/>
    <w:rsid w:val="00775051"/>
    <w:rsid w:val="0077570E"/>
    <w:rsid w:val="00775AF8"/>
    <w:rsid w:val="00775E5C"/>
    <w:rsid w:val="00776012"/>
    <w:rsid w:val="007761EA"/>
    <w:rsid w:val="00776BFD"/>
    <w:rsid w:val="00776F03"/>
    <w:rsid w:val="0077770E"/>
    <w:rsid w:val="00777FED"/>
    <w:rsid w:val="00781525"/>
    <w:rsid w:val="0078154D"/>
    <w:rsid w:val="0078168D"/>
    <w:rsid w:val="00781B52"/>
    <w:rsid w:val="00782351"/>
    <w:rsid w:val="00782B93"/>
    <w:rsid w:val="00782BEB"/>
    <w:rsid w:val="00782F71"/>
    <w:rsid w:val="0078303F"/>
    <w:rsid w:val="00783760"/>
    <w:rsid w:val="007839D6"/>
    <w:rsid w:val="00783C88"/>
    <w:rsid w:val="00784103"/>
    <w:rsid w:val="007844CE"/>
    <w:rsid w:val="007848A5"/>
    <w:rsid w:val="00784963"/>
    <w:rsid w:val="007854C8"/>
    <w:rsid w:val="00785A80"/>
    <w:rsid w:val="00786412"/>
    <w:rsid w:val="00786555"/>
    <w:rsid w:val="0078671E"/>
    <w:rsid w:val="00786761"/>
    <w:rsid w:val="00786D8B"/>
    <w:rsid w:val="00786D8F"/>
    <w:rsid w:val="00786E0B"/>
    <w:rsid w:val="007870E7"/>
    <w:rsid w:val="007878A5"/>
    <w:rsid w:val="00787A80"/>
    <w:rsid w:val="00787DF3"/>
    <w:rsid w:val="007908A2"/>
    <w:rsid w:val="00790A13"/>
    <w:rsid w:val="00790DDF"/>
    <w:rsid w:val="00790EE0"/>
    <w:rsid w:val="007911F0"/>
    <w:rsid w:val="0079136E"/>
    <w:rsid w:val="00791C2A"/>
    <w:rsid w:val="00792F94"/>
    <w:rsid w:val="00793256"/>
    <w:rsid w:val="007937B4"/>
    <w:rsid w:val="0079384F"/>
    <w:rsid w:val="007941F0"/>
    <w:rsid w:val="007943E4"/>
    <w:rsid w:val="00794F6F"/>
    <w:rsid w:val="00795092"/>
    <w:rsid w:val="00795D31"/>
    <w:rsid w:val="00796E39"/>
    <w:rsid w:val="007975B8"/>
    <w:rsid w:val="007A0335"/>
    <w:rsid w:val="007A0C46"/>
    <w:rsid w:val="007A0E5D"/>
    <w:rsid w:val="007A110F"/>
    <w:rsid w:val="007A3063"/>
    <w:rsid w:val="007A3233"/>
    <w:rsid w:val="007A3325"/>
    <w:rsid w:val="007A3949"/>
    <w:rsid w:val="007A48B2"/>
    <w:rsid w:val="007A55B5"/>
    <w:rsid w:val="007A56B0"/>
    <w:rsid w:val="007A57B0"/>
    <w:rsid w:val="007A615E"/>
    <w:rsid w:val="007A6175"/>
    <w:rsid w:val="007A641E"/>
    <w:rsid w:val="007A687E"/>
    <w:rsid w:val="007A6BEF"/>
    <w:rsid w:val="007A6D80"/>
    <w:rsid w:val="007A74B6"/>
    <w:rsid w:val="007A74E6"/>
    <w:rsid w:val="007A7651"/>
    <w:rsid w:val="007A78D4"/>
    <w:rsid w:val="007A7F24"/>
    <w:rsid w:val="007A7FDF"/>
    <w:rsid w:val="007B03B4"/>
    <w:rsid w:val="007B096D"/>
    <w:rsid w:val="007B1DB8"/>
    <w:rsid w:val="007B207D"/>
    <w:rsid w:val="007B2169"/>
    <w:rsid w:val="007B2452"/>
    <w:rsid w:val="007B28EC"/>
    <w:rsid w:val="007B2C48"/>
    <w:rsid w:val="007B2C78"/>
    <w:rsid w:val="007B3A14"/>
    <w:rsid w:val="007B3C52"/>
    <w:rsid w:val="007B414B"/>
    <w:rsid w:val="007B4B5F"/>
    <w:rsid w:val="007B4FBE"/>
    <w:rsid w:val="007B53B0"/>
    <w:rsid w:val="007B5C6C"/>
    <w:rsid w:val="007B5FFF"/>
    <w:rsid w:val="007B6334"/>
    <w:rsid w:val="007B644B"/>
    <w:rsid w:val="007B74F9"/>
    <w:rsid w:val="007B78F8"/>
    <w:rsid w:val="007C0EBF"/>
    <w:rsid w:val="007C19E8"/>
    <w:rsid w:val="007C2889"/>
    <w:rsid w:val="007C35A4"/>
    <w:rsid w:val="007C38F7"/>
    <w:rsid w:val="007C39CF"/>
    <w:rsid w:val="007C3C88"/>
    <w:rsid w:val="007C3DE2"/>
    <w:rsid w:val="007C456D"/>
    <w:rsid w:val="007C491C"/>
    <w:rsid w:val="007C4D6F"/>
    <w:rsid w:val="007C5241"/>
    <w:rsid w:val="007C547E"/>
    <w:rsid w:val="007C5D40"/>
    <w:rsid w:val="007C5F56"/>
    <w:rsid w:val="007C6121"/>
    <w:rsid w:val="007C661A"/>
    <w:rsid w:val="007C67CC"/>
    <w:rsid w:val="007C6CB7"/>
    <w:rsid w:val="007C7192"/>
    <w:rsid w:val="007C747B"/>
    <w:rsid w:val="007C792A"/>
    <w:rsid w:val="007C796D"/>
    <w:rsid w:val="007C7B95"/>
    <w:rsid w:val="007D001E"/>
    <w:rsid w:val="007D0050"/>
    <w:rsid w:val="007D00E0"/>
    <w:rsid w:val="007D0285"/>
    <w:rsid w:val="007D05D2"/>
    <w:rsid w:val="007D0EA9"/>
    <w:rsid w:val="007D1F62"/>
    <w:rsid w:val="007D2187"/>
    <w:rsid w:val="007D2DEC"/>
    <w:rsid w:val="007D43C2"/>
    <w:rsid w:val="007D4BA4"/>
    <w:rsid w:val="007D54FD"/>
    <w:rsid w:val="007D5514"/>
    <w:rsid w:val="007D6657"/>
    <w:rsid w:val="007D7478"/>
    <w:rsid w:val="007E00E0"/>
    <w:rsid w:val="007E06DC"/>
    <w:rsid w:val="007E1166"/>
    <w:rsid w:val="007E1851"/>
    <w:rsid w:val="007E1B01"/>
    <w:rsid w:val="007E2BB0"/>
    <w:rsid w:val="007E2D4B"/>
    <w:rsid w:val="007E2F3A"/>
    <w:rsid w:val="007E34A0"/>
    <w:rsid w:val="007E37CE"/>
    <w:rsid w:val="007E3DF6"/>
    <w:rsid w:val="007E4556"/>
    <w:rsid w:val="007E45DC"/>
    <w:rsid w:val="007E485A"/>
    <w:rsid w:val="007E4F00"/>
    <w:rsid w:val="007E5878"/>
    <w:rsid w:val="007E5CC0"/>
    <w:rsid w:val="007E7221"/>
    <w:rsid w:val="007E752E"/>
    <w:rsid w:val="007E79C5"/>
    <w:rsid w:val="007E7A8D"/>
    <w:rsid w:val="007E7AEE"/>
    <w:rsid w:val="007E7B1F"/>
    <w:rsid w:val="007F0425"/>
    <w:rsid w:val="007F0613"/>
    <w:rsid w:val="007F0D95"/>
    <w:rsid w:val="007F1257"/>
    <w:rsid w:val="007F21A1"/>
    <w:rsid w:val="007F2232"/>
    <w:rsid w:val="007F2256"/>
    <w:rsid w:val="007F2890"/>
    <w:rsid w:val="007F2D09"/>
    <w:rsid w:val="007F368B"/>
    <w:rsid w:val="007F3B97"/>
    <w:rsid w:val="007F4E60"/>
    <w:rsid w:val="007F5AF6"/>
    <w:rsid w:val="007F6C0D"/>
    <w:rsid w:val="007F7256"/>
    <w:rsid w:val="007F75E0"/>
    <w:rsid w:val="007F7BED"/>
    <w:rsid w:val="007F7CD9"/>
    <w:rsid w:val="007F7FF6"/>
    <w:rsid w:val="0080055A"/>
    <w:rsid w:val="00800575"/>
    <w:rsid w:val="0080075C"/>
    <w:rsid w:val="008014A3"/>
    <w:rsid w:val="00801969"/>
    <w:rsid w:val="00801B68"/>
    <w:rsid w:val="00801F95"/>
    <w:rsid w:val="0080228D"/>
    <w:rsid w:val="008026F3"/>
    <w:rsid w:val="00802CCB"/>
    <w:rsid w:val="008032F0"/>
    <w:rsid w:val="0080347B"/>
    <w:rsid w:val="00803574"/>
    <w:rsid w:val="00803DA9"/>
    <w:rsid w:val="00804056"/>
    <w:rsid w:val="008045FA"/>
    <w:rsid w:val="0080478C"/>
    <w:rsid w:val="00804A14"/>
    <w:rsid w:val="00804B8D"/>
    <w:rsid w:val="00805554"/>
    <w:rsid w:val="008056E2"/>
    <w:rsid w:val="00805D76"/>
    <w:rsid w:val="00806D28"/>
    <w:rsid w:val="00807855"/>
    <w:rsid w:val="00807D18"/>
    <w:rsid w:val="00810422"/>
    <w:rsid w:val="008106E3"/>
    <w:rsid w:val="0081077A"/>
    <w:rsid w:val="008110A6"/>
    <w:rsid w:val="008110FF"/>
    <w:rsid w:val="0081125F"/>
    <w:rsid w:val="0081142B"/>
    <w:rsid w:val="00813138"/>
    <w:rsid w:val="008142B0"/>
    <w:rsid w:val="00814E9D"/>
    <w:rsid w:val="00814EF8"/>
    <w:rsid w:val="00814FF8"/>
    <w:rsid w:val="0081557B"/>
    <w:rsid w:val="008156A4"/>
    <w:rsid w:val="00815C1C"/>
    <w:rsid w:val="0081619A"/>
    <w:rsid w:val="00816983"/>
    <w:rsid w:val="00816FC4"/>
    <w:rsid w:val="008176BD"/>
    <w:rsid w:val="00817ACF"/>
    <w:rsid w:val="00817B65"/>
    <w:rsid w:val="00817F3B"/>
    <w:rsid w:val="00820266"/>
    <w:rsid w:val="00820F35"/>
    <w:rsid w:val="00821326"/>
    <w:rsid w:val="00821516"/>
    <w:rsid w:val="008217C1"/>
    <w:rsid w:val="0082211D"/>
    <w:rsid w:val="00822812"/>
    <w:rsid w:val="00822956"/>
    <w:rsid w:val="00822E67"/>
    <w:rsid w:val="008230B0"/>
    <w:rsid w:val="00823155"/>
    <w:rsid w:val="0082442C"/>
    <w:rsid w:val="00824E49"/>
    <w:rsid w:val="008255FB"/>
    <w:rsid w:val="0082568A"/>
    <w:rsid w:val="00825AED"/>
    <w:rsid w:val="00825B1C"/>
    <w:rsid w:val="00825E9B"/>
    <w:rsid w:val="0082648A"/>
    <w:rsid w:val="008268E4"/>
    <w:rsid w:val="00826A3D"/>
    <w:rsid w:val="00826CAF"/>
    <w:rsid w:val="00826CF3"/>
    <w:rsid w:val="0082E140"/>
    <w:rsid w:val="00830910"/>
    <w:rsid w:val="00830A79"/>
    <w:rsid w:val="008311C2"/>
    <w:rsid w:val="0083134A"/>
    <w:rsid w:val="00831F0F"/>
    <w:rsid w:val="00832CF0"/>
    <w:rsid w:val="00832EFE"/>
    <w:rsid w:val="0083353D"/>
    <w:rsid w:val="00833B03"/>
    <w:rsid w:val="00833B8E"/>
    <w:rsid w:val="00833F40"/>
    <w:rsid w:val="00833FA0"/>
    <w:rsid w:val="00834536"/>
    <w:rsid w:val="0083463E"/>
    <w:rsid w:val="00834990"/>
    <w:rsid w:val="00834F7C"/>
    <w:rsid w:val="008354FC"/>
    <w:rsid w:val="0083587F"/>
    <w:rsid w:val="00835B35"/>
    <w:rsid w:val="00835C54"/>
    <w:rsid w:val="00835E4A"/>
    <w:rsid w:val="00835E66"/>
    <w:rsid w:val="00836055"/>
    <w:rsid w:val="008362C1"/>
    <w:rsid w:val="008364A7"/>
    <w:rsid w:val="008369A3"/>
    <w:rsid w:val="00836E8C"/>
    <w:rsid w:val="0083774D"/>
    <w:rsid w:val="008378E5"/>
    <w:rsid w:val="0084066D"/>
    <w:rsid w:val="008407A1"/>
    <w:rsid w:val="00841BA3"/>
    <w:rsid w:val="00841D7D"/>
    <w:rsid w:val="00842F85"/>
    <w:rsid w:val="00843DA5"/>
    <w:rsid w:val="00843FEC"/>
    <w:rsid w:val="00844170"/>
    <w:rsid w:val="00844277"/>
    <w:rsid w:val="00844415"/>
    <w:rsid w:val="008457D9"/>
    <w:rsid w:val="0084650A"/>
    <w:rsid w:val="008469ED"/>
    <w:rsid w:val="00846F50"/>
    <w:rsid w:val="00846FA4"/>
    <w:rsid w:val="008475EE"/>
    <w:rsid w:val="008475F9"/>
    <w:rsid w:val="00851357"/>
    <w:rsid w:val="00852839"/>
    <w:rsid w:val="00852B22"/>
    <w:rsid w:val="00852B3F"/>
    <w:rsid w:val="00853095"/>
    <w:rsid w:val="00853145"/>
    <w:rsid w:val="008538A5"/>
    <w:rsid w:val="00853EE1"/>
    <w:rsid w:val="0085402B"/>
    <w:rsid w:val="00854295"/>
    <w:rsid w:val="00854B6A"/>
    <w:rsid w:val="00854D11"/>
    <w:rsid w:val="00854DCD"/>
    <w:rsid w:val="00854FCC"/>
    <w:rsid w:val="00855B45"/>
    <w:rsid w:val="0085607A"/>
    <w:rsid w:val="008565C4"/>
    <w:rsid w:val="00857042"/>
    <w:rsid w:val="00860309"/>
    <w:rsid w:val="00860595"/>
    <w:rsid w:val="008608D8"/>
    <w:rsid w:val="00860912"/>
    <w:rsid w:val="00860AC6"/>
    <w:rsid w:val="00860FB0"/>
    <w:rsid w:val="008612CB"/>
    <w:rsid w:val="0086137E"/>
    <w:rsid w:val="0086171F"/>
    <w:rsid w:val="00862A62"/>
    <w:rsid w:val="00862CE3"/>
    <w:rsid w:val="00863AAB"/>
    <w:rsid w:val="0086425D"/>
    <w:rsid w:val="00864E45"/>
    <w:rsid w:val="00865BCC"/>
    <w:rsid w:val="008663A8"/>
    <w:rsid w:val="008668D9"/>
    <w:rsid w:val="008672C4"/>
    <w:rsid w:val="00867502"/>
    <w:rsid w:val="0086785F"/>
    <w:rsid w:val="00867A2F"/>
    <w:rsid w:val="00870365"/>
    <w:rsid w:val="008705CF"/>
    <w:rsid w:val="00870F87"/>
    <w:rsid w:val="008710EF"/>
    <w:rsid w:val="0087129E"/>
    <w:rsid w:val="00871359"/>
    <w:rsid w:val="0087167B"/>
    <w:rsid w:val="008718E7"/>
    <w:rsid w:val="00871A7F"/>
    <w:rsid w:val="00871B8D"/>
    <w:rsid w:val="0087221B"/>
    <w:rsid w:val="00872434"/>
    <w:rsid w:val="00872D08"/>
    <w:rsid w:val="00873B6F"/>
    <w:rsid w:val="00874279"/>
    <w:rsid w:val="00874A47"/>
    <w:rsid w:val="00874BAD"/>
    <w:rsid w:val="00874CD4"/>
    <w:rsid w:val="0087548E"/>
    <w:rsid w:val="0087583F"/>
    <w:rsid w:val="0087646A"/>
    <w:rsid w:val="00876ABF"/>
    <w:rsid w:val="00877009"/>
    <w:rsid w:val="008771BB"/>
    <w:rsid w:val="008774E3"/>
    <w:rsid w:val="008776B4"/>
    <w:rsid w:val="00877710"/>
    <w:rsid w:val="00877A1F"/>
    <w:rsid w:val="008801B5"/>
    <w:rsid w:val="00880AB9"/>
    <w:rsid w:val="008816A6"/>
    <w:rsid w:val="008819D2"/>
    <w:rsid w:val="00881B16"/>
    <w:rsid w:val="00881D3B"/>
    <w:rsid w:val="00882236"/>
    <w:rsid w:val="0088278E"/>
    <w:rsid w:val="00883BB8"/>
    <w:rsid w:val="00884A62"/>
    <w:rsid w:val="00884BEE"/>
    <w:rsid w:val="00887403"/>
    <w:rsid w:val="0088796B"/>
    <w:rsid w:val="00890046"/>
    <w:rsid w:val="00890E51"/>
    <w:rsid w:val="008923DE"/>
    <w:rsid w:val="00892629"/>
    <w:rsid w:val="008928C9"/>
    <w:rsid w:val="00892D80"/>
    <w:rsid w:val="00892EC0"/>
    <w:rsid w:val="008933E4"/>
    <w:rsid w:val="008935A7"/>
    <w:rsid w:val="00893F81"/>
    <w:rsid w:val="00894345"/>
    <w:rsid w:val="008947F7"/>
    <w:rsid w:val="008948D6"/>
    <w:rsid w:val="00896869"/>
    <w:rsid w:val="00896935"/>
    <w:rsid w:val="00897692"/>
    <w:rsid w:val="00897A32"/>
    <w:rsid w:val="008A0C2C"/>
    <w:rsid w:val="008A0CE9"/>
    <w:rsid w:val="008A1624"/>
    <w:rsid w:val="008A1D68"/>
    <w:rsid w:val="008A299A"/>
    <w:rsid w:val="008A29E5"/>
    <w:rsid w:val="008A2BE1"/>
    <w:rsid w:val="008A2BFA"/>
    <w:rsid w:val="008A2EC9"/>
    <w:rsid w:val="008A2EE4"/>
    <w:rsid w:val="008A31BE"/>
    <w:rsid w:val="008A3FCC"/>
    <w:rsid w:val="008A42D1"/>
    <w:rsid w:val="008A4349"/>
    <w:rsid w:val="008A4798"/>
    <w:rsid w:val="008A488E"/>
    <w:rsid w:val="008A4A72"/>
    <w:rsid w:val="008A500E"/>
    <w:rsid w:val="008A5F1B"/>
    <w:rsid w:val="008A64E1"/>
    <w:rsid w:val="008A6D00"/>
    <w:rsid w:val="008A6D0D"/>
    <w:rsid w:val="008A7370"/>
    <w:rsid w:val="008A7834"/>
    <w:rsid w:val="008A7AED"/>
    <w:rsid w:val="008A7F10"/>
    <w:rsid w:val="008B0075"/>
    <w:rsid w:val="008B0370"/>
    <w:rsid w:val="008B0CC7"/>
    <w:rsid w:val="008B119A"/>
    <w:rsid w:val="008B13E8"/>
    <w:rsid w:val="008B143C"/>
    <w:rsid w:val="008B18B4"/>
    <w:rsid w:val="008B1E4D"/>
    <w:rsid w:val="008B2EB9"/>
    <w:rsid w:val="008B2FF5"/>
    <w:rsid w:val="008B3A3D"/>
    <w:rsid w:val="008B44CC"/>
    <w:rsid w:val="008B480A"/>
    <w:rsid w:val="008B49EC"/>
    <w:rsid w:val="008B4AC7"/>
    <w:rsid w:val="008B59A6"/>
    <w:rsid w:val="008B60FD"/>
    <w:rsid w:val="008B6917"/>
    <w:rsid w:val="008B6A7A"/>
    <w:rsid w:val="008B6C53"/>
    <w:rsid w:val="008B6FF5"/>
    <w:rsid w:val="008C03C1"/>
    <w:rsid w:val="008C1147"/>
    <w:rsid w:val="008C14D8"/>
    <w:rsid w:val="008C243A"/>
    <w:rsid w:val="008C2508"/>
    <w:rsid w:val="008C2686"/>
    <w:rsid w:val="008C290C"/>
    <w:rsid w:val="008C3278"/>
    <w:rsid w:val="008C369D"/>
    <w:rsid w:val="008C373F"/>
    <w:rsid w:val="008C37F2"/>
    <w:rsid w:val="008C3B62"/>
    <w:rsid w:val="008C3DA3"/>
    <w:rsid w:val="008C4072"/>
    <w:rsid w:val="008C46E7"/>
    <w:rsid w:val="008C48C8"/>
    <w:rsid w:val="008C5C63"/>
    <w:rsid w:val="008C694B"/>
    <w:rsid w:val="008C6ABF"/>
    <w:rsid w:val="008C6DB6"/>
    <w:rsid w:val="008C6E34"/>
    <w:rsid w:val="008C76B6"/>
    <w:rsid w:val="008C7718"/>
    <w:rsid w:val="008C7F63"/>
    <w:rsid w:val="008D01B5"/>
    <w:rsid w:val="008D0511"/>
    <w:rsid w:val="008D06C8"/>
    <w:rsid w:val="008D0F62"/>
    <w:rsid w:val="008D10C1"/>
    <w:rsid w:val="008D1562"/>
    <w:rsid w:val="008D1592"/>
    <w:rsid w:val="008D1E3E"/>
    <w:rsid w:val="008D380C"/>
    <w:rsid w:val="008D3AE5"/>
    <w:rsid w:val="008D48E2"/>
    <w:rsid w:val="008D4A0A"/>
    <w:rsid w:val="008D4AB1"/>
    <w:rsid w:val="008D5160"/>
    <w:rsid w:val="008D5758"/>
    <w:rsid w:val="008D5793"/>
    <w:rsid w:val="008D608C"/>
    <w:rsid w:val="008D62BD"/>
    <w:rsid w:val="008D6914"/>
    <w:rsid w:val="008D6C7B"/>
    <w:rsid w:val="008D729E"/>
    <w:rsid w:val="008D7348"/>
    <w:rsid w:val="008D7EBD"/>
    <w:rsid w:val="008E042C"/>
    <w:rsid w:val="008E08EA"/>
    <w:rsid w:val="008E0F49"/>
    <w:rsid w:val="008E1064"/>
    <w:rsid w:val="008E17FD"/>
    <w:rsid w:val="008E1E3D"/>
    <w:rsid w:val="008E220E"/>
    <w:rsid w:val="008E26E1"/>
    <w:rsid w:val="008E2898"/>
    <w:rsid w:val="008E2A26"/>
    <w:rsid w:val="008E350C"/>
    <w:rsid w:val="008E42F8"/>
    <w:rsid w:val="008E4679"/>
    <w:rsid w:val="008E4ABF"/>
    <w:rsid w:val="008E4F0D"/>
    <w:rsid w:val="008E547E"/>
    <w:rsid w:val="008E643C"/>
    <w:rsid w:val="008E7659"/>
    <w:rsid w:val="008E7A67"/>
    <w:rsid w:val="008E7B7B"/>
    <w:rsid w:val="008E7CC4"/>
    <w:rsid w:val="008F049C"/>
    <w:rsid w:val="008F0E4A"/>
    <w:rsid w:val="008F0E5A"/>
    <w:rsid w:val="008F15F6"/>
    <w:rsid w:val="008F1696"/>
    <w:rsid w:val="008F18A7"/>
    <w:rsid w:val="008F1920"/>
    <w:rsid w:val="008F19C7"/>
    <w:rsid w:val="008F1D30"/>
    <w:rsid w:val="008F2547"/>
    <w:rsid w:val="008F26A1"/>
    <w:rsid w:val="008F323E"/>
    <w:rsid w:val="008F32D0"/>
    <w:rsid w:val="008F3AC3"/>
    <w:rsid w:val="008F4104"/>
    <w:rsid w:val="008F46EC"/>
    <w:rsid w:val="008F4EB8"/>
    <w:rsid w:val="008F5162"/>
    <w:rsid w:val="008F5168"/>
    <w:rsid w:val="008F51EC"/>
    <w:rsid w:val="008F5E51"/>
    <w:rsid w:val="008F5F81"/>
    <w:rsid w:val="008F60B5"/>
    <w:rsid w:val="008F70FD"/>
    <w:rsid w:val="008F7776"/>
    <w:rsid w:val="008F79E6"/>
    <w:rsid w:val="00900234"/>
    <w:rsid w:val="00900A25"/>
    <w:rsid w:val="00901324"/>
    <w:rsid w:val="00901648"/>
    <w:rsid w:val="0090174C"/>
    <w:rsid w:val="00901779"/>
    <w:rsid w:val="00901E19"/>
    <w:rsid w:val="0090203B"/>
    <w:rsid w:val="0090238F"/>
    <w:rsid w:val="009027D2"/>
    <w:rsid w:val="00902B51"/>
    <w:rsid w:val="00903DF4"/>
    <w:rsid w:val="00903F26"/>
    <w:rsid w:val="00904182"/>
    <w:rsid w:val="00904414"/>
    <w:rsid w:val="0090471E"/>
    <w:rsid w:val="00904736"/>
    <w:rsid w:val="00904EE2"/>
    <w:rsid w:val="00905418"/>
    <w:rsid w:val="00905B20"/>
    <w:rsid w:val="00905D21"/>
    <w:rsid w:val="0090610A"/>
    <w:rsid w:val="0090627B"/>
    <w:rsid w:val="0090763A"/>
    <w:rsid w:val="0090765D"/>
    <w:rsid w:val="00907742"/>
    <w:rsid w:val="00907806"/>
    <w:rsid w:val="00907E26"/>
    <w:rsid w:val="00910023"/>
    <w:rsid w:val="00910196"/>
    <w:rsid w:val="00910D15"/>
    <w:rsid w:val="00911885"/>
    <w:rsid w:val="0091192D"/>
    <w:rsid w:val="00911978"/>
    <w:rsid w:val="00911FBD"/>
    <w:rsid w:val="009126E8"/>
    <w:rsid w:val="009127F4"/>
    <w:rsid w:val="00912B49"/>
    <w:rsid w:val="00913D8B"/>
    <w:rsid w:val="0091417D"/>
    <w:rsid w:val="009142EE"/>
    <w:rsid w:val="0091487C"/>
    <w:rsid w:val="009148BB"/>
    <w:rsid w:val="00914C2D"/>
    <w:rsid w:val="0091524C"/>
    <w:rsid w:val="00915327"/>
    <w:rsid w:val="009161F7"/>
    <w:rsid w:val="00916C4F"/>
    <w:rsid w:val="00917805"/>
    <w:rsid w:val="00917EF7"/>
    <w:rsid w:val="009210C0"/>
    <w:rsid w:val="009212FE"/>
    <w:rsid w:val="00921EC3"/>
    <w:rsid w:val="00921F04"/>
    <w:rsid w:val="00922224"/>
    <w:rsid w:val="00923818"/>
    <w:rsid w:val="009247CE"/>
    <w:rsid w:val="00924C23"/>
    <w:rsid w:val="00924F3C"/>
    <w:rsid w:val="00925267"/>
    <w:rsid w:val="00926AD0"/>
    <w:rsid w:val="0092728C"/>
    <w:rsid w:val="009273E6"/>
    <w:rsid w:val="00927637"/>
    <w:rsid w:val="0092783F"/>
    <w:rsid w:val="00930109"/>
    <w:rsid w:val="00930E78"/>
    <w:rsid w:val="009320B8"/>
    <w:rsid w:val="00932A07"/>
    <w:rsid w:val="009331D5"/>
    <w:rsid w:val="009331F2"/>
    <w:rsid w:val="009332D2"/>
    <w:rsid w:val="00933BB1"/>
    <w:rsid w:val="00933EAD"/>
    <w:rsid w:val="00934625"/>
    <w:rsid w:val="009346BF"/>
    <w:rsid w:val="00934735"/>
    <w:rsid w:val="00934BB5"/>
    <w:rsid w:val="00934C9B"/>
    <w:rsid w:val="0093597D"/>
    <w:rsid w:val="0093643A"/>
    <w:rsid w:val="00937102"/>
    <w:rsid w:val="009372F1"/>
    <w:rsid w:val="00937572"/>
    <w:rsid w:val="009379BA"/>
    <w:rsid w:val="00937AF2"/>
    <w:rsid w:val="00940068"/>
    <w:rsid w:val="0094062D"/>
    <w:rsid w:val="00940B55"/>
    <w:rsid w:val="00940E7B"/>
    <w:rsid w:val="00941377"/>
    <w:rsid w:val="009413FA"/>
    <w:rsid w:val="009426BE"/>
    <w:rsid w:val="009429F8"/>
    <w:rsid w:val="00942DF5"/>
    <w:rsid w:val="00942E80"/>
    <w:rsid w:val="00942EBC"/>
    <w:rsid w:val="00943B03"/>
    <w:rsid w:val="00944891"/>
    <w:rsid w:val="00944FB7"/>
    <w:rsid w:val="009457CB"/>
    <w:rsid w:val="00945A6A"/>
    <w:rsid w:val="00945B86"/>
    <w:rsid w:val="009461E9"/>
    <w:rsid w:val="0094630D"/>
    <w:rsid w:val="00946437"/>
    <w:rsid w:val="00946C48"/>
    <w:rsid w:val="00946F5E"/>
    <w:rsid w:val="00947095"/>
    <w:rsid w:val="009474C8"/>
    <w:rsid w:val="00947F2C"/>
    <w:rsid w:val="00950716"/>
    <w:rsid w:val="00950AAB"/>
    <w:rsid w:val="00950F37"/>
    <w:rsid w:val="00952BAC"/>
    <w:rsid w:val="00952CA6"/>
    <w:rsid w:val="00953876"/>
    <w:rsid w:val="0095421E"/>
    <w:rsid w:val="009543AF"/>
    <w:rsid w:val="009544D2"/>
    <w:rsid w:val="00954853"/>
    <w:rsid w:val="00955FD7"/>
    <w:rsid w:val="00956126"/>
    <w:rsid w:val="0095653D"/>
    <w:rsid w:val="00956A1D"/>
    <w:rsid w:val="0095724A"/>
    <w:rsid w:val="009602B3"/>
    <w:rsid w:val="0096041D"/>
    <w:rsid w:val="009604FB"/>
    <w:rsid w:val="009607D4"/>
    <w:rsid w:val="00960855"/>
    <w:rsid w:val="009616BC"/>
    <w:rsid w:val="009619FF"/>
    <w:rsid w:val="00961AD9"/>
    <w:rsid w:val="00961CF6"/>
    <w:rsid w:val="00961EC0"/>
    <w:rsid w:val="009621D3"/>
    <w:rsid w:val="00962C9F"/>
    <w:rsid w:val="009633C8"/>
    <w:rsid w:val="0096397F"/>
    <w:rsid w:val="00963A09"/>
    <w:rsid w:val="00963C8F"/>
    <w:rsid w:val="00963DEB"/>
    <w:rsid w:val="009646DA"/>
    <w:rsid w:val="00964A50"/>
    <w:rsid w:val="00964BC2"/>
    <w:rsid w:val="00964C5A"/>
    <w:rsid w:val="00964DBC"/>
    <w:rsid w:val="00964DD2"/>
    <w:rsid w:val="0096511B"/>
    <w:rsid w:val="0096520B"/>
    <w:rsid w:val="00966082"/>
    <w:rsid w:val="00966783"/>
    <w:rsid w:val="00967433"/>
    <w:rsid w:val="009676DC"/>
    <w:rsid w:val="00967F4D"/>
    <w:rsid w:val="00970430"/>
    <w:rsid w:val="00971186"/>
    <w:rsid w:val="009711D5"/>
    <w:rsid w:val="00971532"/>
    <w:rsid w:val="00971D63"/>
    <w:rsid w:val="009727F7"/>
    <w:rsid w:val="00973E15"/>
    <w:rsid w:val="00973EB6"/>
    <w:rsid w:val="009750F5"/>
    <w:rsid w:val="00975950"/>
    <w:rsid w:val="0097645B"/>
    <w:rsid w:val="00976D46"/>
    <w:rsid w:val="00977599"/>
    <w:rsid w:val="00977CC7"/>
    <w:rsid w:val="00981EC6"/>
    <w:rsid w:val="009821D7"/>
    <w:rsid w:val="00982216"/>
    <w:rsid w:val="0098235F"/>
    <w:rsid w:val="00982926"/>
    <w:rsid w:val="00983EA4"/>
    <w:rsid w:val="0098476E"/>
    <w:rsid w:val="00984B1C"/>
    <w:rsid w:val="0098590F"/>
    <w:rsid w:val="009860D9"/>
    <w:rsid w:val="009868FF"/>
    <w:rsid w:val="00986E43"/>
    <w:rsid w:val="00987110"/>
    <w:rsid w:val="00987BC1"/>
    <w:rsid w:val="00987CBB"/>
    <w:rsid w:val="00987F17"/>
    <w:rsid w:val="009903B1"/>
    <w:rsid w:val="009909F4"/>
    <w:rsid w:val="00990C0B"/>
    <w:rsid w:val="009910A1"/>
    <w:rsid w:val="0099151E"/>
    <w:rsid w:val="009917F9"/>
    <w:rsid w:val="009932E2"/>
    <w:rsid w:val="00993488"/>
    <w:rsid w:val="0099467A"/>
    <w:rsid w:val="0099477F"/>
    <w:rsid w:val="0099499E"/>
    <w:rsid w:val="00995046"/>
    <w:rsid w:val="0099506D"/>
    <w:rsid w:val="00995AC9"/>
    <w:rsid w:val="00995B7D"/>
    <w:rsid w:val="00996E97"/>
    <w:rsid w:val="00997E01"/>
    <w:rsid w:val="009A042D"/>
    <w:rsid w:val="009A092B"/>
    <w:rsid w:val="009A0F37"/>
    <w:rsid w:val="009A0F9B"/>
    <w:rsid w:val="009A0FF3"/>
    <w:rsid w:val="009A1E09"/>
    <w:rsid w:val="009A1FD6"/>
    <w:rsid w:val="009A21D9"/>
    <w:rsid w:val="009A23D2"/>
    <w:rsid w:val="009A243B"/>
    <w:rsid w:val="009A2AEE"/>
    <w:rsid w:val="009A3086"/>
    <w:rsid w:val="009A31B1"/>
    <w:rsid w:val="009A420D"/>
    <w:rsid w:val="009A46D5"/>
    <w:rsid w:val="009A49E5"/>
    <w:rsid w:val="009A4CAC"/>
    <w:rsid w:val="009A57B5"/>
    <w:rsid w:val="009A5FEF"/>
    <w:rsid w:val="009A60DE"/>
    <w:rsid w:val="009A660E"/>
    <w:rsid w:val="009A7AB6"/>
    <w:rsid w:val="009A7B0A"/>
    <w:rsid w:val="009A7BEF"/>
    <w:rsid w:val="009A7CEF"/>
    <w:rsid w:val="009B08B8"/>
    <w:rsid w:val="009B0CEE"/>
    <w:rsid w:val="009B1582"/>
    <w:rsid w:val="009B1FAD"/>
    <w:rsid w:val="009B218C"/>
    <w:rsid w:val="009B2339"/>
    <w:rsid w:val="009B245E"/>
    <w:rsid w:val="009B24B5"/>
    <w:rsid w:val="009B279B"/>
    <w:rsid w:val="009B2E71"/>
    <w:rsid w:val="009B354C"/>
    <w:rsid w:val="009B416C"/>
    <w:rsid w:val="009B5B74"/>
    <w:rsid w:val="009B5C14"/>
    <w:rsid w:val="009B5F12"/>
    <w:rsid w:val="009B6373"/>
    <w:rsid w:val="009B6493"/>
    <w:rsid w:val="009B65DC"/>
    <w:rsid w:val="009B6A8B"/>
    <w:rsid w:val="009B6BE7"/>
    <w:rsid w:val="009B6FE0"/>
    <w:rsid w:val="009B77CE"/>
    <w:rsid w:val="009B78C5"/>
    <w:rsid w:val="009B7B3A"/>
    <w:rsid w:val="009C085F"/>
    <w:rsid w:val="009C0ED1"/>
    <w:rsid w:val="009C0EDB"/>
    <w:rsid w:val="009C17EE"/>
    <w:rsid w:val="009C1966"/>
    <w:rsid w:val="009C1BF0"/>
    <w:rsid w:val="009C1F32"/>
    <w:rsid w:val="009C2C82"/>
    <w:rsid w:val="009C2FD1"/>
    <w:rsid w:val="009C35D6"/>
    <w:rsid w:val="009C3C69"/>
    <w:rsid w:val="009C4194"/>
    <w:rsid w:val="009C451C"/>
    <w:rsid w:val="009C4819"/>
    <w:rsid w:val="009C58F1"/>
    <w:rsid w:val="009C5D4C"/>
    <w:rsid w:val="009C5DBA"/>
    <w:rsid w:val="009C5F0F"/>
    <w:rsid w:val="009C65F2"/>
    <w:rsid w:val="009C6A8E"/>
    <w:rsid w:val="009C6FFB"/>
    <w:rsid w:val="009C7966"/>
    <w:rsid w:val="009C7CEE"/>
    <w:rsid w:val="009D017A"/>
    <w:rsid w:val="009D02DF"/>
    <w:rsid w:val="009D0737"/>
    <w:rsid w:val="009D07E5"/>
    <w:rsid w:val="009D0AEC"/>
    <w:rsid w:val="009D0D03"/>
    <w:rsid w:val="009D159A"/>
    <w:rsid w:val="009D2AC5"/>
    <w:rsid w:val="009D3994"/>
    <w:rsid w:val="009D448E"/>
    <w:rsid w:val="009D4748"/>
    <w:rsid w:val="009D58A1"/>
    <w:rsid w:val="009D6E96"/>
    <w:rsid w:val="009D71B5"/>
    <w:rsid w:val="009D7B7B"/>
    <w:rsid w:val="009E010F"/>
    <w:rsid w:val="009E031B"/>
    <w:rsid w:val="009E0950"/>
    <w:rsid w:val="009E1093"/>
    <w:rsid w:val="009E1992"/>
    <w:rsid w:val="009E2068"/>
    <w:rsid w:val="009E21D8"/>
    <w:rsid w:val="009E2605"/>
    <w:rsid w:val="009E32B7"/>
    <w:rsid w:val="009E34F7"/>
    <w:rsid w:val="009E3BBA"/>
    <w:rsid w:val="009E3CA8"/>
    <w:rsid w:val="009E41DE"/>
    <w:rsid w:val="009E4347"/>
    <w:rsid w:val="009E4ACD"/>
    <w:rsid w:val="009E4BBF"/>
    <w:rsid w:val="009E56D9"/>
    <w:rsid w:val="009E583F"/>
    <w:rsid w:val="009E598A"/>
    <w:rsid w:val="009E5CA6"/>
    <w:rsid w:val="009E619C"/>
    <w:rsid w:val="009E62EE"/>
    <w:rsid w:val="009E6888"/>
    <w:rsid w:val="009E6AF9"/>
    <w:rsid w:val="009E737B"/>
    <w:rsid w:val="009E7851"/>
    <w:rsid w:val="009E7EE6"/>
    <w:rsid w:val="009F0B13"/>
    <w:rsid w:val="009F1310"/>
    <w:rsid w:val="009F1416"/>
    <w:rsid w:val="009F14C5"/>
    <w:rsid w:val="009F25B6"/>
    <w:rsid w:val="009F2FBC"/>
    <w:rsid w:val="009F377B"/>
    <w:rsid w:val="009F387C"/>
    <w:rsid w:val="009F41FA"/>
    <w:rsid w:val="009F5476"/>
    <w:rsid w:val="009F570A"/>
    <w:rsid w:val="009F5ACA"/>
    <w:rsid w:val="009F5EF5"/>
    <w:rsid w:val="009F6626"/>
    <w:rsid w:val="009F69C1"/>
    <w:rsid w:val="009F6E5C"/>
    <w:rsid w:val="009F77B5"/>
    <w:rsid w:val="00A0020D"/>
    <w:rsid w:val="00A004EF"/>
    <w:rsid w:val="00A005BE"/>
    <w:rsid w:val="00A00749"/>
    <w:rsid w:val="00A007C5"/>
    <w:rsid w:val="00A00B26"/>
    <w:rsid w:val="00A00F4F"/>
    <w:rsid w:val="00A017FB"/>
    <w:rsid w:val="00A01878"/>
    <w:rsid w:val="00A0208A"/>
    <w:rsid w:val="00A025F4"/>
    <w:rsid w:val="00A02B23"/>
    <w:rsid w:val="00A03495"/>
    <w:rsid w:val="00A0411C"/>
    <w:rsid w:val="00A041FB"/>
    <w:rsid w:val="00A05861"/>
    <w:rsid w:val="00A0630E"/>
    <w:rsid w:val="00A0651A"/>
    <w:rsid w:val="00A066BA"/>
    <w:rsid w:val="00A06F18"/>
    <w:rsid w:val="00A07131"/>
    <w:rsid w:val="00A079DF"/>
    <w:rsid w:val="00A07FCF"/>
    <w:rsid w:val="00A100B4"/>
    <w:rsid w:val="00A10A88"/>
    <w:rsid w:val="00A10F50"/>
    <w:rsid w:val="00A1111B"/>
    <w:rsid w:val="00A11714"/>
    <w:rsid w:val="00A11AAC"/>
    <w:rsid w:val="00A1315A"/>
    <w:rsid w:val="00A131A0"/>
    <w:rsid w:val="00A1366D"/>
    <w:rsid w:val="00A141C7"/>
    <w:rsid w:val="00A146FB"/>
    <w:rsid w:val="00A1470A"/>
    <w:rsid w:val="00A14972"/>
    <w:rsid w:val="00A14CA2"/>
    <w:rsid w:val="00A14DB5"/>
    <w:rsid w:val="00A156AF"/>
    <w:rsid w:val="00A156C5"/>
    <w:rsid w:val="00A15A1D"/>
    <w:rsid w:val="00A15A23"/>
    <w:rsid w:val="00A15EAA"/>
    <w:rsid w:val="00A160A6"/>
    <w:rsid w:val="00A16B12"/>
    <w:rsid w:val="00A1710B"/>
    <w:rsid w:val="00A1764D"/>
    <w:rsid w:val="00A17CEC"/>
    <w:rsid w:val="00A20347"/>
    <w:rsid w:val="00A20498"/>
    <w:rsid w:val="00A2085E"/>
    <w:rsid w:val="00A20AAA"/>
    <w:rsid w:val="00A20AB8"/>
    <w:rsid w:val="00A20BEF"/>
    <w:rsid w:val="00A20C44"/>
    <w:rsid w:val="00A21934"/>
    <w:rsid w:val="00A21C0D"/>
    <w:rsid w:val="00A21F09"/>
    <w:rsid w:val="00A22077"/>
    <w:rsid w:val="00A22221"/>
    <w:rsid w:val="00A223CB"/>
    <w:rsid w:val="00A2327A"/>
    <w:rsid w:val="00A232AE"/>
    <w:rsid w:val="00A23397"/>
    <w:rsid w:val="00A23A4A"/>
    <w:rsid w:val="00A241B8"/>
    <w:rsid w:val="00A242BE"/>
    <w:rsid w:val="00A2439C"/>
    <w:rsid w:val="00A2477B"/>
    <w:rsid w:val="00A248D7"/>
    <w:rsid w:val="00A24C6B"/>
    <w:rsid w:val="00A254CB"/>
    <w:rsid w:val="00A25BE3"/>
    <w:rsid w:val="00A25D44"/>
    <w:rsid w:val="00A26135"/>
    <w:rsid w:val="00A26306"/>
    <w:rsid w:val="00A26752"/>
    <w:rsid w:val="00A278FF"/>
    <w:rsid w:val="00A27A4A"/>
    <w:rsid w:val="00A27A5A"/>
    <w:rsid w:val="00A301CA"/>
    <w:rsid w:val="00A3032B"/>
    <w:rsid w:val="00A30C07"/>
    <w:rsid w:val="00A31AF6"/>
    <w:rsid w:val="00A31C85"/>
    <w:rsid w:val="00A31DBC"/>
    <w:rsid w:val="00A31EA8"/>
    <w:rsid w:val="00A321A7"/>
    <w:rsid w:val="00A327FE"/>
    <w:rsid w:val="00A32B63"/>
    <w:rsid w:val="00A32CA7"/>
    <w:rsid w:val="00A33214"/>
    <w:rsid w:val="00A338D1"/>
    <w:rsid w:val="00A33A40"/>
    <w:rsid w:val="00A33FFF"/>
    <w:rsid w:val="00A3408A"/>
    <w:rsid w:val="00A34192"/>
    <w:rsid w:val="00A344CB"/>
    <w:rsid w:val="00A3462F"/>
    <w:rsid w:val="00A3468C"/>
    <w:rsid w:val="00A357B2"/>
    <w:rsid w:val="00A3596C"/>
    <w:rsid w:val="00A35B31"/>
    <w:rsid w:val="00A35B94"/>
    <w:rsid w:val="00A35FE9"/>
    <w:rsid w:val="00A3603D"/>
    <w:rsid w:val="00A36160"/>
    <w:rsid w:val="00A36171"/>
    <w:rsid w:val="00A36590"/>
    <w:rsid w:val="00A36682"/>
    <w:rsid w:val="00A37072"/>
    <w:rsid w:val="00A37A6A"/>
    <w:rsid w:val="00A40BC9"/>
    <w:rsid w:val="00A429DA"/>
    <w:rsid w:val="00A42E5E"/>
    <w:rsid w:val="00A43080"/>
    <w:rsid w:val="00A447C5"/>
    <w:rsid w:val="00A45614"/>
    <w:rsid w:val="00A45ACD"/>
    <w:rsid w:val="00A468A7"/>
    <w:rsid w:val="00A468B8"/>
    <w:rsid w:val="00A46BE5"/>
    <w:rsid w:val="00A46D2A"/>
    <w:rsid w:val="00A46DB5"/>
    <w:rsid w:val="00A474C9"/>
    <w:rsid w:val="00A476D5"/>
    <w:rsid w:val="00A47724"/>
    <w:rsid w:val="00A47754"/>
    <w:rsid w:val="00A5003C"/>
    <w:rsid w:val="00A50544"/>
    <w:rsid w:val="00A50BF5"/>
    <w:rsid w:val="00A50C96"/>
    <w:rsid w:val="00A514F8"/>
    <w:rsid w:val="00A517CC"/>
    <w:rsid w:val="00A519E9"/>
    <w:rsid w:val="00A51A58"/>
    <w:rsid w:val="00A51C76"/>
    <w:rsid w:val="00A52461"/>
    <w:rsid w:val="00A52979"/>
    <w:rsid w:val="00A52BD1"/>
    <w:rsid w:val="00A531D6"/>
    <w:rsid w:val="00A533F6"/>
    <w:rsid w:val="00A5392D"/>
    <w:rsid w:val="00A53ED3"/>
    <w:rsid w:val="00A54B7D"/>
    <w:rsid w:val="00A55336"/>
    <w:rsid w:val="00A5549E"/>
    <w:rsid w:val="00A55736"/>
    <w:rsid w:val="00A557C1"/>
    <w:rsid w:val="00A5672E"/>
    <w:rsid w:val="00A57136"/>
    <w:rsid w:val="00A60A9F"/>
    <w:rsid w:val="00A6102A"/>
    <w:rsid w:val="00A61F96"/>
    <w:rsid w:val="00A620C4"/>
    <w:rsid w:val="00A622D0"/>
    <w:rsid w:val="00A62B76"/>
    <w:rsid w:val="00A63632"/>
    <w:rsid w:val="00A6376E"/>
    <w:rsid w:val="00A637DC"/>
    <w:rsid w:val="00A6382A"/>
    <w:rsid w:val="00A65200"/>
    <w:rsid w:val="00A65249"/>
    <w:rsid w:val="00A65719"/>
    <w:rsid w:val="00A65932"/>
    <w:rsid w:val="00A65A02"/>
    <w:rsid w:val="00A66643"/>
    <w:rsid w:val="00A66CB0"/>
    <w:rsid w:val="00A66ECA"/>
    <w:rsid w:val="00A67A31"/>
    <w:rsid w:val="00A709D6"/>
    <w:rsid w:val="00A709E2"/>
    <w:rsid w:val="00A711ED"/>
    <w:rsid w:val="00A71674"/>
    <w:rsid w:val="00A716E3"/>
    <w:rsid w:val="00A72004"/>
    <w:rsid w:val="00A72331"/>
    <w:rsid w:val="00A72B29"/>
    <w:rsid w:val="00A73438"/>
    <w:rsid w:val="00A73A92"/>
    <w:rsid w:val="00A751A5"/>
    <w:rsid w:val="00A751FD"/>
    <w:rsid w:val="00A752BD"/>
    <w:rsid w:val="00A75519"/>
    <w:rsid w:val="00A7581D"/>
    <w:rsid w:val="00A75A09"/>
    <w:rsid w:val="00A76E70"/>
    <w:rsid w:val="00A772F9"/>
    <w:rsid w:val="00A77B60"/>
    <w:rsid w:val="00A77E13"/>
    <w:rsid w:val="00A8033D"/>
    <w:rsid w:val="00A8069C"/>
    <w:rsid w:val="00A80C88"/>
    <w:rsid w:val="00A810DC"/>
    <w:rsid w:val="00A81224"/>
    <w:rsid w:val="00A81D20"/>
    <w:rsid w:val="00A82BDA"/>
    <w:rsid w:val="00A83046"/>
    <w:rsid w:val="00A84953"/>
    <w:rsid w:val="00A84B0E"/>
    <w:rsid w:val="00A84BBE"/>
    <w:rsid w:val="00A85FE2"/>
    <w:rsid w:val="00A861B8"/>
    <w:rsid w:val="00A86399"/>
    <w:rsid w:val="00A86903"/>
    <w:rsid w:val="00A875A2"/>
    <w:rsid w:val="00A87D1C"/>
    <w:rsid w:val="00A913C5"/>
    <w:rsid w:val="00A91629"/>
    <w:rsid w:val="00A916BF"/>
    <w:rsid w:val="00A91AD5"/>
    <w:rsid w:val="00A92BB1"/>
    <w:rsid w:val="00A946A9"/>
    <w:rsid w:val="00A95D02"/>
    <w:rsid w:val="00A95F3F"/>
    <w:rsid w:val="00A95F65"/>
    <w:rsid w:val="00A95F6C"/>
    <w:rsid w:val="00A96DA6"/>
    <w:rsid w:val="00A96F64"/>
    <w:rsid w:val="00AA03C8"/>
    <w:rsid w:val="00AA0E80"/>
    <w:rsid w:val="00AA0FCB"/>
    <w:rsid w:val="00AA1AE6"/>
    <w:rsid w:val="00AA27D5"/>
    <w:rsid w:val="00AA29EE"/>
    <w:rsid w:val="00AA2D39"/>
    <w:rsid w:val="00AA2E1C"/>
    <w:rsid w:val="00AA2F12"/>
    <w:rsid w:val="00AA3CCF"/>
    <w:rsid w:val="00AA4BA5"/>
    <w:rsid w:val="00AA4E43"/>
    <w:rsid w:val="00AA52C6"/>
    <w:rsid w:val="00AA5768"/>
    <w:rsid w:val="00AA58F0"/>
    <w:rsid w:val="00AA6D74"/>
    <w:rsid w:val="00AA6E78"/>
    <w:rsid w:val="00AA70FD"/>
    <w:rsid w:val="00AA7A72"/>
    <w:rsid w:val="00AA7D48"/>
    <w:rsid w:val="00AB051C"/>
    <w:rsid w:val="00AB10F4"/>
    <w:rsid w:val="00AB116E"/>
    <w:rsid w:val="00AB1390"/>
    <w:rsid w:val="00AB1E8A"/>
    <w:rsid w:val="00AB210E"/>
    <w:rsid w:val="00AB2263"/>
    <w:rsid w:val="00AB26E8"/>
    <w:rsid w:val="00AB27A8"/>
    <w:rsid w:val="00AB39CF"/>
    <w:rsid w:val="00AB3A6B"/>
    <w:rsid w:val="00AB3D8E"/>
    <w:rsid w:val="00AB4724"/>
    <w:rsid w:val="00AB4943"/>
    <w:rsid w:val="00AB521B"/>
    <w:rsid w:val="00AB533E"/>
    <w:rsid w:val="00AB555E"/>
    <w:rsid w:val="00AB56BD"/>
    <w:rsid w:val="00AB576F"/>
    <w:rsid w:val="00AB5841"/>
    <w:rsid w:val="00AB5B30"/>
    <w:rsid w:val="00AB5F0F"/>
    <w:rsid w:val="00AB5F4E"/>
    <w:rsid w:val="00AB6260"/>
    <w:rsid w:val="00AB6C5A"/>
    <w:rsid w:val="00AB6D8D"/>
    <w:rsid w:val="00AB765F"/>
    <w:rsid w:val="00AB7E82"/>
    <w:rsid w:val="00AC0A49"/>
    <w:rsid w:val="00AC0F71"/>
    <w:rsid w:val="00AC11F2"/>
    <w:rsid w:val="00AC1677"/>
    <w:rsid w:val="00AC231F"/>
    <w:rsid w:val="00AC2666"/>
    <w:rsid w:val="00AC2E66"/>
    <w:rsid w:val="00AC3E1E"/>
    <w:rsid w:val="00AC4FAC"/>
    <w:rsid w:val="00AC51A7"/>
    <w:rsid w:val="00AC5430"/>
    <w:rsid w:val="00AC598A"/>
    <w:rsid w:val="00AC6846"/>
    <w:rsid w:val="00AC71E7"/>
    <w:rsid w:val="00AC74D9"/>
    <w:rsid w:val="00AC7D6A"/>
    <w:rsid w:val="00AD01C5"/>
    <w:rsid w:val="00AD0301"/>
    <w:rsid w:val="00AD07B9"/>
    <w:rsid w:val="00AD0BA8"/>
    <w:rsid w:val="00AD0C93"/>
    <w:rsid w:val="00AD19D9"/>
    <w:rsid w:val="00AD1E28"/>
    <w:rsid w:val="00AD22B8"/>
    <w:rsid w:val="00AD277B"/>
    <w:rsid w:val="00AD29E4"/>
    <w:rsid w:val="00AD434D"/>
    <w:rsid w:val="00AD45BE"/>
    <w:rsid w:val="00AD490E"/>
    <w:rsid w:val="00AD5B53"/>
    <w:rsid w:val="00AD5DE3"/>
    <w:rsid w:val="00AD6381"/>
    <w:rsid w:val="00AD6694"/>
    <w:rsid w:val="00AD6768"/>
    <w:rsid w:val="00AD6853"/>
    <w:rsid w:val="00AD6E9D"/>
    <w:rsid w:val="00AD71A6"/>
    <w:rsid w:val="00AD7220"/>
    <w:rsid w:val="00AD76F5"/>
    <w:rsid w:val="00AE0031"/>
    <w:rsid w:val="00AE09A6"/>
    <w:rsid w:val="00AE1513"/>
    <w:rsid w:val="00AE1546"/>
    <w:rsid w:val="00AE22DE"/>
    <w:rsid w:val="00AE2F94"/>
    <w:rsid w:val="00AE36CD"/>
    <w:rsid w:val="00AE39DC"/>
    <w:rsid w:val="00AE3C8F"/>
    <w:rsid w:val="00AE4071"/>
    <w:rsid w:val="00AE4A35"/>
    <w:rsid w:val="00AE5264"/>
    <w:rsid w:val="00AE5B1B"/>
    <w:rsid w:val="00AE60A4"/>
    <w:rsid w:val="00AE6207"/>
    <w:rsid w:val="00AE66FF"/>
    <w:rsid w:val="00AE6BD7"/>
    <w:rsid w:val="00AE7918"/>
    <w:rsid w:val="00AE7EDB"/>
    <w:rsid w:val="00AE7FC5"/>
    <w:rsid w:val="00AF1344"/>
    <w:rsid w:val="00AF1740"/>
    <w:rsid w:val="00AF1EEE"/>
    <w:rsid w:val="00AF22B6"/>
    <w:rsid w:val="00AF28BE"/>
    <w:rsid w:val="00AF30CE"/>
    <w:rsid w:val="00AF3642"/>
    <w:rsid w:val="00AF3872"/>
    <w:rsid w:val="00AF3BFC"/>
    <w:rsid w:val="00AF3FD5"/>
    <w:rsid w:val="00AF41D2"/>
    <w:rsid w:val="00AF4396"/>
    <w:rsid w:val="00AF56DB"/>
    <w:rsid w:val="00AF5BCD"/>
    <w:rsid w:val="00AF7935"/>
    <w:rsid w:val="00AF798E"/>
    <w:rsid w:val="00B00557"/>
    <w:rsid w:val="00B0055F"/>
    <w:rsid w:val="00B00872"/>
    <w:rsid w:val="00B00FF3"/>
    <w:rsid w:val="00B01730"/>
    <w:rsid w:val="00B02812"/>
    <w:rsid w:val="00B02843"/>
    <w:rsid w:val="00B02ACB"/>
    <w:rsid w:val="00B02AEB"/>
    <w:rsid w:val="00B02B63"/>
    <w:rsid w:val="00B03889"/>
    <w:rsid w:val="00B0396C"/>
    <w:rsid w:val="00B03B2C"/>
    <w:rsid w:val="00B04291"/>
    <w:rsid w:val="00B04546"/>
    <w:rsid w:val="00B04700"/>
    <w:rsid w:val="00B04FFC"/>
    <w:rsid w:val="00B06178"/>
    <w:rsid w:val="00B06FC8"/>
    <w:rsid w:val="00B07247"/>
    <w:rsid w:val="00B0786C"/>
    <w:rsid w:val="00B0787E"/>
    <w:rsid w:val="00B103D3"/>
    <w:rsid w:val="00B10737"/>
    <w:rsid w:val="00B10FD4"/>
    <w:rsid w:val="00B11963"/>
    <w:rsid w:val="00B125DE"/>
    <w:rsid w:val="00B1265C"/>
    <w:rsid w:val="00B1353D"/>
    <w:rsid w:val="00B13AF0"/>
    <w:rsid w:val="00B13B55"/>
    <w:rsid w:val="00B14010"/>
    <w:rsid w:val="00B14426"/>
    <w:rsid w:val="00B146C7"/>
    <w:rsid w:val="00B15A55"/>
    <w:rsid w:val="00B15BDF"/>
    <w:rsid w:val="00B16232"/>
    <w:rsid w:val="00B1643A"/>
    <w:rsid w:val="00B16FC8"/>
    <w:rsid w:val="00B17198"/>
    <w:rsid w:val="00B2164A"/>
    <w:rsid w:val="00B21899"/>
    <w:rsid w:val="00B21DCF"/>
    <w:rsid w:val="00B221B3"/>
    <w:rsid w:val="00B22F4F"/>
    <w:rsid w:val="00B23041"/>
    <w:rsid w:val="00B2315F"/>
    <w:rsid w:val="00B232F3"/>
    <w:rsid w:val="00B23539"/>
    <w:rsid w:val="00B2357A"/>
    <w:rsid w:val="00B2363C"/>
    <w:rsid w:val="00B23C08"/>
    <w:rsid w:val="00B244F0"/>
    <w:rsid w:val="00B24A13"/>
    <w:rsid w:val="00B24F29"/>
    <w:rsid w:val="00B25044"/>
    <w:rsid w:val="00B25529"/>
    <w:rsid w:val="00B25C27"/>
    <w:rsid w:val="00B25C9A"/>
    <w:rsid w:val="00B2601E"/>
    <w:rsid w:val="00B26ADD"/>
    <w:rsid w:val="00B26C4C"/>
    <w:rsid w:val="00B27C06"/>
    <w:rsid w:val="00B27CDE"/>
    <w:rsid w:val="00B30185"/>
    <w:rsid w:val="00B30275"/>
    <w:rsid w:val="00B3049E"/>
    <w:rsid w:val="00B30A1E"/>
    <w:rsid w:val="00B31037"/>
    <w:rsid w:val="00B31996"/>
    <w:rsid w:val="00B323F2"/>
    <w:rsid w:val="00B32A70"/>
    <w:rsid w:val="00B33024"/>
    <w:rsid w:val="00B340C9"/>
    <w:rsid w:val="00B34981"/>
    <w:rsid w:val="00B34B8F"/>
    <w:rsid w:val="00B354FE"/>
    <w:rsid w:val="00B355D6"/>
    <w:rsid w:val="00B358BA"/>
    <w:rsid w:val="00B35932"/>
    <w:rsid w:val="00B35C32"/>
    <w:rsid w:val="00B35F98"/>
    <w:rsid w:val="00B36C87"/>
    <w:rsid w:val="00B376AB"/>
    <w:rsid w:val="00B37E70"/>
    <w:rsid w:val="00B37F97"/>
    <w:rsid w:val="00B40220"/>
    <w:rsid w:val="00B40932"/>
    <w:rsid w:val="00B40BE1"/>
    <w:rsid w:val="00B40C95"/>
    <w:rsid w:val="00B40CC1"/>
    <w:rsid w:val="00B414D6"/>
    <w:rsid w:val="00B41538"/>
    <w:rsid w:val="00B41989"/>
    <w:rsid w:val="00B4257C"/>
    <w:rsid w:val="00B42822"/>
    <w:rsid w:val="00B42D81"/>
    <w:rsid w:val="00B42ECA"/>
    <w:rsid w:val="00B43FD7"/>
    <w:rsid w:val="00B44E3C"/>
    <w:rsid w:val="00B45BA8"/>
    <w:rsid w:val="00B45FAA"/>
    <w:rsid w:val="00B47106"/>
    <w:rsid w:val="00B47D42"/>
    <w:rsid w:val="00B508A3"/>
    <w:rsid w:val="00B50AC8"/>
    <w:rsid w:val="00B5118C"/>
    <w:rsid w:val="00B5173D"/>
    <w:rsid w:val="00B51B29"/>
    <w:rsid w:val="00B5204E"/>
    <w:rsid w:val="00B5239B"/>
    <w:rsid w:val="00B5304C"/>
    <w:rsid w:val="00B5318B"/>
    <w:rsid w:val="00B54702"/>
    <w:rsid w:val="00B54850"/>
    <w:rsid w:val="00B5532D"/>
    <w:rsid w:val="00B55987"/>
    <w:rsid w:val="00B566EF"/>
    <w:rsid w:val="00B56985"/>
    <w:rsid w:val="00B56D9A"/>
    <w:rsid w:val="00B5723A"/>
    <w:rsid w:val="00B57532"/>
    <w:rsid w:val="00B603C7"/>
    <w:rsid w:val="00B60888"/>
    <w:rsid w:val="00B6143B"/>
    <w:rsid w:val="00B614CF"/>
    <w:rsid w:val="00B61C5B"/>
    <w:rsid w:val="00B6277A"/>
    <w:rsid w:val="00B62DB2"/>
    <w:rsid w:val="00B62EF6"/>
    <w:rsid w:val="00B62F6E"/>
    <w:rsid w:val="00B63023"/>
    <w:rsid w:val="00B63687"/>
    <w:rsid w:val="00B63780"/>
    <w:rsid w:val="00B640F0"/>
    <w:rsid w:val="00B64EDF"/>
    <w:rsid w:val="00B6700B"/>
    <w:rsid w:val="00B6725D"/>
    <w:rsid w:val="00B674D2"/>
    <w:rsid w:val="00B6773E"/>
    <w:rsid w:val="00B7011F"/>
    <w:rsid w:val="00B70469"/>
    <w:rsid w:val="00B704F4"/>
    <w:rsid w:val="00B70869"/>
    <w:rsid w:val="00B708C1"/>
    <w:rsid w:val="00B71170"/>
    <w:rsid w:val="00B7135C"/>
    <w:rsid w:val="00B714FB"/>
    <w:rsid w:val="00B71B3B"/>
    <w:rsid w:val="00B71C5A"/>
    <w:rsid w:val="00B71C9E"/>
    <w:rsid w:val="00B71F0D"/>
    <w:rsid w:val="00B72137"/>
    <w:rsid w:val="00B7226A"/>
    <w:rsid w:val="00B7271E"/>
    <w:rsid w:val="00B729F5"/>
    <w:rsid w:val="00B72CE2"/>
    <w:rsid w:val="00B72FC0"/>
    <w:rsid w:val="00B73D3D"/>
    <w:rsid w:val="00B74B74"/>
    <w:rsid w:val="00B75BEE"/>
    <w:rsid w:val="00B75FAF"/>
    <w:rsid w:val="00B76101"/>
    <w:rsid w:val="00B76435"/>
    <w:rsid w:val="00B7681C"/>
    <w:rsid w:val="00B775FF"/>
    <w:rsid w:val="00B800A0"/>
    <w:rsid w:val="00B8077D"/>
    <w:rsid w:val="00B814C0"/>
    <w:rsid w:val="00B81C97"/>
    <w:rsid w:val="00B822F4"/>
    <w:rsid w:val="00B826A8"/>
    <w:rsid w:val="00B827B4"/>
    <w:rsid w:val="00B82D1E"/>
    <w:rsid w:val="00B83191"/>
    <w:rsid w:val="00B83260"/>
    <w:rsid w:val="00B8347C"/>
    <w:rsid w:val="00B83571"/>
    <w:rsid w:val="00B8402E"/>
    <w:rsid w:val="00B84C9C"/>
    <w:rsid w:val="00B85C38"/>
    <w:rsid w:val="00B861E3"/>
    <w:rsid w:val="00B86677"/>
    <w:rsid w:val="00B86962"/>
    <w:rsid w:val="00B86FF7"/>
    <w:rsid w:val="00B874A9"/>
    <w:rsid w:val="00B87EE4"/>
    <w:rsid w:val="00B90DDB"/>
    <w:rsid w:val="00B911FB"/>
    <w:rsid w:val="00B917F8"/>
    <w:rsid w:val="00B9259C"/>
    <w:rsid w:val="00B92AA2"/>
    <w:rsid w:val="00B92C1F"/>
    <w:rsid w:val="00B930AE"/>
    <w:rsid w:val="00B9340B"/>
    <w:rsid w:val="00B9345C"/>
    <w:rsid w:val="00B9451C"/>
    <w:rsid w:val="00B94AC7"/>
    <w:rsid w:val="00B954F0"/>
    <w:rsid w:val="00B9573F"/>
    <w:rsid w:val="00B958D4"/>
    <w:rsid w:val="00B95A55"/>
    <w:rsid w:val="00B9684A"/>
    <w:rsid w:val="00B9700A"/>
    <w:rsid w:val="00B9715E"/>
    <w:rsid w:val="00B97515"/>
    <w:rsid w:val="00B978A4"/>
    <w:rsid w:val="00B97B0B"/>
    <w:rsid w:val="00BA0144"/>
    <w:rsid w:val="00BA0649"/>
    <w:rsid w:val="00BA0727"/>
    <w:rsid w:val="00BA0D32"/>
    <w:rsid w:val="00BA110C"/>
    <w:rsid w:val="00BA1349"/>
    <w:rsid w:val="00BA14E3"/>
    <w:rsid w:val="00BA1B90"/>
    <w:rsid w:val="00BA2068"/>
    <w:rsid w:val="00BA226B"/>
    <w:rsid w:val="00BA2630"/>
    <w:rsid w:val="00BA27BA"/>
    <w:rsid w:val="00BA2AC7"/>
    <w:rsid w:val="00BA3A0A"/>
    <w:rsid w:val="00BA3FA7"/>
    <w:rsid w:val="00BA3FEB"/>
    <w:rsid w:val="00BA4154"/>
    <w:rsid w:val="00BA4631"/>
    <w:rsid w:val="00BA4B88"/>
    <w:rsid w:val="00BA5421"/>
    <w:rsid w:val="00BA59DD"/>
    <w:rsid w:val="00BA5BC0"/>
    <w:rsid w:val="00BA5F3F"/>
    <w:rsid w:val="00BA713A"/>
    <w:rsid w:val="00BA72FF"/>
    <w:rsid w:val="00BB009C"/>
    <w:rsid w:val="00BB02A6"/>
    <w:rsid w:val="00BB0995"/>
    <w:rsid w:val="00BB171F"/>
    <w:rsid w:val="00BB1B26"/>
    <w:rsid w:val="00BB1F79"/>
    <w:rsid w:val="00BB21F0"/>
    <w:rsid w:val="00BB28F9"/>
    <w:rsid w:val="00BB2CF4"/>
    <w:rsid w:val="00BB2E06"/>
    <w:rsid w:val="00BB40F4"/>
    <w:rsid w:val="00BB4F8C"/>
    <w:rsid w:val="00BB5850"/>
    <w:rsid w:val="00BB58AE"/>
    <w:rsid w:val="00BB59C6"/>
    <w:rsid w:val="00BB5FDF"/>
    <w:rsid w:val="00BB6A8B"/>
    <w:rsid w:val="00BB79DC"/>
    <w:rsid w:val="00BB7CF6"/>
    <w:rsid w:val="00BC04B7"/>
    <w:rsid w:val="00BC04CD"/>
    <w:rsid w:val="00BC084A"/>
    <w:rsid w:val="00BC0B1D"/>
    <w:rsid w:val="00BC0DDF"/>
    <w:rsid w:val="00BC1C20"/>
    <w:rsid w:val="00BC1EFD"/>
    <w:rsid w:val="00BC2160"/>
    <w:rsid w:val="00BC261E"/>
    <w:rsid w:val="00BC287E"/>
    <w:rsid w:val="00BC2DB8"/>
    <w:rsid w:val="00BC4564"/>
    <w:rsid w:val="00BC4D50"/>
    <w:rsid w:val="00BC634D"/>
    <w:rsid w:val="00BC6DA8"/>
    <w:rsid w:val="00BC7690"/>
    <w:rsid w:val="00BC7775"/>
    <w:rsid w:val="00BD0442"/>
    <w:rsid w:val="00BD045A"/>
    <w:rsid w:val="00BD0E47"/>
    <w:rsid w:val="00BD15B5"/>
    <w:rsid w:val="00BD1884"/>
    <w:rsid w:val="00BD18DE"/>
    <w:rsid w:val="00BD1CE1"/>
    <w:rsid w:val="00BD22ED"/>
    <w:rsid w:val="00BD23C3"/>
    <w:rsid w:val="00BD25B7"/>
    <w:rsid w:val="00BD27F7"/>
    <w:rsid w:val="00BD2924"/>
    <w:rsid w:val="00BD2B4E"/>
    <w:rsid w:val="00BD4249"/>
    <w:rsid w:val="00BD454F"/>
    <w:rsid w:val="00BD4C4A"/>
    <w:rsid w:val="00BD52C9"/>
    <w:rsid w:val="00BD559C"/>
    <w:rsid w:val="00BD5CAB"/>
    <w:rsid w:val="00BD5FF8"/>
    <w:rsid w:val="00BD67EC"/>
    <w:rsid w:val="00BD6997"/>
    <w:rsid w:val="00BD6D30"/>
    <w:rsid w:val="00BD72AD"/>
    <w:rsid w:val="00BD74B8"/>
    <w:rsid w:val="00BD7EF0"/>
    <w:rsid w:val="00BE091E"/>
    <w:rsid w:val="00BE0EAB"/>
    <w:rsid w:val="00BE1177"/>
    <w:rsid w:val="00BE12BA"/>
    <w:rsid w:val="00BE135B"/>
    <w:rsid w:val="00BE18A7"/>
    <w:rsid w:val="00BE18E9"/>
    <w:rsid w:val="00BE1905"/>
    <w:rsid w:val="00BE1A56"/>
    <w:rsid w:val="00BE1A9D"/>
    <w:rsid w:val="00BE1AF6"/>
    <w:rsid w:val="00BE274C"/>
    <w:rsid w:val="00BE27CD"/>
    <w:rsid w:val="00BE2984"/>
    <w:rsid w:val="00BE2EBC"/>
    <w:rsid w:val="00BE3157"/>
    <w:rsid w:val="00BE3457"/>
    <w:rsid w:val="00BE375C"/>
    <w:rsid w:val="00BE3CC6"/>
    <w:rsid w:val="00BE41F1"/>
    <w:rsid w:val="00BE4404"/>
    <w:rsid w:val="00BE4421"/>
    <w:rsid w:val="00BE45B8"/>
    <w:rsid w:val="00BE4782"/>
    <w:rsid w:val="00BE4E92"/>
    <w:rsid w:val="00BE5001"/>
    <w:rsid w:val="00BE53EA"/>
    <w:rsid w:val="00BE576B"/>
    <w:rsid w:val="00BE6888"/>
    <w:rsid w:val="00BE7023"/>
    <w:rsid w:val="00BE7AA6"/>
    <w:rsid w:val="00BE7BE3"/>
    <w:rsid w:val="00BE7C83"/>
    <w:rsid w:val="00BE7FE6"/>
    <w:rsid w:val="00BF0397"/>
    <w:rsid w:val="00BF070B"/>
    <w:rsid w:val="00BF088B"/>
    <w:rsid w:val="00BF103B"/>
    <w:rsid w:val="00BF111E"/>
    <w:rsid w:val="00BF1223"/>
    <w:rsid w:val="00BF16C0"/>
    <w:rsid w:val="00BF1879"/>
    <w:rsid w:val="00BF19CA"/>
    <w:rsid w:val="00BF1C6F"/>
    <w:rsid w:val="00BF2253"/>
    <w:rsid w:val="00BF2254"/>
    <w:rsid w:val="00BF26A1"/>
    <w:rsid w:val="00BF290B"/>
    <w:rsid w:val="00BF2A04"/>
    <w:rsid w:val="00BF343F"/>
    <w:rsid w:val="00BF35E9"/>
    <w:rsid w:val="00BF3A84"/>
    <w:rsid w:val="00BF3BD0"/>
    <w:rsid w:val="00BF3D1A"/>
    <w:rsid w:val="00BF3F06"/>
    <w:rsid w:val="00BF46C1"/>
    <w:rsid w:val="00BF48F5"/>
    <w:rsid w:val="00BF4AB1"/>
    <w:rsid w:val="00BF6DD1"/>
    <w:rsid w:val="00BF6EA1"/>
    <w:rsid w:val="00BF7081"/>
    <w:rsid w:val="00BF7144"/>
    <w:rsid w:val="00BF740E"/>
    <w:rsid w:val="00BF766D"/>
    <w:rsid w:val="00BF7704"/>
    <w:rsid w:val="00BF7724"/>
    <w:rsid w:val="00C0067F"/>
    <w:rsid w:val="00C0069C"/>
    <w:rsid w:val="00C01B38"/>
    <w:rsid w:val="00C02071"/>
    <w:rsid w:val="00C02DA2"/>
    <w:rsid w:val="00C038AF"/>
    <w:rsid w:val="00C03B07"/>
    <w:rsid w:val="00C03C90"/>
    <w:rsid w:val="00C04749"/>
    <w:rsid w:val="00C04DC8"/>
    <w:rsid w:val="00C04E51"/>
    <w:rsid w:val="00C0549F"/>
    <w:rsid w:val="00C05584"/>
    <w:rsid w:val="00C058D4"/>
    <w:rsid w:val="00C06BDF"/>
    <w:rsid w:val="00C07B5F"/>
    <w:rsid w:val="00C1010D"/>
    <w:rsid w:val="00C10B29"/>
    <w:rsid w:val="00C1112F"/>
    <w:rsid w:val="00C11442"/>
    <w:rsid w:val="00C11DA1"/>
    <w:rsid w:val="00C128A7"/>
    <w:rsid w:val="00C13429"/>
    <w:rsid w:val="00C13442"/>
    <w:rsid w:val="00C1351F"/>
    <w:rsid w:val="00C135AA"/>
    <w:rsid w:val="00C13C2A"/>
    <w:rsid w:val="00C13DF8"/>
    <w:rsid w:val="00C13F3A"/>
    <w:rsid w:val="00C1465B"/>
    <w:rsid w:val="00C14A37"/>
    <w:rsid w:val="00C14AC3"/>
    <w:rsid w:val="00C14C9F"/>
    <w:rsid w:val="00C151A0"/>
    <w:rsid w:val="00C153A1"/>
    <w:rsid w:val="00C16112"/>
    <w:rsid w:val="00C16D8E"/>
    <w:rsid w:val="00C16E12"/>
    <w:rsid w:val="00C17063"/>
    <w:rsid w:val="00C1739D"/>
    <w:rsid w:val="00C1786B"/>
    <w:rsid w:val="00C21491"/>
    <w:rsid w:val="00C21BF0"/>
    <w:rsid w:val="00C21D1F"/>
    <w:rsid w:val="00C2230B"/>
    <w:rsid w:val="00C22342"/>
    <w:rsid w:val="00C22961"/>
    <w:rsid w:val="00C22B65"/>
    <w:rsid w:val="00C22FD4"/>
    <w:rsid w:val="00C233BF"/>
    <w:rsid w:val="00C2352D"/>
    <w:rsid w:val="00C23AB2"/>
    <w:rsid w:val="00C23B7C"/>
    <w:rsid w:val="00C23D16"/>
    <w:rsid w:val="00C23FDF"/>
    <w:rsid w:val="00C240A7"/>
    <w:rsid w:val="00C244BE"/>
    <w:rsid w:val="00C2462C"/>
    <w:rsid w:val="00C24860"/>
    <w:rsid w:val="00C24F3A"/>
    <w:rsid w:val="00C24FE7"/>
    <w:rsid w:val="00C2529B"/>
    <w:rsid w:val="00C25371"/>
    <w:rsid w:val="00C25411"/>
    <w:rsid w:val="00C2569D"/>
    <w:rsid w:val="00C25F27"/>
    <w:rsid w:val="00C2681F"/>
    <w:rsid w:val="00C26844"/>
    <w:rsid w:val="00C2756E"/>
    <w:rsid w:val="00C27ABA"/>
    <w:rsid w:val="00C27B9E"/>
    <w:rsid w:val="00C27D0B"/>
    <w:rsid w:val="00C27D24"/>
    <w:rsid w:val="00C27FB3"/>
    <w:rsid w:val="00C3003E"/>
    <w:rsid w:val="00C306F0"/>
    <w:rsid w:val="00C311D9"/>
    <w:rsid w:val="00C31285"/>
    <w:rsid w:val="00C314F5"/>
    <w:rsid w:val="00C31D02"/>
    <w:rsid w:val="00C323E6"/>
    <w:rsid w:val="00C32E69"/>
    <w:rsid w:val="00C3334D"/>
    <w:rsid w:val="00C3402C"/>
    <w:rsid w:val="00C349B1"/>
    <w:rsid w:val="00C34B57"/>
    <w:rsid w:val="00C34D83"/>
    <w:rsid w:val="00C34EC9"/>
    <w:rsid w:val="00C358D8"/>
    <w:rsid w:val="00C35AF5"/>
    <w:rsid w:val="00C35DFE"/>
    <w:rsid w:val="00C3652C"/>
    <w:rsid w:val="00C3715E"/>
    <w:rsid w:val="00C37F56"/>
    <w:rsid w:val="00C4035B"/>
    <w:rsid w:val="00C40440"/>
    <w:rsid w:val="00C4052D"/>
    <w:rsid w:val="00C40779"/>
    <w:rsid w:val="00C41751"/>
    <w:rsid w:val="00C41940"/>
    <w:rsid w:val="00C41A8C"/>
    <w:rsid w:val="00C41DC2"/>
    <w:rsid w:val="00C42022"/>
    <w:rsid w:val="00C42A5A"/>
    <w:rsid w:val="00C43EE7"/>
    <w:rsid w:val="00C44197"/>
    <w:rsid w:val="00C44257"/>
    <w:rsid w:val="00C44F70"/>
    <w:rsid w:val="00C45121"/>
    <w:rsid w:val="00C4517A"/>
    <w:rsid w:val="00C45293"/>
    <w:rsid w:val="00C453AF"/>
    <w:rsid w:val="00C454D8"/>
    <w:rsid w:val="00C455AA"/>
    <w:rsid w:val="00C4586F"/>
    <w:rsid w:val="00C45DFF"/>
    <w:rsid w:val="00C46085"/>
    <w:rsid w:val="00C46312"/>
    <w:rsid w:val="00C46821"/>
    <w:rsid w:val="00C46BA8"/>
    <w:rsid w:val="00C47123"/>
    <w:rsid w:val="00C47863"/>
    <w:rsid w:val="00C47A5B"/>
    <w:rsid w:val="00C47FF5"/>
    <w:rsid w:val="00C50924"/>
    <w:rsid w:val="00C50AF5"/>
    <w:rsid w:val="00C50BCA"/>
    <w:rsid w:val="00C50F0E"/>
    <w:rsid w:val="00C513D7"/>
    <w:rsid w:val="00C517EB"/>
    <w:rsid w:val="00C51BC7"/>
    <w:rsid w:val="00C520E4"/>
    <w:rsid w:val="00C5220C"/>
    <w:rsid w:val="00C5233E"/>
    <w:rsid w:val="00C52457"/>
    <w:rsid w:val="00C5260F"/>
    <w:rsid w:val="00C527AE"/>
    <w:rsid w:val="00C53809"/>
    <w:rsid w:val="00C53928"/>
    <w:rsid w:val="00C53949"/>
    <w:rsid w:val="00C53AC6"/>
    <w:rsid w:val="00C543B7"/>
    <w:rsid w:val="00C54D2E"/>
    <w:rsid w:val="00C55310"/>
    <w:rsid w:val="00C55562"/>
    <w:rsid w:val="00C55D2E"/>
    <w:rsid w:val="00C563EE"/>
    <w:rsid w:val="00C56706"/>
    <w:rsid w:val="00C5695F"/>
    <w:rsid w:val="00C56D0E"/>
    <w:rsid w:val="00C56E66"/>
    <w:rsid w:val="00C573E1"/>
    <w:rsid w:val="00C57AD5"/>
    <w:rsid w:val="00C610B8"/>
    <w:rsid w:val="00C619F9"/>
    <w:rsid w:val="00C61BFE"/>
    <w:rsid w:val="00C62445"/>
    <w:rsid w:val="00C627F8"/>
    <w:rsid w:val="00C63A0E"/>
    <w:rsid w:val="00C6401C"/>
    <w:rsid w:val="00C645E0"/>
    <w:rsid w:val="00C64FA5"/>
    <w:rsid w:val="00C653E7"/>
    <w:rsid w:val="00C65756"/>
    <w:rsid w:val="00C65852"/>
    <w:rsid w:val="00C65EA4"/>
    <w:rsid w:val="00C66C04"/>
    <w:rsid w:val="00C66ED1"/>
    <w:rsid w:val="00C67532"/>
    <w:rsid w:val="00C67834"/>
    <w:rsid w:val="00C67F4B"/>
    <w:rsid w:val="00C700EF"/>
    <w:rsid w:val="00C70339"/>
    <w:rsid w:val="00C70420"/>
    <w:rsid w:val="00C70912"/>
    <w:rsid w:val="00C70B96"/>
    <w:rsid w:val="00C70FD2"/>
    <w:rsid w:val="00C716F9"/>
    <w:rsid w:val="00C71CF1"/>
    <w:rsid w:val="00C71D00"/>
    <w:rsid w:val="00C71D6E"/>
    <w:rsid w:val="00C71F5B"/>
    <w:rsid w:val="00C7231A"/>
    <w:rsid w:val="00C729D3"/>
    <w:rsid w:val="00C72D1C"/>
    <w:rsid w:val="00C74592"/>
    <w:rsid w:val="00C746FF"/>
    <w:rsid w:val="00C7517A"/>
    <w:rsid w:val="00C752C9"/>
    <w:rsid w:val="00C75FDF"/>
    <w:rsid w:val="00C762ED"/>
    <w:rsid w:val="00C76746"/>
    <w:rsid w:val="00C76EB2"/>
    <w:rsid w:val="00C77CB1"/>
    <w:rsid w:val="00C77FC0"/>
    <w:rsid w:val="00C80F2C"/>
    <w:rsid w:val="00C81EA5"/>
    <w:rsid w:val="00C82A8F"/>
    <w:rsid w:val="00C836EE"/>
    <w:rsid w:val="00C83FA2"/>
    <w:rsid w:val="00C84041"/>
    <w:rsid w:val="00C84196"/>
    <w:rsid w:val="00C841D0"/>
    <w:rsid w:val="00C8435A"/>
    <w:rsid w:val="00C84D8D"/>
    <w:rsid w:val="00C84FD7"/>
    <w:rsid w:val="00C85A48"/>
    <w:rsid w:val="00C85BA3"/>
    <w:rsid w:val="00C85FF4"/>
    <w:rsid w:val="00C861B4"/>
    <w:rsid w:val="00C873B6"/>
    <w:rsid w:val="00C8796C"/>
    <w:rsid w:val="00C90098"/>
    <w:rsid w:val="00C912F0"/>
    <w:rsid w:val="00C917C3"/>
    <w:rsid w:val="00C91C4C"/>
    <w:rsid w:val="00C920BF"/>
    <w:rsid w:val="00C92685"/>
    <w:rsid w:val="00C92BB2"/>
    <w:rsid w:val="00C931AB"/>
    <w:rsid w:val="00C93668"/>
    <w:rsid w:val="00C93774"/>
    <w:rsid w:val="00C9428B"/>
    <w:rsid w:val="00C94407"/>
    <w:rsid w:val="00C94654"/>
    <w:rsid w:val="00C947F3"/>
    <w:rsid w:val="00C948AE"/>
    <w:rsid w:val="00C94A1A"/>
    <w:rsid w:val="00C94BB9"/>
    <w:rsid w:val="00C953E2"/>
    <w:rsid w:val="00C95502"/>
    <w:rsid w:val="00C967C7"/>
    <w:rsid w:val="00CA03AA"/>
    <w:rsid w:val="00CA03DD"/>
    <w:rsid w:val="00CA0657"/>
    <w:rsid w:val="00CA0AFA"/>
    <w:rsid w:val="00CA0B06"/>
    <w:rsid w:val="00CA1A3D"/>
    <w:rsid w:val="00CA1DD8"/>
    <w:rsid w:val="00CA22F9"/>
    <w:rsid w:val="00CA2B6B"/>
    <w:rsid w:val="00CA3906"/>
    <w:rsid w:val="00CA39E8"/>
    <w:rsid w:val="00CA3BDF"/>
    <w:rsid w:val="00CA3CB1"/>
    <w:rsid w:val="00CA3FF0"/>
    <w:rsid w:val="00CA4BF1"/>
    <w:rsid w:val="00CA56AA"/>
    <w:rsid w:val="00CA5E48"/>
    <w:rsid w:val="00CA688D"/>
    <w:rsid w:val="00CA720E"/>
    <w:rsid w:val="00CA7246"/>
    <w:rsid w:val="00CA7305"/>
    <w:rsid w:val="00CA7473"/>
    <w:rsid w:val="00CA779D"/>
    <w:rsid w:val="00CA7B73"/>
    <w:rsid w:val="00CA7BC5"/>
    <w:rsid w:val="00CB0191"/>
    <w:rsid w:val="00CB0572"/>
    <w:rsid w:val="00CB07F3"/>
    <w:rsid w:val="00CB1336"/>
    <w:rsid w:val="00CB15D4"/>
    <w:rsid w:val="00CB18D7"/>
    <w:rsid w:val="00CB38C1"/>
    <w:rsid w:val="00CB401F"/>
    <w:rsid w:val="00CB419F"/>
    <w:rsid w:val="00CB5265"/>
    <w:rsid w:val="00CB57B9"/>
    <w:rsid w:val="00CB5B03"/>
    <w:rsid w:val="00CB5F81"/>
    <w:rsid w:val="00CB6563"/>
    <w:rsid w:val="00CB664A"/>
    <w:rsid w:val="00CB6B5E"/>
    <w:rsid w:val="00CB6E24"/>
    <w:rsid w:val="00CB6FB1"/>
    <w:rsid w:val="00CC0002"/>
    <w:rsid w:val="00CC0281"/>
    <w:rsid w:val="00CC0943"/>
    <w:rsid w:val="00CC0FE9"/>
    <w:rsid w:val="00CC1011"/>
    <w:rsid w:val="00CC1102"/>
    <w:rsid w:val="00CC171F"/>
    <w:rsid w:val="00CC1BB9"/>
    <w:rsid w:val="00CC1D73"/>
    <w:rsid w:val="00CC2391"/>
    <w:rsid w:val="00CC28AD"/>
    <w:rsid w:val="00CC31E8"/>
    <w:rsid w:val="00CC3CCC"/>
    <w:rsid w:val="00CC417F"/>
    <w:rsid w:val="00CC4494"/>
    <w:rsid w:val="00CC474C"/>
    <w:rsid w:val="00CC4EC4"/>
    <w:rsid w:val="00CC54E7"/>
    <w:rsid w:val="00CC5882"/>
    <w:rsid w:val="00CC592D"/>
    <w:rsid w:val="00CC5C6A"/>
    <w:rsid w:val="00CC621F"/>
    <w:rsid w:val="00CC624A"/>
    <w:rsid w:val="00CC6CB0"/>
    <w:rsid w:val="00CC6D35"/>
    <w:rsid w:val="00CC70AF"/>
    <w:rsid w:val="00CC7303"/>
    <w:rsid w:val="00CC7CEE"/>
    <w:rsid w:val="00CC7E18"/>
    <w:rsid w:val="00CC7EED"/>
    <w:rsid w:val="00CD0163"/>
    <w:rsid w:val="00CD0B27"/>
    <w:rsid w:val="00CD0BEF"/>
    <w:rsid w:val="00CD0ED6"/>
    <w:rsid w:val="00CD1C94"/>
    <w:rsid w:val="00CD1EF4"/>
    <w:rsid w:val="00CD1F0A"/>
    <w:rsid w:val="00CD2165"/>
    <w:rsid w:val="00CD25BD"/>
    <w:rsid w:val="00CD2ADD"/>
    <w:rsid w:val="00CD3177"/>
    <w:rsid w:val="00CD4846"/>
    <w:rsid w:val="00CD748D"/>
    <w:rsid w:val="00CD7C8D"/>
    <w:rsid w:val="00CE0197"/>
    <w:rsid w:val="00CE02A8"/>
    <w:rsid w:val="00CE05B9"/>
    <w:rsid w:val="00CE07A3"/>
    <w:rsid w:val="00CE12FC"/>
    <w:rsid w:val="00CE16BD"/>
    <w:rsid w:val="00CE173F"/>
    <w:rsid w:val="00CE29E6"/>
    <w:rsid w:val="00CE3C44"/>
    <w:rsid w:val="00CE3EB1"/>
    <w:rsid w:val="00CE493E"/>
    <w:rsid w:val="00CE51EE"/>
    <w:rsid w:val="00CE555E"/>
    <w:rsid w:val="00CE560E"/>
    <w:rsid w:val="00CE565E"/>
    <w:rsid w:val="00CE682E"/>
    <w:rsid w:val="00CE72FE"/>
    <w:rsid w:val="00CE75CB"/>
    <w:rsid w:val="00CE76D0"/>
    <w:rsid w:val="00CE7A82"/>
    <w:rsid w:val="00CE7DB6"/>
    <w:rsid w:val="00CF15B7"/>
    <w:rsid w:val="00CF1A75"/>
    <w:rsid w:val="00CF2427"/>
    <w:rsid w:val="00CF2833"/>
    <w:rsid w:val="00CF325D"/>
    <w:rsid w:val="00CF3376"/>
    <w:rsid w:val="00CF42B2"/>
    <w:rsid w:val="00CF446A"/>
    <w:rsid w:val="00CF498C"/>
    <w:rsid w:val="00CF4B83"/>
    <w:rsid w:val="00CF5071"/>
    <w:rsid w:val="00CF531F"/>
    <w:rsid w:val="00CF59C7"/>
    <w:rsid w:val="00CF63B4"/>
    <w:rsid w:val="00CF6DF3"/>
    <w:rsid w:val="00CF745C"/>
    <w:rsid w:val="00CF7750"/>
    <w:rsid w:val="00CF7751"/>
    <w:rsid w:val="00CF7C5C"/>
    <w:rsid w:val="00D0002D"/>
    <w:rsid w:val="00D003FC"/>
    <w:rsid w:val="00D004BC"/>
    <w:rsid w:val="00D0098A"/>
    <w:rsid w:val="00D00D3B"/>
    <w:rsid w:val="00D0150E"/>
    <w:rsid w:val="00D01FC6"/>
    <w:rsid w:val="00D0218B"/>
    <w:rsid w:val="00D021A6"/>
    <w:rsid w:val="00D021D7"/>
    <w:rsid w:val="00D0261F"/>
    <w:rsid w:val="00D02BEF"/>
    <w:rsid w:val="00D02FDF"/>
    <w:rsid w:val="00D03EA7"/>
    <w:rsid w:val="00D040F3"/>
    <w:rsid w:val="00D041D8"/>
    <w:rsid w:val="00D05307"/>
    <w:rsid w:val="00D05BC9"/>
    <w:rsid w:val="00D06CBC"/>
    <w:rsid w:val="00D07144"/>
    <w:rsid w:val="00D073B9"/>
    <w:rsid w:val="00D07A10"/>
    <w:rsid w:val="00D07BCF"/>
    <w:rsid w:val="00D07D5D"/>
    <w:rsid w:val="00D07E8B"/>
    <w:rsid w:val="00D107A0"/>
    <w:rsid w:val="00D10900"/>
    <w:rsid w:val="00D10D3F"/>
    <w:rsid w:val="00D114D4"/>
    <w:rsid w:val="00D12244"/>
    <w:rsid w:val="00D12A5D"/>
    <w:rsid w:val="00D13585"/>
    <w:rsid w:val="00D1358F"/>
    <w:rsid w:val="00D13D92"/>
    <w:rsid w:val="00D13E2D"/>
    <w:rsid w:val="00D13F8F"/>
    <w:rsid w:val="00D161AC"/>
    <w:rsid w:val="00D1647A"/>
    <w:rsid w:val="00D17239"/>
    <w:rsid w:val="00D17DFF"/>
    <w:rsid w:val="00D17E2C"/>
    <w:rsid w:val="00D202D0"/>
    <w:rsid w:val="00D203D3"/>
    <w:rsid w:val="00D2086B"/>
    <w:rsid w:val="00D2091B"/>
    <w:rsid w:val="00D20CDC"/>
    <w:rsid w:val="00D212AD"/>
    <w:rsid w:val="00D21ACA"/>
    <w:rsid w:val="00D21B50"/>
    <w:rsid w:val="00D2298F"/>
    <w:rsid w:val="00D22A70"/>
    <w:rsid w:val="00D23380"/>
    <w:rsid w:val="00D2346B"/>
    <w:rsid w:val="00D239C9"/>
    <w:rsid w:val="00D23C27"/>
    <w:rsid w:val="00D23CE8"/>
    <w:rsid w:val="00D244B0"/>
    <w:rsid w:val="00D2460F"/>
    <w:rsid w:val="00D254CA"/>
    <w:rsid w:val="00D25FC7"/>
    <w:rsid w:val="00D264FD"/>
    <w:rsid w:val="00D26C7F"/>
    <w:rsid w:val="00D26D45"/>
    <w:rsid w:val="00D26E93"/>
    <w:rsid w:val="00D275DB"/>
    <w:rsid w:val="00D27B15"/>
    <w:rsid w:val="00D30F05"/>
    <w:rsid w:val="00D31A58"/>
    <w:rsid w:val="00D320A8"/>
    <w:rsid w:val="00D32153"/>
    <w:rsid w:val="00D32DC3"/>
    <w:rsid w:val="00D33269"/>
    <w:rsid w:val="00D33F2D"/>
    <w:rsid w:val="00D34124"/>
    <w:rsid w:val="00D34FB7"/>
    <w:rsid w:val="00D35726"/>
    <w:rsid w:val="00D3577C"/>
    <w:rsid w:val="00D36632"/>
    <w:rsid w:val="00D369B2"/>
    <w:rsid w:val="00D37150"/>
    <w:rsid w:val="00D377EE"/>
    <w:rsid w:val="00D409EF"/>
    <w:rsid w:val="00D411AF"/>
    <w:rsid w:val="00D4234F"/>
    <w:rsid w:val="00D426E3"/>
    <w:rsid w:val="00D43362"/>
    <w:rsid w:val="00D440D5"/>
    <w:rsid w:val="00D44CD9"/>
    <w:rsid w:val="00D45899"/>
    <w:rsid w:val="00D45BCB"/>
    <w:rsid w:val="00D45F75"/>
    <w:rsid w:val="00D4603C"/>
    <w:rsid w:val="00D4610A"/>
    <w:rsid w:val="00D4617C"/>
    <w:rsid w:val="00D4646E"/>
    <w:rsid w:val="00D46907"/>
    <w:rsid w:val="00D469ED"/>
    <w:rsid w:val="00D50002"/>
    <w:rsid w:val="00D502F3"/>
    <w:rsid w:val="00D510FD"/>
    <w:rsid w:val="00D51410"/>
    <w:rsid w:val="00D51535"/>
    <w:rsid w:val="00D5155B"/>
    <w:rsid w:val="00D5178B"/>
    <w:rsid w:val="00D51A19"/>
    <w:rsid w:val="00D52D74"/>
    <w:rsid w:val="00D52F1F"/>
    <w:rsid w:val="00D5370B"/>
    <w:rsid w:val="00D541E9"/>
    <w:rsid w:val="00D54D67"/>
    <w:rsid w:val="00D55B8E"/>
    <w:rsid w:val="00D560C1"/>
    <w:rsid w:val="00D5661E"/>
    <w:rsid w:val="00D56770"/>
    <w:rsid w:val="00D56847"/>
    <w:rsid w:val="00D56912"/>
    <w:rsid w:val="00D56B1F"/>
    <w:rsid w:val="00D57BBC"/>
    <w:rsid w:val="00D60007"/>
    <w:rsid w:val="00D6024C"/>
    <w:rsid w:val="00D602A7"/>
    <w:rsid w:val="00D60761"/>
    <w:rsid w:val="00D607D4"/>
    <w:rsid w:val="00D60B8C"/>
    <w:rsid w:val="00D61122"/>
    <w:rsid w:val="00D61156"/>
    <w:rsid w:val="00D615D4"/>
    <w:rsid w:val="00D618F8"/>
    <w:rsid w:val="00D61B0D"/>
    <w:rsid w:val="00D6293A"/>
    <w:rsid w:val="00D62B9F"/>
    <w:rsid w:val="00D62FA1"/>
    <w:rsid w:val="00D638C8"/>
    <w:rsid w:val="00D63F0E"/>
    <w:rsid w:val="00D6480C"/>
    <w:rsid w:val="00D64AEB"/>
    <w:rsid w:val="00D651F1"/>
    <w:rsid w:val="00D65543"/>
    <w:rsid w:val="00D6578F"/>
    <w:rsid w:val="00D65D2C"/>
    <w:rsid w:val="00D65F91"/>
    <w:rsid w:val="00D66252"/>
    <w:rsid w:val="00D667D5"/>
    <w:rsid w:val="00D66906"/>
    <w:rsid w:val="00D66B0C"/>
    <w:rsid w:val="00D675AB"/>
    <w:rsid w:val="00D67E96"/>
    <w:rsid w:val="00D70252"/>
    <w:rsid w:val="00D70950"/>
    <w:rsid w:val="00D70CAE"/>
    <w:rsid w:val="00D710C6"/>
    <w:rsid w:val="00D717A8"/>
    <w:rsid w:val="00D71F0C"/>
    <w:rsid w:val="00D7371F"/>
    <w:rsid w:val="00D73A8D"/>
    <w:rsid w:val="00D73CF2"/>
    <w:rsid w:val="00D75248"/>
    <w:rsid w:val="00D75250"/>
    <w:rsid w:val="00D756D1"/>
    <w:rsid w:val="00D75DA6"/>
    <w:rsid w:val="00D769E5"/>
    <w:rsid w:val="00D76BA1"/>
    <w:rsid w:val="00D779C3"/>
    <w:rsid w:val="00D8008E"/>
    <w:rsid w:val="00D800A5"/>
    <w:rsid w:val="00D807BD"/>
    <w:rsid w:val="00D807F6"/>
    <w:rsid w:val="00D8087C"/>
    <w:rsid w:val="00D808B0"/>
    <w:rsid w:val="00D80F09"/>
    <w:rsid w:val="00D82210"/>
    <w:rsid w:val="00D8239D"/>
    <w:rsid w:val="00D8297E"/>
    <w:rsid w:val="00D82D7C"/>
    <w:rsid w:val="00D82F13"/>
    <w:rsid w:val="00D82FEE"/>
    <w:rsid w:val="00D83026"/>
    <w:rsid w:val="00D8569F"/>
    <w:rsid w:val="00D85B93"/>
    <w:rsid w:val="00D85CCD"/>
    <w:rsid w:val="00D86C06"/>
    <w:rsid w:val="00D87375"/>
    <w:rsid w:val="00D87924"/>
    <w:rsid w:val="00D90790"/>
    <w:rsid w:val="00D91052"/>
    <w:rsid w:val="00D91C7C"/>
    <w:rsid w:val="00D923D7"/>
    <w:rsid w:val="00D9262F"/>
    <w:rsid w:val="00D93492"/>
    <w:rsid w:val="00D957CB"/>
    <w:rsid w:val="00D95BBF"/>
    <w:rsid w:val="00D96DF1"/>
    <w:rsid w:val="00D97499"/>
    <w:rsid w:val="00D979A3"/>
    <w:rsid w:val="00D97BFA"/>
    <w:rsid w:val="00DA0073"/>
    <w:rsid w:val="00DA0F6E"/>
    <w:rsid w:val="00DA143D"/>
    <w:rsid w:val="00DA17DF"/>
    <w:rsid w:val="00DA1B66"/>
    <w:rsid w:val="00DA1BAC"/>
    <w:rsid w:val="00DA1C7C"/>
    <w:rsid w:val="00DA2722"/>
    <w:rsid w:val="00DA287C"/>
    <w:rsid w:val="00DA301B"/>
    <w:rsid w:val="00DA3250"/>
    <w:rsid w:val="00DA38FE"/>
    <w:rsid w:val="00DA3D1B"/>
    <w:rsid w:val="00DA41D1"/>
    <w:rsid w:val="00DA42C4"/>
    <w:rsid w:val="00DA477B"/>
    <w:rsid w:val="00DA5A92"/>
    <w:rsid w:val="00DA5B9C"/>
    <w:rsid w:val="00DA5CA6"/>
    <w:rsid w:val="00DA5D61"/>
    <w:rsid w:val="00DA5DC4"/>
    <w:rsid w:val="00DA7382"/>
    <w:rsid w:val="00DB0320"/>
    <w:rsid w:val="00DB063B"/>
    <w:rsid w:val="00DB108D"/>
    <w:rsid w:val="00DB1F8D"/>
    <w:rsid w:val="00DB2A51"/>
    <w:rsid w:val="00DB2C5D"/>
    <w:rsid w:val="00DB3A24"/>
    <w:rsid w:val="00DB3BC8"/>
    <w:rsid w:val="00DB40D9"/>
    <w:rsid w:val="00DB487D"/>
    <w:rsid w:val="00DB533A"/>
    <w:rsid w:val="00DB57D1"/>
    <w:rsid w:val="00DB58C0"/>
    <w:rsid w:val="00DB615F"/>
    <w:rsid w:val="00DB6A42"/>
    <w:rsid w:val="00DB7262"/>
    <w:rsid w:val="00DB7A05"/>
    <w:rsid w:val="00DB7AC6"/>
    <w:rsid w:val="00DB7E9F"/>
    <w:rsid w:val="00DC0F19"/>
    <w:rsid w:val="00DC1250"/>
    <w:rsid w:val="00DC1E11"/>
    <w:rsid w:val="00DC1E97"/>
    <w:rsid w:val="00DC1FAE"/>
    <w:rsid w:val="00DC214A"/>
    <w:rsid w:val="00DC23DB"/>
    <w:rsid w:val="00DC278E"/>
    <w:rsid w:val="00DC284D"/>
    <w:rsid w:val="00DC3849"/>
    <w:rsid w:val="00DC3BFD"/>
    <w:rsid w:val="00DC406A"/>
    <w:rsid w:val="00DC53B4"/>
    <w:rsid w:val="00DC5A0C"/>
    <w:rsid w:val="00DC5CAB"/>
    <w:rsid w:val="00DC5F68"/>
    <w:rsid w:val="00DC6402"/>
    <w:rsid w:val="00DC656B"/>
    <w:rsid w:val="00DC673F"/>
    <w:rsid w:val="00DC6AA3"/>
    <w:rsid w:val="00DC6FAB"/>
    <w:rsid w:val="00DC7303"/>
    <w:rsid w:val="00DD01ED"/>
    <w:rsid w:val="00DD0328"/>
    <w:rsid w:val="00DD1D92"/>
    <w:rsid w:val="00DD1F93"/>
    <w:rsid w:val="00DD2118"/>
    <w:rsid w:val="00DD2653"/>
    <w:rsid w:val="00DD278B"/>
    <w:rsid w:val="00DD2E45"/>
    <w:rsid w:val="00DD3606"/>
    <w:rsid w:val="00DD39B2"/>
    <w:rsid w:val="00DD427E"/>
    <w:rsid w:val="00DD49E1"/>
    <w:rsid w:val="00DD4F4E"/>
    <w:rsid w:val="00DD5396"/>
    <w:rsid w:val="00DD55C6"/>
    <w:rsid w:val="00DD69D4"/>
    <w:rsid w:val="00DD7089"/>
    <w:rsid w:val="00DD73CF"/>
    <w:rsid w:val="00DE012F"/>
    <w:rsid w:val="00DE05E6"/>
    <w:rsid w:val="00DE098B"/>
    <w:rsid w:val="00DE0B4F"/>
    <w:rsid w:val="00DE171D"/>
    <w:rsid w:val="00DE2131"/>
    <w:rsid w:val="00DE26C5"/>
    <w:rsid w:val="00DE32ED"/>
    <w:rsid w:val="00DE37E5"/>
    <w:rsid w:val="00DE4594"/>
    <w:rsid w:val="00DE4749"/>
    <w:rsid w:val="00DE4AEF"/>
    <w:rsid w:val="00DE4B4B"/>
    <w:rsid w:val="00DE4E89"/>
    <w:rsid w:val="00DE5F4C"/>
    <w:rsid w:val="00DE61CB"/>
    <w:rsid w:val="00DE673C"/>
    <w:rsid w:val="00DE6EC4"/>
    <w:rsid w:val="00DF040A"/>
    <w:rsid w:val="00DF065C"/>
    <w:rsid w:val="00DF0B2C"/>
    <w:rsid w:val="00DF0E94"/>
    <w:rsid w:val="00DF117A"/>
    <w:rsid w:val="00DF181A"/>
    <w:rsid w:val="00DF2112"/>
    <w:rsid w:val="00DF232C"/>
    <w:rsid w:val="00DF24B9"/>
    <w:rsid w:val="00DF2973"/>
    <w:rsid w:val="00DF29F3"/>
    <w:rsid w:val="00DF2AA9"/>
    <w:rsid w:val="00DF2CCA"/>
    <w:rsid w:val="00DF3D20"/>
    <w:rsid w:val="00DF3DDA"/>
    <w:rsid w:val="00DF469D"/>
    <w:rsid w:val="00DF5BEF"/>
    <w:rsid w:val="00DF5D49"/>
    <w:rsid w:val="00DF7926"/>
    <w:rsid w:val="00E006B3"/>
    <w:rsid w:val="00E00CFE"/>
    <w:rsid w:val="00E01057"/>
    <w:rsid w:val="00E01DFE"/>
    <w:rsid w:val="00E027E5"/>
    <w:rsid w:val="00E02F16"/>
    <w:rsid w:val="00E035BD"/>
    <w:rsid w:val="00E03724"/>
    <w:rsid w:val="00E0475E"/>
    <w:rsid w:val="00E04D08"/>
    <w:rsid w:val="00E053BB"/>
    <w:rsid w:val="00E05C87"/>
    <w:rsid w:val="00E0688D"/>
    <w:rsid w:val="00E06ECB"/>
    <w:rsid w:val="00E06FBE"/>
    <w:rsid w:val="00E072D7"/>
    <w:rsid w:val="00E0739C"/>
    <w:rsid w:val="00E101C9"/>
    <w:rsid w:val="00E10FFC"/>
    <w:rsid w:val="00E11018"/>
    <w:rsid w:val="00E114EE"/>
    <w:rsid w:val="00E11B41"/>
    <w:rsid w:val="00E120EA"/>
    <w:rsid w:val="00E122C1"/>
    <w:rsid w:val="00E125AD"/>
    <w:rsid w:val="00E126B0"/>
    <w:rsid w:val="00E13132"/>
    <w:rsid w:val="00E134C0"/>
    <w:rsid w:val="00E14C1B"/>
    <w:rsid w:val="00E14E03"/>
    <w:rsid w:val="00E16640"/>
    <w:rsid w:val="00E16DD2"/>
    <w:rsid w:val="00E174DC"/>
    <w:rsid w:val="00E178B4"/>
    <w:rsid w:val="00E17A5E"/>
    <w:rsid w:val="00E17F9D"/>
    <w:rsid w:val="00E21344"/>
    <w:rsid w:val="00E22118"/>
    <w:rsid w:val="00E23215"/>
    <w:rsid w:val="00E236ED"/>
    <w:rsid w:val="00E23852"/>
    <w:rsid w:val="00E242E3"/>
    <w:rsid w:val="00E243A0"/>
    <w:rsid w:val="00E247F8"/>
    <w:rsid w:val="00E249CA"/>
    <w:rsid w:val="00E259E8"/>
    <w:rsid w:val="00E270D2"/>
    <w:rsid w:val="00E27352"/>
    <w:rsid w:val="00E27A36"/>
    <w:rsid w:val="00E27CE8"/>
    <w:rsid w:val="00E3027E"/>
    <w:rsid w:val="00E30524"/>
    <w:rsid w:val="00E30883"/>
    <w:rsid w:val="00E3148E"/>
    <w:rsid w:val="00E31905"/>
    <w:rsid w:val="00E31A64"/>
    <w:rsid w:val="00E323F2"/>
    <w:rsid w:val="00E32D99"/>
    <w:rsid w:val="00E33002"/>
    <w:rsid w:val="00E33D9C"/>
    <w:rsid w:val="00E341D6"/>
    <w:rsid w:val="00E3474B"/>
    <w:rsid w:val="00E3497A"/>
    <w:rsid w:val="00E35564"/>
    <w:rsid w:val="00E355D6"/>
    <w:rsid w:val="00E35FE9"/>
    <w:rsid w:val="00E361F8"/>
    <w:rsid w:val="00E36D59"/>
    <w:rsid w:val="00E36E69"/>
    <w:rsid w:val="00E376A3"/>
    <w:rsid w:val="00E401BF"/>
    <w:rsid w:val="00E40AFD"/>
    <w:rsid w:val="00E40EA2"/>
    <w:rsid w:val="00E40EF2"/>
    <w:rsid w:val="00E415C0"/>
    <w:rsid w:val="00E41EE2"/>
    <w:rsid w:val="00E42F6D"/>
    <w:rsid w:val="00E431C1"/>
    <w:rsid w:val="00E43695"/>
    <w:rsid w:val="00E440B9"/>
    <w:rsid w:val="00E442B8"/>
    <w:rsid w:val="00E44317"/>
    <w:rsid w:val="00E44D4D"/>
    <w:rsid w:val="00E4580E"/>
    <w:rsid w:val="00E46B4B"/>
    <w:rsid w:val="00E46D99"/>
    <w:rsid w:val="00E46EA6"/>
    <w:rsid w:val="00E47C20"/>
    <w:rsid w:val="00E47D25"/>
    <w:rsid w:val="00E47F2D"/>
    <w:rsid w:val="00E50344"/>
    <w:rsid w:val="00E50777"/>
    <w:rsid w:val="00E51A64"/>
    <w:rsid w:val="00E52744"/>
    <w:rsid w:val="00E5398B"/>
    <w:rsid w:val="00E5418F"/>
    <w:rsid w:val="00E543C2"/>
    <w:rsid w:val="00E546A0"/>
    <w:rsid w:val="00E54C0F"/>
    <w:rsid w:val="00E54C37"/>
    <w:rsid w:val="00E55155"/>
    <w:rsid w:val="00E555CF"/>
    <w:rsid w:val="00E55A9A"/>
    <w:rsid w:val="00E55B64"/>
    <w:rsid w:val="00E5600B"/>
    <w:rsid w:val="00E56F70"/>
    <w:rsid w:val="00E56FA5"/>
    <w:rsid w:val="00E57762"/>
    <w:rsid w:val="00E6004A"/>
    <w:rsid w:val="00E60095"/>
    <w:rsid w:val="00E609B7"/>
    <w:rsid w:val="00E60C36"/>
    <w:rsid w:val="00E610CB"/>
    <w:rsid w:val="00E6128D"/>
    <w:rsid w:val="00E615CA"/>
    <w:rsid w:val="00E6182F"/>
    <w:rsid w:val="00E61946"/>
    <w:rsid w:val="00E61F4A"/>
    <w:rsid w:val="00E6201E"/>
    <w:rsid w:val="00E62E72"/>
    <w:rsid w:val="00E63275"/>
    <w:rsid w:val="00E63A00"/>
    <w:rsid w:val="00E63BE3"/>
    <w:rsid w:val="00E63E1C"/>
    <w:rsid w:val="00E64538"/>
    <w:rsid w:val="00E64666"/>
    <w:rsid w:val="00E64684"/>
    <w:rsid w:val="00E65365"/>
    <w:rsid w:val="00E65704"/>
    <w:rsid w:val="00E65A27"/>
    <w:rsid w:val="00E65AF6"/>
    <w:rsid w:val="00E65D88"/>
    <w:rsid w:val="00E660D6"/>
    <w:rsid w:val="00E66123"/>
    <w:rsid w:val="00E665F7"/>
    <w:rsid w:val="00E66CFD"/>
    <w:rsid w:val="00E67017"/>
    <w:rsid w:val="00E679E8"/>
    <w:rsid w:val="00E67A40"/>
    <w:rsid w:val="00E67A41"/>
    <w:rsid w:val="00E70382"/>
    <w:rsid w:val="00E70AF7"/>
    <w:rsid w:val="00E70B90"/>
    <w:rsid w:val="00E715DB"/>
    <w:rsid w:val="00E722CB"/>
    <w:rsid w:val="00E72608"/>
    <w:rsid w:val="00E72D4A"/>
    <w:rsid w:val="00E73055"/>
    <w:rsid w:val="00E731DA"/>
    <w:rsid w:val="00E733A5"/>
    <w:rsid w:val="00E73468"/>
    <w:rsid w:val="00E73E13"/>
    <w:rsid w:val="00E74664"/>
    <w:rsid w:val="00E746CF"/>
    <w:rsid w:val="00E7480E"/>
    <w:rsid w:val="00E74EDB"/>
    <w:rsid w:val="00E7508A"/>
    <w:rsid w:val="00E752F3"/>
    <w:rsid w:val="00E753C6"/>
    <w:rsid w:val="00E75937"/>
    <w:rsid w:val="00E75C3B"/>
    <w:rsid w:val="00E763FF"/>
    <w:rsid w:val="00E769AB"/>
    <w:rsid w:val="00E76B84"/>
    <w:rsid w:val="00E76D9C"/>
    <w:rsid w:val="00E77131"/>
    <w:rsid w:val="00E7725E"/>
    <w:rsid w:val="00E77EA3"/>
    <w:rsid w:val="00E805CD"/>
    <w:rsid w:val="00E806F7"/>
    <w:rsid w:val="00E80C39"/>
    <w:rsid w:val="00E81826"/>
    <w:rsid w:val="00E83707"/>
    <w:rsid w:val="00E83EDB"/>
    <w:rsid w:val="00E84C4F"/>
    <w:rsid w:val="00E84D12"/>
    <w:rsid w:val="00E855D4"/>
    <w:rsid w:val="00E85C37"/>
    <w:rsid w:val="00E85D0E"/>
    <w:rsid w:val="00E860E3"/>
    <w:rsid w:val="00E87574"/>
    <w:rsid w:val="00E91461"/>
    <w:rsid w:val="00E91700"/>
    <w:rsid w:val="00E9178E"/>
    <w:rsid w:val="00E91A2A"/>
    <w:rsid w:val="00E920E6"/>
    <w:rsid w:val="00E92C3E"/>
    <w:rsid w:val="00E93354"/>
    <w:rsid w:val="00E9368F"/>
    <w:rsid w:val="00E939C0"/>
    <w:rsid w:val="00E94559"/>
    <w:rsid w:val="00E94B37"/>
    <w:rsid w:val="00E94C6A"/>
    <w:rsid w:val="00E9522A"/>
    <w:rsid w:val="00E95DD9"/>
    <w:rsid w:val="00E96448"/>
    <w:rsid w:val="00E96817"/>
    <w:rsid w:val="00E9751A"/>
    <w:rsid w:val="00E97754"/>
    <w:rsid w:val="00E977B2"/>
    <w:rsid w:val="00E97C4F"/>
    <w:rsid w:val="00EA0115"/>
    <w:rsid w:val="00EA0837"/>
    <w:rsid w:val="00EA1CF3"/>
    <w:rsid w:val="00EA1D06"/>
    <w:rsid w:val="00EA1E17"/>
    <w:rsid w:val="00EA1E3C"/>
    <w:rsid w:val="00EA1F56"/>
    <w:rsid w:val="00EA207E"/>
    <w:rsid w:val="00EA2BA3"/>
    <w:rsid w:val="00EA2BE6"/>
    <w:rsid w:val="00EA31F8"/>
    <w:rsid w:val="00EA3A4F"/>
    <w:rsid w:val="00EA4314"/>
    <w:rsid w:val="00EA4AAC"/>
    <w:rsid w:val="00EA5760"/>
    <w:rsid w:val="00EA6254"/>
    <w:rsid w:val="00EA6C5E"/>
    <w:rsid w:val="00EA7265"/>
    <w:rsid w:val="00EB0139"/>
    <w:rsid w:val="00EB0D77"/>
    <w:rsid w:val="00EB0EDA"/>
    <w:rsid w:val="00EB23D1"/>
    <w:rsid w:val="00EB2593"/>
    <w:rsid w:val="00EB2C16"/>
    <w:rsid w:val="00EB2F67"/>
    <w:rsid w:val="00EB3000"/>
    <w:rsid w:val="00EB3045"/>
    <w:rsid w:val="00EB383A"/>
    <w:rsid w:val="00EB4021"/>
    <w:rsid w:val="00EB41E2"/>
    <w:rsid w:val="00EB4213"/>
    <w:rsid w:val="00EB463B"/>
    <w:rsid w:val="00EB5333"/>
    <w:rsid w:val="00EB5648"/>
    <w:rsid w:val="00EB57F8"/>
    <w:rsid w:val="00EB58F3"/>
    <w:rsid w:val="00EB58FA"/>
    <w:rsid w:val="00EB5B6D"/>
    <w:rsid w:val="00EB5D59"/>
    <w:rsid w:val="00EB6D3E"/>
    <w:rsid w:val="00EB7A92"/>
    <w:rsid w:val="00EC0680"/>
    <w:rsid w:val="00EC0947"/>
    <w:rsid w:val="00EC0D59"/>
    <w:rsid w:val="00EC134B"/>
    <w:rsid w:val="00EC1DCF"/>
    <w:rsid w:val="00EC26E4"/>
    <w:rsid w:val="00EC2A36"/>
    <w:rsid w:val="00EC30EF"/>
    <w:rsid w:val="00EC34FE"/>
    <w:rsid w:val="00EC382A"/>
    <w:rsid w:val="00EC3C24"/>
    <w:rsid w:val="00EC3E71"/>
    <w:rsid w:val="00EC4395"/>
    <w:rsid w:val="00EC4853"/>
    <w:rsid w:val="00EC59D4"/>
    <w:rsid w:val="00EC5CD9"/>
    <w:rsid w:val="00EC5FC9"/>
    <w:rsid w:val="00EC6515"/>
    <w:rsid w:val="00EC65E3"/>
    <w:rsid w:val="00EC6894"/>
    <w:rsid w:val="00EC6C89"/>
    <w:rsid w:val="00EC7A35"/>
    <w:rsid w:val="00ED0A25"/>
    <w:rsid w:val="00ED1215"/>
    <w:rsid w:val="00ED193F"/>
    <w:rsid w:val="00ED195E"/>
    <w:rsid w:val="00ED1C4F"/>
    <w:rsid w:val="00ED1D1D"/>
    <w:rsid w:val="00ED239A"/>
    <w:rsid w:val="00ED27EA"/>
    <w:rsid w:val="00ED2EF8"/>
    <w:rsid w:val="00ED42BC"/>
    <w:rsid w:val="00ED470A"/>
    <w:rsid w:val="00ED68AF"/>
    <w:rsid w:val="00ED6B6E"/>
    <w:rsid w:val="00ED6D40"/>
    <w:rsid w:val="00ED6DB2"/>
    <w:rsid w:val="00ED6E38"/>
    <w:rsid w:val="00ED6FCB"/>
    <w:rsid w:val="00EE0056"/>
    <w:rsid w:val="00EE04C7"/>
    <w:rsid w:val="00EE1785"/>
    <w:rsid w:val="00EE1C42"/>
    <w:rsid w:val="00EE22AA"/>
    <w:rsid w:val="00EE25C5"/>
    <w:rsid w:val="00EE2A83"/>
    <w:rsid w:val="00EE2C10"/>
    <w:rsid w:val="00EE31AA"/>
    <w:rsid w:val="00EE366D"/>
    <w:rsid w:val="00EE39CB"/>
    <w:rsid w:val="00EE3AF7"/>
    <w:rsid w:val="00EE3E83"/>
    <w:rsid w:val="00EE3FBD"/>
    <w:rsid w:val="00EE41FC"/>
    <w:rsid w:val="00EE4264"/>
    <w:rsid w:val="00EE43FC"/>
    <w:rsid w:val="00EE51FE"/>
    <w:rsid w:val="00EE6301"/>
    <w:rsid w:val="00EE6348"/>
    <w:rsid w:val="00EE6779"/>
    <w:rsid w:val="00EE6AD3"/>
    <w:rsid w:val="00EE6DDD"/>
    <w:rsid w:val="00EE75FD"/>
    <w:rsid w:val="00EE7619"/>
    <w:rsid w:val="00EE7726"/>
    <w:rsid w:val="00EE77D6"/>
    <w:rsid w:val="00EE781C"/>
    <w:rsid w:val="00EF0580"/>
    <w:rsid w:val="00EF0D29"/>
    <w:rsid w:val="00EF2C64"/>
    <w:rsid w:val="00EF2FA5"/>
    <w:rsid w:val="00EF30B5"/>
    <w:rsid w:val="00EF329B"/>
    <w:rsid w:val="00EF33D3"/>
    <w:rsid w:val="00EF3E69"/>
    <w:rsid w:val="00EF4DED"/>
    <w:rsid w:val="00EF5087"/>
    <w:rsid w:val="00EF54DE"/>
    <w:rsid w:val="00EF5D83"/>
    <w:rsid w:val="00EF62AF"/>
    <w:rsid w:val="00EF6529"/>
    <w:rsid w:val="00EF66D3"/>
    <w:rsid w:val="00EF6A24"/>
    <w:rsid w:val="00EF6A95"/>
    <w:rsid w:val="00EF6CFC"/>
    <w:rsid w:val="00EF753C"/>
    <w:rsid w:val="00EF7960"/>
    <w:rsid w:val="00EF7B71"/>
    <w:rsid w:val="00EF7BC9"/>
    <w:rsid w:val="00EF7C96"/>
    <w:rsid w:val="00F007DE"/>
    <w:rsid w:val="00F0096E"/>
    <w:rsid w:val="00F00D90"/>
    <w:rsid w:val="00F01199"/>
    <w:rsid w:val="00F01591"/>
    <w:rsid w:val="00F01C30"/>
    <w:rsid w:val="00F02332"/>
    <w:rsid w:val="00F0275D"/>
    <w:rsid w:val="00F02A00"/>
    <w:rsid w:val="00F02C34"/>
    <w:rsid w:val="00F03A68"/>
    <w:rsid w:val="00F0479E"/>
    <w:rsid w:val="00F054D5"/>
    <w:rsid w:val="00F062CB"/>
    <w:rsid w:val="00F06479"/>
    <w:rsid w:val="00F067BE"/>
    <w:rsid w:val="00F0784A"/>
    <w:rsid w:val="00F07F46"/>
    <w:rsid w:val="00F10374"/>
    <w:rsid w:val="00F10B23"/>
    <w:rsid w:val="00F11093"/>
    <w:rsid w:val="00F11739"/>
    <w:rsid w:val="00F11BBC"/>
    <w:rsid w:val="00F1227D"/>
    <w:rsid w:val="00F128C3"/>
    <w:rsid w:val="00F12E97"/>
    <w:rsid w:val="00F13770"/>
    <w:rsid w:val="00F13CD1"/>
    <w:rsid w:val="00F1402A"/>
    <w:rsid w:val="00F14886"/>
    <w:rsid w:val="00F14936"/>
    <w:rsid w:val="00F14BA6"/>
    <w:rsid w:val="00F15936"/>
    <w:rsid w:val="00F15F21"/>
    <w:rsid w:val="00F16638"/>
    <w:rsid w:val="00F17BDA"/>
    <w:rsid w:val="00F20542"/>
    <w:rsid w:val="00F207B5"/>
    <w:rsid w:val="00F20943"/>
    <w:rsid w:val="00F20B26"/>
    <w:rsid w:val="00F216A4"/>
    <w:rsid w:val="00F21CD4"/>
    <w:rsid w:val="00F21DB7"/>
    <w:rsid w:val="00F230B3"/>
    <w:rsid w:val="00F230C9"/>
    <w:rsid w:val="00F233E3"/>
    <w:rsid w:val="00F23728"/>
    <w:rsid w:val="00F23B70"/>
    <w:rsid w:val="00F23D2D"/>
    <w:rsid w:val="00F23E4B"/>
    <w:rsid w:val="00F240B9"/>
    <w:rsid w:val="00F24717"/>
    <w:rsid w:val="00F24BCF"/>
    <w:rsid w:val="00F24C1C"/>
    <w:rsid w:val="00F25104"/>
    <w:rsid w:val="00F252AE"/>
    <w:rsid w:val="00F25885"/>
    <w:rsid w:val="00F25DD9"/>
    <w:rsid w:val="00F26304"/>
    <w:rsid w:val="00F26E7C"/>
    <w:rsid w:val="00F2753A"/>
    <w:rsid w:val="00F27715"/>
    <w:rsid w:val="00F302FA"/>
    <w:rsid w:val="00F30805"/>
    <w:rsid w:val="00F30948"/>
    <w:rsid w:val="00F30AA7"/>
    <w:rsid w:val="00F31689"/>
    <w:rsid w:val="00F31ED2"/>
    <w:rsid w:val="00F32A28"/>
    <w:rsid w:val="00F32EB6"/>
    <w:rsid w:val="00F3385E"/>
    <w:rsid w:val="00F33CFA"/>
    <w:rsid w:val="00F342F5"/>
    <w:rsid w:val="00F3438B"/>
    <w:rsid w:val="00F34538"/>
    <w:rsid w:val="00F346A9"/>
    <w:rsid w:val="00F34C4E"/>
    <w:rsid w:val="00F34D1A"/>
    <w:rsid w:val="00F35B4F"/>
    <w:rsid w:val="00F3656D"/>
    <w:rsid w:val="00F3663E"/>
    <w:rsid w:val="00F36925"/>
    <w:rsid w:val="00F36BEC"/>
    <w:rsid w:val="00F36CDE"/>
    <w:rsid w:val="00F36EC4"/>
    <w:rsid w:val="00F3716F"/>
    <w:rsid w:val="00F372AF"/>
    <w:rsid w:val="00F37DEC"/>
    <w:rsid w:val="00F4000E"/>
    <w:rsid w:val="00F40E1E"/>
    <w:rsid w:val="00F4122D"/>
    <w:rsid w:val="00F419B8"/>
    <w:rsid w:val="00F423D2"/>
    <w:rsid w:val="00F43104"/>
    <w:rsid w:val="00F432B0"/>
    <w:rsid w:val="00F43A4C"/>
    <w:rsid w:val="00F444F6"/>
    <w:rsid w:val="00F44E31"/>
    <w:rsid w:val="00F44EC5"/>
    <w:rsid w:val="00F45DBC"/>
    <w:rsid w:val="00F45E13"/>
    <w:rsid w:val="00F46277"/>
    <w:rsid w:val="00F46D74"/>
    <w:rsid w:val="00F47391"/>
    <w:rsid w:val="00F476CF"/>
    <w:rsid w:val="00F4784E"/>
    <w:rsid w:val="00F479ED"/>
    <w:rsid w:val="00F47AF8"/>
    <w:rsid w:val="00F47B34"/>
    <w:rsid w:val="00F47B42"/>
    <w:rsid w:val="00F5037C"/>
    <w:rsid w:val="00F50722"/>
    <w:rsid w:val="00F5127F"/>
    <w:rsid w:val="00F529D2"/>
    <w:rsid w:val="00F52A35"/>
    <w:rsid w:val="00F52AB1"/>
    <w:rsid w:val="00F537D7"/>
    <w:rsid w:val="00F54B2A"/>
    <w:rsid w:val="00F54E5C"/>
    <w:rsid w:val="00F54EE4"/>
    <w:rsid w:val="00F55130"/>
    <w:rsid w:val="00F55187"/>
    <w:rsid w:val="00F5539C"/>
    <w:rsid w:val="00F55746"/>
    <w:rsid w:val="00F563EF"/>
    <w:rsid w:val="00F567A4"/>
    <w:rsid w:val="00F56D5E"/>
    <w:rsid w:val="00F56F9A"/>
    <w:rsid w:val="00F5700B"/>
    <w:rsid w:val="00F57E40"/>
    <w:rsid w:val="00F60DF4"/>
    <w:rsid w:val="00F610BC"/>
    <w:rsid w:val="00F611F0"/>
    <w:rsid w:val="00F61EED"/>
    <w:rsid w:val="00F61FBD"/>
    <w:rsid w:val="00F622C6"/>
    <w:rsid w:val="00F6231D"/>
    <w:rsid w:val="00F63815"/>
    <w:rsid w:val="00F638B9"/>
    <w:rsid w:val="00F63960"/>
    <w:rsid w:val="00F639AB"/>
    <w:rsid w:val="00F64091"/>
    <w:rsid w:val="00F646BE"/>
    <w:rsid w:val="00F64E3C"/>
    <w:rsid w:val="00F64FA0"/>
    <w:rsid w:val="00F657E5"/>
    <w:rsid w:val="00F65C51"/>
    <w:rsid w:val="00F6615B"/>
    <w:rsid w:val="00F6618C"/>
    <w:rsid w:val="00F66492"/>
    <w:rsid w:val="00F66F8E"/>
    <w:rsid w:val="00F66F9D"/>
    <w:rsid w:val="00F67046"/>
    <w:rsid w:val="00F67517"/>
    <w:rsid w:val="00F67628"/>
    <w:rsid w:val="00F67691"/>
    <w:rsid w:val="00F678DB"/>
    <w:rsid w:val="00F67A27"/>
    <w:rsid w:val="00F67AAD"/>
    <w:rsid w:val="00F67AF0"/>
    <w:rsid w:val="00F67CE7"/>
    <w:rsid w:val="00F70745"/>
    <w:rsid w:val="00F70DEA"/>
    <w:rsid w:val="00F71146"/>
    <w:rsid w:val="00F71348"/>
    <w:rsid w:val="00F71677"/>
    <w:rsid w:val="00F716BE"/>
    <w:rsid w:val="00F717AE"/>
    <w:rsid w:val="00F71CC8"/>
    <w:rsid w:val="00F72048"/>
    <w:rsid w:val="00F72712"/>
    <w:rsid w:val="00F72AFD"/>
    <w:rsid w:val="00F72B37"/>
    <w:rsid w:val="00F72C73"/>
    <w:rsid w:val="00F72F66"/>
    <w:rsid w:val="00F73776"/>
    <w:rsid w:val="00F73D7B"/>
    <w:rsid w:val="00F73FEE"/>
    <w:rsid w:val="00F74114"/>
    <w:rsid w:val="00F742C1"/>
    <w:rsid w:val="00F75869"/>
    <w:rsid w:val="00F767AC"/>
    <w:rsid w:val="00F76927"/>
    <w:rsid w:val="00F76FE6"/>
    <w:rsid w:val="00F77695"/>
    <w:rsid w:val="00F77F6F"/>
    <w:rsid w:val="00F77FD0"/>
    <w:rsid w:val="00F80456"/>
    <w:rsid w:val="00F80EC5"/>
    <w:rsid w:val="00F81092"/>
    <w:rsid w:val="00F810A5"/>
    <w:rsid w:val="00F812F5"/>
    <w:rsid w:val="00F81471"/>
    <w:rsid w:val="00F8174F"/>
    <w:rsid w:val="00F8198A"/>
    <w:rsid w:val="00F82775"/>
    <w:rsid w:val="00F82FBD"/>
    <w:rsid w:val="00F8332A"/>
    <w:rsid w:val="00F83DE2"/>
    <w:rsid w:val="00F860C2"/>
    <w:rsid w:val="00F865D8"/>
    <w:rsid w:val="00F868B1"/>
    <w:rsid w:val="00F86B25"/>
    <w:rsid w:val="00F86BA2"/>
    <w:rsid w:val="00F87CB4"/>
    <w:rsid w:val="00F87F6A"/>
    <w:rsid w:val="00F906E5"/>
    <w:rsid w:val="00F909ED"/>
    <w:rsid w:val="00F918A6"/>
    <w:rsid w:val="00F918AF"/>
    <w:rsid w:val="00F92310"/>
    <w:rsid w:val="00F92705"/>
    <w:rsid w:val="00F929B3"/>
    <w:rsid w:val="00F93BB8"/>
    <w:rsid w:val="00F93E0E"/>
    <w:rsid w:val="00F940A5"/>
    <w:rsid w:val="00F94A69"/>
    <w:rsid w:val="00F94B4E"/>
    <w:rsid w:val="00F94EE5"/>
    <w:rsid w:val="00F95187"/>
    <w:rsid w:val="00F95254"/>
    <w:rsid w:val="00F95B65"/>
    <w:rsid w:val="00F95BCC"/>
    <w:rsid w:val="00F961B7"/>
    <w:rsid w:val="00F96789"/>
    <w:rsid w:val="00F96ABF"/>
    <w:rsid w:val="00F96F21"/>
    <w:rsid w:val="00F97067"/>
    <w:rsid w:val="00F975E6"/>
    <w:rsid w:val="00FA0351"/>
    <w:rsid w:val="00FA036E"/>
    <w:rsid w:val="00FA0531"/>
    <w:rsid w:val="00FA0E4A"/>
    <w:rsid w:val="00FA26CC"/>
    <w:rsid w:val="00FA2CC7"/>
    <w:rsid w:val="00FA2D3F"/>
    <w:rsid w:val="00FA320B"/>
    <w:rsid w:val="00FA37B3"/>
    <w:rsid w:val="00FA40B9"/>
    <w:rsid w:val="00FA40BF"/>
    <w:rsid w:val="00FA5169"/>
    <w:rsid w:val="00FA62F2"/>
    <w:rsid w:val="00FA6344"/>
    <w:rsid w:val="00FA7A23"/>
    <w:rsid w:val="00FB0402"/>
    <w:rsid w:val="00FB0C62"/>
    <w:rsid w:val="00FB0EF8"/>
    <w:rsid w:val="00FB10B1"/>
    <w:rsid w:val="00FB1D3F"/>
    <w:rsid w:val="00FB2B3E"/>
    <w:rsid w:val="00FB3B16"/>
    <w:rsid w:val="00FB4510"/>
    <w:rsid w:val="00FB5EF9"/>
    <w:rsid w:val="00FB5F67"/>
    <w:rsid w:val="00FB6352"/>
    <w:rsid w:val="00FB68C1"/>
    <w:rsid w:val="00FC17F6"/>
    <w:rsid w:val="00FC1C97"/>
    <w:rsid w:val="00FC1FC5"/>
    <w:rsid w:val="00FC2079"/>
    <w:rsid w:val="00FC2798"/>
    <w:rsid w:val="00FC27BB"/>
    <w:rsid w:val="00FC3071"/>
    <w:rsid w:val="00FC3079"/>
    <w:rsid w:val="00FC34DA"/>
    <w:rsid w:val="00FC3971"/>
    <w:rsid w:val="00FC3D91"/>
    <w:rsid w:val="00FC43CE"/>
    <w:rsid w:val="00FC4677"/>
    <w:rsid w:val="00FC481E"/>
    <w:rsid w:val="00FC527B"/>
    <w:rsid w:val="00FC52F3"/>
    <w:rsid w:val="00FC5329"/>
    <w:rsid w:val="00FC5DF4"/>
    <w:rsid w:val="00FC60BD"/>
    <w:rsid w:val="00FC61B9"/>
    <w:rsid w:val="00FC6401"/>
    <w:rsid w:val="00FC67BF"/>
    <w:rsid w:val="00FC69C5"/>
    <w:rsid w:val="00FC6D69"/>
    <w:rsid w:val="00FC76AC"/>
    <w:rsid w:val="00FC7E8C"/>
    <w:rsid w:val="00FD01BE"/>
    <w:rsid w:val="00FD05F0"/>
    <w:rsid w:val="00FD0961"/>
    <w:rsid w:val="00FD0A34"/>
    <w:rsid w:val="00FD1713"/>
    <w:rsid w:val="00FD2C33"/>
    <w:rsid w:val="00FD318F"/>
    <w:rsid w:val="00FD32BB"/>
    <w:rsid w:val="00FD364A"/>
    <w:rsid w:val="00FD366B"/>
    <w:rsid w:val="00FD4155"/>
    <w:rsid w:val="00FD41FD"/>
    <w:rsid w:val="00FD422B"/>
    <w:rsid w:val="00FD4C36"/>
    <w:rsid w:val="00FD4EBE"/>
    <w:rsid w:val="00FD52DB"/>
    <w:rsid w:val="00FD6968"/>
    <w:rsid w:val="00FD73AB"/>
    <w:rsid w:val="00FE004C"/>
    <w:rsid w:val="00FE07AB"/>
    <w:rsid w:val="00FE09B6"/>
    <w:rsid w:val="00FE0ADA"/>
    <w:rsid w:val="00FE0CE0"/>
    <w:rsid w:val="00FE14D2"/>
    <w:rsid w:val="00FE1906"/>
    <w:rsid w:val="00FE1EF3"/>
    <w:rsid w:val="00FE2291"/>
    <w:rsid w:val="00FE27D8"/>
    <w:rsid w:val="00FE3045"/>
    <w:rsid w:val="00FE34DC"/>
    <w:rsid w:val="00FE37E6"/>
    <w:rsid w:val="00FE3F34"/>
    <w:rsid w:val="00FE4170"/>
    <w:rsid w:val="00FE4E79"/>
    <w:rsid w:val="00FE5147"/>
    <w:rsid w:val="00FE5C36"/>
    <w:rsid w:val="00FE6126"/>
    <w:rsid w:val="00FE69E3"/>
    <w:rsid w:val="00FE69FD"/>
    <w:rsid w:val="00FE6E5E"/>
    <w:rsid w:val="00FE7120"/>
    <w:rsid w:val="00FE7633"/>
    <w:rsid w:val="00FE76A9"/>
    <w:rsid w:val="00FE7C0A"/>
    <w:rsid w:val="00FF095E"/>
    <w:rsid w:val="00FF0A00"/>
    <w:rsid w:val="00FF1CA7"/>
    <w:rsid w:val="00FF1FEF"/>
    <w:rsid w:val="00FF22AD"/>
    <w:rsid w:val="00FF275C"/>
    <w:rsid w:val="00FF2841"/>
    <w:rsid w:val="00FF28D4"/>
    <w:rsid w:val="00FF294D"/>
    <w:rsid w:val="00FF2B92"/>
    <w:rsid w:val="00FF475B"/>
    <w:rsid w:val="00FF4BB3"/>
    <w:rsid w:val="00FF524E"/>
    <w:rsid w:val="00FF5408"/>
    <w:rsid w:val="00FF6192"/>
    <w:rsid w:val="00FF64CD"/>
    <w:rsid w:val="00FF66F2"/>
    <w:rsid w:val="00FF7143"/>
    <w:rsid w:val="00FF79B0"/>
    <w:rsid w:val="00FF7F95"/>
    <w:rsid w:val="013D8C8E"/>
    <w:rsid w:val="01E4D27A"/>
    <w:rsid w:val="02AC1D66"/>
    <w:rsid w:val="04050127"/>
    <w:rsid w:val="045BDE86"/>
    <w:rsid w:val="048EC5D0"/>
    <w:rsid w:val="058A1345"/>
    <w:rsid w:val="06282E33"/>
    <w:rsid w:val="0665FD8C"/>
    <w:rsid w:val="06CA5446"/>
    <w:rsid w:val="07363DD9"/>
    <w:rsid w:val="09281857"/>
    <w:rsid w:val="0A3010E0"/>
    <w:rsid w:val="0AD62CF9"/>
    <w:rsid w:val="0BA682F6"/>
    <w:rsid w:val="0D1F44C1"/>
    <w:rsid w:val="0F7F876E"/>
    <w:rsid w:val="0F8A0B36"/>
    <w:rsid w:val="0FFEA32E"/>
    <w:rsid w:val="10439C9C"/>
    <w:rsid w:val="107BB101"/>
    <w:rsid w:val="108CB01D"/>
    <w:rsid w:val="10DB3BC9"/>
    <w:rsid w:val="1166596B"/>
    <w:rsid w:val="117E3541"/>
    <w:rsid w:val="11AB1D7D"/>
    <w:rsid w:val="12D26986"/>
    <w:rsid w:val="132E6556"/>
    <w:rsid w:val="13A5CFB2"/>
    <w:rsid w:val="13CA019F"/>
    <w:rsid w:val="13E55F51"/>
    <w:rsid w:val="13F2912A"/>
    <w:rsid w:val="13FA84EE"/>
    <w:rsid w:val="14789591"/>
    <w:rsid w:val="14AF22A7"/>
    <w:rsid w:val="15167A72"/>
    <w:rsid w:val="1600E785"/>
    <w:rsid w:val="16256F07"/>
    <w:rsid w:val="1627E25C"/>
    <w:rsid w:val="163E5468"/>
    <w:rsid w:val="165A1E21"/>
    <w:rsid w:val="166F61EE"/>
    <w:rsid w:val="1718C9BD"/>
    <w:rsid w:val="172C8FE0"/>
    <w:rsid w:val="18522FDA"/>
    <w:rsid w:val="1900878E"/>
    <w:rsid w:val="19A61556"/>
    <w:rsid w:val="1A2AE3C1"/>
    <w:rsid w:val="1B1F2E47"/>
    <w:rsid w:val="1D401447"/>
    <w:rsid w:val="1D6E2D53"/>
    <w:rsid w:val="1D713338"/>
    <w:rsid w:val="1E1B2160"/>
    <w:rsid w:val="1FCEC898"/>
    <w:rsid w:val="2005BFB2"/>
    <w:rsid w:val="200E3E88"/>
    <w:rsid w:val="20D156E0"/>
    <w:rsid w:val="21044F9A"/>
    <w:rsid w:val="2197D31A"/>
    <w:rsid w:val="21FF294E"/>
    <w:rsid w:val="23018548"/>
    <w:rsid w:val="2385F871"/>
    <w:rsid w:val="23E13112"/>
    <w:rsid w:val="24317AB2"/>
    <w:rsid w:val="243C7C95"/>
    <w:rsid w:val="2452B2F7"/>
    <w:rsid w:val="245F749A"/>
    <w:rsid w:val="253C2E45"/>
    <w:rsid w:val="260A0B56"/>
    <w:rsid w:val="2826E04B"/>
    <w:rsid w:val="28F2F118"/>
    <w:rsid w:val="2A46D84B"/>
    <w:rsid w:val="2A7D8E7F"/>
    <w:rsid w:val="2AD2FF9D"/>
    <w:rsid w:val="2BB2212E"/>
    <w:rsid w:val="2BCF5A56"/>
    <w:rsid w:val="2BDC4E6E"/>
    <w:rsid w:val="2BDF0200"/>
    <w:rsid w:val="2C2EE3AB"/>
    <w:rsid w:val="2CD067D9"/>
    <w:rsid w:val="2DB2BECA"/>
    <w:rsid w:val="2E04F994"/>
    <w:rsid w:val="2E4E9626"/>
    <w:rsid w:val="2F1DB7AF"/>
    <w:rsid w:val="2F3B8C8B"/>
    <w:rsid w:val="2FAB5FAD"/>
    <w:rsid w:val="30526C7E"/>
    <w:rsid w:val="316B0E4C"/>
    <w:rsid w:val="31CF6EA4"/>
    <w:rsid w:val="32329D0D"/>
    <w:rsid w:val="3259F102"/>
    <w:rsid w:val="3279B1C3"/>
    <w:rsid w:val="3286C853"/>
    <w:rsid w:val="32BF09BC"/>
    <w:rsid w:val="32C0ADA1"/>
    <w:rsid w:val="32CD0A89"/>
    <w:rsid w:val="32CF58E5"/>
    <w:rsid w:val="32F49A77"/>
    <w:rsid w:val="33401DB4"/>
    <w:rsid w:val="337A0D9F"/>
    <w:rsid w:val="34455D96"/>
    <w:rsid w:val="34669EA9"/>
    <w:rsid w:val="34DBFA22"/>
    <w:rsid w:val="354E76B8"/>
    <w:rsid w:val="35DFBE7D"/>
    <w:rsid w:val="366891AA"/>
    <w:rsid w:val="36DC4637"/>
    <w:rsid w:val="370B2797"/>
    <w:rsid w:val="37CD2F1F"/>
    <w:rsid w:val="37EF4F16"/>
    <w:rsid w:val="3843DD80"/>
    <w:rsid w:val="3874570C"/>
    <w:rsid w:val="3891EEBF"/>
    <w:rsid w:val="38D4FBEC"/>
    <w:rsid w:val="38DC58C9"/>
    <w:rsid w:val="392F0135"/>
    <w:rsid w:val="393B65E6"/>
    <w:rsid w:val="399DA2F7"/>
    <w:rsid w:val="3B743472"/>
    <w:rsid w:val="3BCD5E71"/>
    <w:rsid w:val="3BEE52D8"/>
    <w:rsid w:val="3C057F58"/>
    <w:rsid w:val="3C3883A4"/>
    <w:rsid w:val="3CD484F4"/>
    <w:rsid w:val="3D01F57F"/>
    <w:rsid w:val="3D08A775"/>
    <w:rsid w:val="3D69C4F5"/>
    <w:rsid w:val="3DE90D39"/>
    <w:rsid w:val="3EF20CC2"/>
    <w:rsid w:val="3F97B01A"/>
    <w:rsid w:val="3FA117D6"/>
    <w:rsid w:val="3FBFAEA5"/>
    <w:rsid w:val="40FB50D3"/>
    <w:rsid w:val="411D7839"/>
    <w:rsid w:val="41DC4DE9"/>
    <w:rsid w:val="426AFDF4"/>
    <w:rsid w:val="4300B198"/>
    <w:rsid w:val="432F1925"/>
    <w:rsid w:val="4372FA2F"/>
    <w:rsid w:val="43C70281"/>
    <w:rsid w:val="44013A36"/>
    <w:rsid w:val="445DEBCA"/>
    <w:rsid w:val="454B3A87"/>
    <w:rsid w:val="475A9555"/>
    <w:rsid w:val="47B40B02"/>
    <w:rsid w:val="47E8E60B"/>
    <w:rsid w:val="49118FD1"/>
    <w:rsid w:val="493DD3D0"/>
    <w:rsid w:val="4A5A541C"/>
    <w:rsid w:val="4A638E70"/>
    <w:rsid w:val="4AC550DA"/>
    <w:rsid w:val="4AD3D600"/>
    <w:rsid w:val="4BAA7714"/>
    <w:rsid w:val="4BBD446C"/>
    <w:rsid w:val="4C21AC23"/>
    <w:rsid w:val="4C404C85"/>
    <w:rsid w:val="4E91F7EB"/>
    <w:rsid w:val="4EC04CB2"/>
    <w:rsid w:val="4ECCFEB2"/>
    <w:rsid w:val="50B914C7"/>
    <w:rsid w:val="51705991"/>
    <w:rsid w:val="51B20D2D"/>
    <w:rsid w:val="51E996D6"/>
    <w:rsid w:val="5279A6D6"/>
    <w:rsid w:val="527B877B"/>
    <w:rsid w:val="52BBD92F"/>
    <w:rsid w:val="5301F8C5"/>
    <w:rsid w:val="53437F93"/>
    <w:rsid w:val="55C310D4"/>
    <w:rsid w:val="55CEB1AF"/>
    <w:rsid w:val="562AC92C"/>
    <w:rsid w:val="574A156B"/>
    <w:rsid w:val="58836CFD"/>
    <w:rsid w:val="594941D2"/>
    <w:rsid w:val="5A1FBC31"/>
    <w:rsid w:val="5A77F7CB"/>
    <w:rsid w:val="5B9DF266"/>
    <w:rsid w:val="5BD6706F"/>
    <w:rsid w:val="5BFA744A"/>
    <w:rsid w:val="5C4359B0"/>
    <w:rsid w:val="5C48A318"/>
    <w:rsid w:val="5D025756"/>
    <w:rsid w:val="5DEDFAE2"/>
    <w:rsid w:val="5E276BD6"/>
    <w:rsid w:val="5E6B15FC"/>
    <w:rsid w:val="5F3A2D22"/>
    <w:rsid w:val="6083C337"/>
    <w:rsid w:val="60CC6F5B"/>
    <w:rsid w:val="625FDDE5"/>
    <w:rsid w:val="63715868"/>
    <w:rsid w:val="638D91F8"/>
    <w:rsid w:val="63B906DB"/>
    <w:rsid w:val="63FC3B26"/>
    <w:rsid w:val="64264D4E"/>
    <w:rsid w:val="64A22DDF"/>
    <w:rsid w:val="653F22D4"/>
    <w:rsid w:val="65A81B97"/>
    <w:rsid w:val="65C108BB"/>
    <w:rsid w:val="6613150F"/>
    <w:rsid w:val="66515167"/>
    <w:rsid w:val="66737CF7"/>
    <w:rsid w:val="66DB254A"/>
    <w:rsid w:val="6724B1D3"/>
    <w:rsid w:val="6732044E"/>
    <w:rsid w:val="67755FF1"/>
    <w:rsid w:val="67846E7F"/>
    <w:rsid w:val="686A1E22"/>
    <w:rsid w:val="68CB8A9A"/>
    <w:rsid w:val="68F22C36"/>
    <w:rsid w:val="6907D3F4"/>
    <w:rsid w:val="694BD978"/>
    <w:rsid w:val="6A01DD78"/>
    <w:rsid w:val="6A6B11F2"/>
    <w:rsid w:val="6AFF2A79"/>
    <w:rsid w:val="6BA91010"/>
    <w:rsid w:val="6BB50210"/>
    <w:rsid w:val="6BF44D39"/>
    <w:rsid w:val="6CA6E476"/>
    <w:rsid w:val="6CE1636D"/>
    <w:rsid w:val="6F3398FB"/>
    <w:rsid w:val="6FCD6408"/>
    <w:rsid w:val="6FE31D40"/>
    <w:rsid w:val="70B98371"/>
    <w:rsid w:val="70CE93C9"/>
    <w:rsid w:val="70D5BE77"/>
    <w:rsid w:val="71455831"/>
    <w:rsid w:val="7147F9A8"/>
    <w:rsid w:val="7212289F"/>
    <w:rsid w:val="73423CC6"/>
    <w:rsid w:val="7362E400"/>
    <w:rsid w:val="753E2140"/>
    <w:rsid w:val="758DF620"/>
    <w:rsid w:val="7605D0D2"/>
    <w:rsid w:val="76440C38"/>
    <w:rsid w:val="7652AE0D"/>
    <w:rsid w:val="77970038"/>
    <w:rsid w:val="78ECFA7D"/>
    <w:rsid w:val="7994E2A5"/>
    <w:rsid w:val="79A4D610"/>
    <w:rsid w:val="7B70136F"/>
    <w:rsid w:val="7B94E285"/>
    <w:rsid w:val="7C1C94B8"/>
    <w:rsid w:val="7C86DB3E"/>
    <w:rsid w:val="7CC0AA24"/>
    <w:rsid w:val="7CD46D49"/>
    <w:rsid w:val="7F127A42"/>
    <w:rsid w:val="7F4C77DE"/>
    <w:rsid w:val="7FA0AC77"/>
    <w:rsid w:val="7FF8226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03B6AF69"/>
  <w15:chartTrackingRefBased/>
  <w15:docId w15:val="{4EF160E0-7A19-4DF3-95DB-D679129B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04EE2"/>
    <w:pPr>
      <w:jc w:val="both"/>
    </w:pPr>
  </w:style>
  <w:style w:type="paragraph" w:styleId="Titolo1">
    <w:name w:val="heading 1"/>
    <w:basedOn w:val="Normale"/>
    <w:next w:val="Normale"/>
    <w:link w:val="Titolo1Carattere"/>
    <w:qFormat/>
    <w:rsid w:val="003A54A8"/>
    <w:pPr>
      <w:keepNext/>
      <w:pageBreakBefore/>
      <w:numPr>
        <w:numId w:val="15"/>
      </w:numPr>
      <w:spacing w:before="480" w:after="120" w:line="240" w:lineRule="auto"/>
      <w:outlineLvl w:val="0"/>
    </w:pPr>
    <w:rPr>
      <w:rFonts w:ascii="Calibri" w:eastAsia="Times New Roman" w:hAnsi="Calibri" w:cs="Arial"/>
      <w:b/>
      <w:bCs/>
      <w:i/>
      <w:kern w:val="32"/>
      <w:sz w:val="28"/>
      <w:szCs w:val="32"/>
    </w:rPr>
  </w:style>
  <w:style w:type="paragraph" w:styleId="Titolo2">
    <w:name w:val="heading 2"/>
    <w:basedOn w:val="Normale"/>
    <w:next w:val="Normale"/>
    <w:link w:val="Titolo2Carattere"/>
    <w:qFormat/>
    <w:rsid w:val="00C77CB1"/>
    <w:pPr>
      <w:keepNext/>
      <w:numPr>
        <w:ilvl w:val="1"/>
        <w:numId w:val="15"/>
      </w:numPr>
      <w:tabs>
        <w:tab w:val="left" w:pos="1276"/>
      </w:tabs>
      <w:spacing w:before="360" w:after="180" w:line="240" w:lineRule="auto"/>
      <w:outlineLvl w:val="1"/>
    </w:pPr>
    <w:rPr>
      <w:rFonts w:ascii="Calibri" w:eastAsia="Times New Roman" w:hAnsi="Calibri" w:cs="Arial"/>
      <w:b/>
      <w:bCs/>
      <w:iCs/>
      <w:sz w:val="26"/>
      <w:szCs w:val="28"/>
    </w:rPr>
  </w:style>
  <w:style w:type="paragraph" w:styleId="Titolo3">
    <w:name w:val="heading 3"/>
    <w:basedOn w:val="Normale"/>
    <w:next w:val="Normale"/>
    <w:link w:val="Titolo3Carattere"/>
    <w:uiPriority w:val="9"/>
    <w:qFormat/>
    <w:rsid w:val="00C77CB1"/>
    <w:pPr>
      <w:keepNext/>
      <w:numPr>
        <w:ilvl w:val="2"/>
        <w:numId w:val="15"/>
      </w:numPr>
      <w:tabs>
        <w:tab w:val="left" w:pos="1814"/>
      </w:tabs>
      <w:spacing w:before="240" w:after="120" w:line="360" w:lineRule="auto"/>
      <w:outlineLvl w:val="2"/>
    </w:pPr>
    <w:rPr>
      <w:rFonts w:ascii="Calibri" w:eastAsia="Times New Roman" w:hAnsi="Calibri" w:cs="Arial"/>
      <w:b/>
      <w:bCs/>
      <w:i/>
      <w:sz w:val="24"/>
      <w:szCs w:val="26"/>
    </w:rPr>
  </w:style>
  <w:style w:type="paragraph" w:styleId="Titolo4">
    <w:name w:val="heading 4"/>
    <w:basedOn w:val="Normale"/>
    <w:next w:val="Normale"/>
    <w:link w:val="Titolo4Carattere"/>
    <w:uiPriority w:val="9"/>
    <w:qFormat/>
    <w:rsid w:val="00C77CB1"/>
    <w:pPr>
      <w:keepNext/>
      <w:numPr>
        <w:ilvl w:val="3"/>
        <w:numId w:val="15"/>
      </w:numPr>
      <w:tabs>
        <w:tab w:val="left" w:pos="2155"/>
        <w:tab w:val="left" w:pos="2500"/>
      </w:tabs>
      <w:spacing w:before="160" w:after="80" w:line="240" w:lineRule="auto"/>
      <w:outlineLvl w:val="3"/>
    </w:pPr>
    <w:rPr>
      <w:rFonts w:ascii="Calibri" w:eastAsia="Times New Roman" w:hAnsi="Calibri" w:cs="Times New Roman"/>
      <w:bCs/>
      <w:sz w:val="24"/>
      <w:szCs w:val="28"/>
    </w:rPr>
  </w:style>
  <w:style w:type="paragraph" w:styleId="Titolo5">
    <w:name w:val="heading 5"/>
    <w:basedOn w:val="Normale"/>
    <w:next w:val="Normale"/>
    <w:link w:val="Titolo5Carattere"/>
    <w:uiPriority w:val="9"/>
    <w:qFormat/>
    <w:rsid w:val="003A54A8"/>
    <w:pPr>
      <w:numPr>
        <w:ilvl w:val="4"/>
        <w:numId w:val="15"/>
      </w:numPr>
      <w:pBdr>
        <w:bottom w:val="single" w:sz="4" w:space="1" w:color="auto"/>
      </w:pBdr>
      <w:spacing w:before="480" w:after="60" w:line="240" w:lineRule="auto"/>
      <w:outlineLvl w:val="4"/>
    </w:pPr>
    <w:rPr>
      <w:rFonts w:ascii="Calibri" w:eastAsia="Times New Roman" w:hAnsi="Calibri" w:cs="Times New Roman"/>
      <w:b/>
      <w:bCs/>
      <w:i/>
      <w:iCs/>
      <w:sz w:val="24"/>
      <w:szCs w:val="26"/>
    </w:rPr>
  </w:style>
  <w:style w:type="paragraph" w:styleId="Titolo6">
    <w:name w:val="heading 6"/>
    <w:basedOn w:val="Normale"/>
    <w:next w:val="Normale"/>
    <w:link w:val="Titolo6Carattere"/>
    <w:uiPriority w:val="9"/>
    <w:unhideWhenUsed/>
    <w:qFormat/>
    <w:rsid w:val="00794F6F"/>
    <w:pPr>
      <w:keepNext/>
      <w:keepLines/>
      <w:numPr>
        <w:ilvl w:val="5"/>
        <w:numId w:val="15"/>
      </w:numPr>
      <w:spacing w:before="40" w:after="0"/>
      <w:outlineLvl w:val="5"/>
    </w:pPr>
    <w:rPr>
      <w:rFonts w:asciiTheme="majorHAnsi" w:eastAsiaTheme="majorEastAsia" w:hAnsiTheme="majorHAnsi" w:cstheme="majorBidi"/>
      <w:color w:val="073662" w:themeColor="accent1" w:themeShade="7F"/>
    </w:rPr>
  </w:style>
  <w:style w:type="paragraph" w:styleId="Titolo7">
    <w:name w:val="heading 7"/>
    <w:basedOn w:val="Normale"/>
    <w:next w:val="Normale"/>
    <w:link w:val="Titolo7Carattere"/>
    <w:uiPriority w:val="9"/>
    <w:unhideWhenUsed/>
    <w:qFormat/>
    <w:rsid w:val="00794F6F"/>
    <w:pPr>
      <w:keepNext/>
      <w:keepLines/>
      <w:numPr>
        <w:ilvl w:val="6"/>
        <w:numId w:val="15"/>
      </w:numPr>
      <w:spacing w:before="40" w:after="0"/>
      <w:outlineLvl w:val="6"/>
    </w:pPr>
    <w:rPr>
      <w:rFonts w:asciiTheme="majorHAnsi" w:eastAsiaTheme="majorEastAsia" w:hAnsiTheme="majorHAnsi" w:cstheme="majorBidi"/>
      <w:i/>
      <w:iCs/>
      <w:color w:val="073662" w:themeColor="accent1" w:themeShade="7F"/>
    </w:rPr>
  </w:style>
  <w:style w:type="paragraph" w:styleId="Titolo8">
    <w:name w:val="heading 8"/>
    <w:basedOn w:val="Normale"/>
    <w:next w:val="Normale"/>
    <w:link w:val="Titolo8Carattere"/>
    <w:uiPriority w:val="9"/>
    <w:unhideWhenUsed/>
    <w:qFormat/>
    <w:rsid w:val="00794F6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794F6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A54A8"/>
    <w:rPr>
      <w:rFonts w:ascii="Calibri" w:eastAsia="Times New Roman" w:hAnsi="Calibri" w:cs="Arial"/>
      <w:b/>
      <w:bCs/>
      <w:i/>
      <w:kern w:val="32"/>
      <w:sz w:val="28"/>
      <w:szCs w:val="32"/>
    </w:rPr>
  </w:style>
  <w:style w:type="character" w:customStyle="1" w:styleId="Titolo2Carattere">
    <w:name w:val="Titolo 2 Carattere"/>
    <w:basedOn w:val="Carpredefinitoparagrafo"/>
    <w:link w:val="Titolo2"/>
    <w:rsid w:val="00C77CB1"/>
    <w:rPr>
      <w:rFonts w:ascii="Calibri" w:eastAsia="Times New Roman" w:hAnsi="Calibri" w:cs="Arial"/>
      <w:b/>
      <w:bCs/>
      <w:iCs/>
      <w:sz w:val="26"/>
      <w:szCs w:val="28"/>
    </w:rPr>
  </w:style>
  <w:style w:type="character" w:customStyle="1" w:styleId="Titolo4Carattere">
    <w:name w:val="Titolo 4 Carattere"/>
    <w:basedOn w:val="Carpredefinitoparagrafo"/>
    <w:link w:val="Titolo4"/>
    <w:uiPriority w:val="9"/>
    <w:rsid w:val="00C77CB1"/>
    <w:rPr>
      <w:rFonts w:ascii="Calibri" w:eastAsia="Times New Roman" w:hAnsi="Calibri" w:cs="Times New Roman"/>
      <w:bCs/>
      <w:sz w:val="24"/>
      <w:szCs w:val="28"/>
    </w:rPr>
  </w:style>
  <w:style w:type="table" w:styleId="Grigliatabella">
    <w:name w:val="Table Grid"/>
    <w:basedOn w:val="Tabellanormale"/>
    <w:uiPriority w:val="39"/>
    <w:rsid w:val="000A3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rsid w:val="000A30FB"/>
  </w:style>
  <w:style w:type="character" w:customStyle="1" w:styleId="TestonotadichiusuraCarattere">
    <w:name w:val="Testo nota di chiusura Carattere"/>
    <w:link w:val="Testonotadichiusura"/>
    <w:uiPriority w:val="99"/>
    <w:locked/>
    <w:rsid w:val="000A30FB"/>
    <w:rPr>
      <w:rFonts w:ascii="Calibri" w:hAnsi="Calibri"/>
      <w:sz w:val="22"/>
      <w:lang w:val="it-IT" w:eastAsia="it-IT" w:bidi="ar-SA"/>
    </w:rPr>
  </w:style>
  <w:style w:type="paragraph" w:styleId="Testonotaapidipagina">
    <w:name w:val="footnote text"/>
    <w:basedOn w:val="Normale"/>
    <w:link w:val="TestonotaapidipaginaCarattere"/>
    <w:rsid w:val="000A30FB"/>
    <w:rPr>
      <w:sz w:val="20"/>
    </w:rPr>
  </w:style>
  <w:style w:type="character" w:customStyle="1" w:styleId="TestonotaapidipaginaCarattere">
    <w:name w:val="Testo nota a piè di pagina Carattere"/>
    <w:link w:val="Testonotaapidipagina"/>
    <w:locked/>
    <w:rsid w:val="000A30FB"/>
    <w:rPr>
      <w:rFonts w:ascii="Calibri" w:hAnsi="Calibri"/>
      <w:lang w:val="it-IT" w:eastAsia="it-IT" w:bidi="ar-SA"/>
    </w:rPr>
  </w:style>
  <w:style w:type="character" w:styleId="Rimandonotaapidipagina">
    <w:name w:val="footnote reference"/>
    <w:rsid w:val="000A30FB"/>
    <w:rPr>
      <w:vertAlign w:val="superscript"/>
    </w:rPr>
  </w:style>
  <w:style w:type="paragraph" w:customStyle="1" w:styleId="02testo">
    <w:name w:val="02_testo"/>
    <w:basedOn w:val="Normale"/>
    <w:link w:val="02testoCarattere"/>
    <w:rsid w:val="000A30FB"/>
    <w:pPr>
      <w:ind w:right="45"/>
    </w:pPr>
    <w:rPr>
      <w:szCs w:val="26"/>
    </w:rPr>
  </w:style>
  <w:style w:type="character" w:customStyle="1" w:styleId="02testoCarattere">
    <w:name w:val="02_testo Carattere"/>
    <w:link w:val="02testo"/>
    <w:rsid w:val="000A30FB"/>
    <w:rPr>
      <w:rFonts w:ascii="Calibri" w:hAnsi="Calibri"/>
      <w:sz w:val="22"/>
      <w:szCs w:val="26"/>
      <w:lang w:val="it-IT" w:eastAsia="it-IT" w:bidi="ar-SA"/>
    </w:rPr>
  </w:style>
  <w:style w:type="character" w:styleId="Collegamentoipertestuale">
    <w:name w:val="Hyperlink"/>
    <w:uiPriority w:val="99"/>
    <w:rsid w:val="000A30FB"/>
    <w:rPr>
      <w:color w:val="0000FF"/>
      <w:u w:val="single"/>
    </w:rPr>
  </w:style>
  <w:style w:type="paragraph" w:styleId="Didascalia">
    <w:name w:val="caption"/>
    <w:basedOn w:val="Normale"/>
    <w:next w:val="Normale"/>
    <w:unhideWhenUsed/>
    <w:qFormat/>
    <w:rsid w:val="00794F6F"/>
    <w:pPr>
      <w:spacing w:after="200" w:line="240" w:lineRule="auto"/>
    </w:pPr>
    <w:rPr>
      <w:i/>
      <w:iCs/>
      <w:color w:val="17406D" w:themeColor="text2"/>
      <w:sz w:val="18"/>
      <w:szCs w:val="18"/>
    </w:rPr>
  </w:style>
  <w:style w:type="paragraph" w:styleId="Corpotesto">
    <w:name w:val="Body Text"/>
    <w:basedOn w:val="Normale"/>
    <w:link w:val="CorpotestoCarattere"/>
    <w:uiPriority w:val="99"/>
    <w:rsid w:val="00E63BE3"/>
    <w:pPr>
      <w:spacing w:after="120"/>
    </w:pPr>
  </w:style>
  <w:style w:type="paragraph" w:styleId="Intestazione">
    <w:name w:val="header"/>
    <w:basedOn w:val="Normale"/>
    <w:link w:val="IntestazioneCarattere"/>
    <w:rsid w:val="001D01D3"/>
    <w:pPr>
      <w:tabs>
        <w:tab w:val="center" w:pos="4819"/>
        <w:tab w:val="right" w:pos="9638"/>
      </w:tabs>
    </w:pPr>
  </w:style>
  <w:style w:type="paragraph" w:styleId="Pidipagina">
    <w:name w:val="footer"/>
    <w:basedOn w:val="Normale"/>
    <w:link w:val="PidipaginaCarattere"/>
    <w:uiPriority w:val="99"/>
    <w:rsid w:val="001D01D3"/>
    <w:pPr>
      <w:tabs>
        <w:tab w:val="center" w:pos="4819"/>
        <w:tab w:val="right" w:pos="9638"/>
      </w:tabs>
    </w:pPr>
  </w:style>
  <w:style w:type="paragraph" w:customStyle="1" w:styleId="Intestazioneriga">
    <w:name w:val="Intestazione_riga"/>
    <w:basedOn w:val="Intestazione"/>
    <w:rsid w:val="001D01D3"/>
    <w:pPr>
      <w:pBdr>
        <w:top w:val="single" w:sz="4" w:space="1" w:color="auto"/>
      </w:pBdr>
    </w:pPr>
  </w:style>
  <w:style w:type="character" w:styleId="Numeropagina">
    <w:name w:val="page number"/>
    <w:basedOn w:val="Carpredefinitoparagrafo"/>
    <w:rsid w:val="001D01D3"/>
  </w:style>
  <w:style w:type="paragraph" w:customStyle="1" w:styleId="0titolo">
    <w:name w:val="0_titolo"/>
    <w:basedOn w:val="Titolo4"/>
    <w:next w:val="Normale"/>
    <w:rsid w:val="002F6812"/>
    <w:pPr>
      <w:numPr>
        <w:ilvl w:val="0"/>
        <w:numId w:val="2"/>
      </w:numPr>
      <w:tabs>
        <w:tab w:val="left" w:pos="1440"/>
      </w:tabs>
    </w:pPr>
    <w:rPr>
      <w:rFonts w:ascii="Times New (W1)" w:hAnsi="Times New (W1)"/>
      <w:caps/>
    </w:rPr>
  </w:style>
  <w:style w:type="paragraph" w:customStyle="1" w:styleId="TITOLOPARTE">
    <w:name w:val="TITOLO_PARTE"/>
    <w:basedOn w:val="Corpodeltesto3"/>
    <w:rsid w:val="00D13E2D"/>
    <w:pPr>
      <w:spacing w:after="0" w:line="360" w:lineRule="auto"/>
      <w:jc w:val="left"/>
    </w:pPr>
    <w:rPr>
      <w:b/>
      <w:bCs/>
      <w:caps/>
      <w:sz w:val="32"/>
      <w:szCs w:val="32"/>
    </w:rPr>
  </w:style>
  <w:style w:type="paragraph" w:styleId="Corpodeltesto3">
    <w:name w:val="Body Text 3"/>
    <w:basedOn w:val="Normale"/>
    <w:link w:val="Corpodeltesto3Carattere"/>
    <w:rsid w:val="00D13E2D"/>
    <w:pPr>
      <w:spacing w:after="120"/>
    </w:pPr>
    <w:rPr>
      <w:sz w:val="16"/>
      <w:szCs w:val="16"/>
    </w:rPr>
  </w:style>
  <w:style w:type="paragraph" w:customStyle="1" w:styleId="StileTITOLOPARTE">
    <w:name w:val="Stile TITOLO_PARTE"/>
    <w:basedOn w:val="TITOLOPARTE"/>
    <w:rsid w:val="00D13E2D"/>
    <w:pPr>
      <w:spacing w:after="120" w:line="240" w:lineRule="auto"/>
    </w:pPr>
    <w:rPr>
      <w:sz w:val="28"/>
      <w:szCs w:val="20"/>
    </w:rPr>
  </w:style>
  <w:style w:type="paragraph" w:customStyle="1" w:styleId="TITOLODOC">
    <w:name w:val="TITOLO_DOC"/>
    <w:basedOn w:val="TITOLOPARTE"/>
    <w:rsid w:val="00D13E2D"/>
    <w:pPr>
      <w:pBdr>
        <w:top w:val="single" w:sz="6" w:space="1" w:color="3366FF" w:shadow="1"/>
        <w:left w:val="single" w:sz="6" w:space="4" w:color="3366FF" w:shadow="1"/>
        <w:bottom w:val="single" w:sz="6" w:space="1" w:color="3366FF" w:shadow="1"/>
        <w:right w:val="single" w:sz="6" w:space="4" w:color="3366FF" w:shadow="1"/>
      </w:pBdr>
      <w:spacing w:after="120" w:line="240" w:lineRule="auto"/>
      <w:jc w:val="center"/>
    </w:pPr>
    <w:rPr>
      <w:color w:val="3366FF"/>
      <w:sz w:val="36"/>
      <w:szCs w:val="20"/>
    </w:rPr>
  </w:style>
  <w:style w:type="paragraph" w:styleId="Sommario1">
    <w:name w:val="toc 1"/>
    <w:basedOn w:val="Normale"/>
    <w:next w:val="Normale"/>
    <w:autoRedefine/>
    <w:uiPriority w:val="39"/>
    <w:rsid w:val="00574A79"/>
    <w:pPr>
      <w:tabs>
        <w:tab w:val="left" w:pos="440"/>
        <w:tab w:val="right" w:leader="dot" w:pos="9060"/>
      </w:tabs>
      <w:spacing w:before="240" w:after="120" w:line="240" w:lineRule="auto"/>
    </w:pPr>
  </w:style>
  <w:style w:type="paragraph" w:styleId="Sommario2">
    <w:name w:val="toc 2"/>
    <w:basedOn w:val="Normale"/>
    <w:next w:val="Normale"/>
    <w:autoRedefine/>
    <w:uiPriority w:val="39"/>
    <w:rsid w:val="00574A79"/>
    <w:pPr>
      <w:tabs>
        <w:tab w:val="left" w:pos="880"/>
        <w:tab w:val="right" w:leader="dot" w:pos="9072"/>
      </w:tabs>
      <w:spacing w:before="120" w:after="0" w:line="240" w:lineRule="auto"/>
      <w:ind w:left="221"/>
    </w:pPr>
  </w:style>
  <w:style w:type="paragraph" w:styleId="Sommario3">
    <w:name w:val="toc 3"/>
    <w:basedOn w:val="Normale"/>
    <w:next w:val="Normale"/>
    <w:autoRedefine/>
    <w:uiPriority w:val="39"/>
    <w:rsid w:val="00574A79"/>
    <w:pPr>
      <w:tabs>
        <w:tab w:val="left" w:pos="1320"/>
        <w:tab w:val="right" w:leader="dot" w:pos="9060"/>
      </w:tabs>
      <w:spacing w:before="20" w:after="20" w:line="240" w:lineRule="auto"/>
      <w:ind w:left="442"/>
    </w:pPr>
  </w:style>
  <w:style w:type="paragraph" w:customStyle="1" w:styleId="NormaleGrassetto">
    <w:name w:val="Normale + Grassetto"/>
    <w:basedOn w:val="NormaleWeb"/>
    <w:rsid w:val="00544510"/>
    <w:rPr>
      <w:rFonts w:ascii="Calibri" w:hAnsi="Calibri"/>
      <w:b/>
      <w:bCs/>
      <w:sz w:val="22"/>
      <w:szCs w:val="22"/>
    </w:rPr>
  </w:style>
  <w:style w:type="paragraph" w:styleId="NormaleWeb">
    <w:name w:val="Normal (Web)"/>
    <w:basedOn w:val="Normale"/>
    <w:uiPriority w:val="99"/>
    <w:rsid w:val="00544510"/>
    <w:rPr>
      <w:rFonts w:ascii="Times New Roman" w:hAnsi="Times New Roman"/>
      <w:sz w:val="24"/>
      <w:szCs w:val="24"/>
    </w:rPr>
  </w:style>
  <w:style w:type="paragraph" w:customStyle="1" w:styleId="Didascalia2">
    <w:name w:val="Didascalia2"/>
    <w:basedOn w:val="Normale"/>
    <w:next w:val="Normale"/>
    <w:rsid w:val="00544510"/>
    <w:pPr>
      <w:suppressAutoHyphens/>
      <w:spacing w:before="60" w:after="240"/>
      <w:ind w:firstLine="709"/>
      <w:jc w:val="center"/>
    </w:pPr>
    <w:rPr>
      <w:b/>
      <w:bCs/>
      <w:sz w:val="20"/>
      <w:lang w:eastAsia="ar-SA"/>
    </w:rPr>
  </w:style>
  <w:style w:type="paragraph" w:customStyle="1" w:styleId="western">
    <w:name w:val="western"/>
    <w:basedOn w:val="Normale"/>
    <w:rsid w:val="00C306F0"/>
    <w:pPr>
      <w:spacing w:before="100" w:beforeAutospacing="1" w:after="142" w:line="288" w:lineRule="auto"/>
    </w:pPr>
    <w:rPr>
      <w:rFonts w:ascii="Liberation Sans" w:hAnsi="Liberation Sans" w:cs="Liberation Sans"/>
      <w:color w:val="333333"/>
    </w:rPr>
  </w:style>
  <w:style w:type="paragraph" w:customStyle="1" w:styleId="Corpodeltesto21">
    <w:name w:val="Corpo del testo 21"/>
    <w:basedOn w:val="Normale"/>
    <w:rsid w:val="00E174DC"/>
    <w:pPr>
      <w:suppressAutoHyphens/>
      <w:autoSpaceDE w:val="0"/>
      <w:spacing w:after="120"/>
      <w:jc w:val="left"/>
    </w:pPr>
    <w:rPr>
      <w:rFonts w:ascii="Times New Roman" w:eastAsia="Lohit Hindi" w:hAnsi="Times New Roman"/>
      <w:kern w:val="1"/>
      <w:sz w:val="24"/>
      <w:szCs w:val="24"/>
      <w:lang w:eastAsia="zh-CN"/>
    </w:rPr>
  </w:style>
  <w:style w:type="paragraph" w:customStyle="1" w:styleId="western1">
    <w:name w:val="western1"/>
    <w:basedOn w:val="Normale"/>
    <w:rsid w:val="006D38F4"/>
    <w:pPr>
      <w:spacing w:before="227" w:line="360" w:lineRule="auto"/>
    </w:pPr>
    <w:rPr>
      <w:rFonts w:ascii="Liberation Sans" w:hAnsi="Liberation Sans" w:cs="Liberation Sans"/>
      <w:color w:val="333333"/>
    </w:rPr>
  </w:style>
  <w:style w:type="paragraph" w:styleId="Numeroelenco3">
    <w:name w:val="List Number 3"/>
    <w:basedOn w:val="Normale"/>
    <w:rsid w:val="0028064D"/>
    <w:pPr>
      <w:numPr>
        <w:numId w:val="3"/>
      </w:numPr>
    </w:pPr>
    <w:rPr>
      <w:rFonts w:ascii="Arial" w:hAnsi="Arial"/>
    </w:rPr>
  </w:style>
  <w:style w:type="paragraph" w:customStyle="1" w:styleId="Default">
    <w:name w:val="Default"/>
    <w:rsid w:val="00252A40"/>
    <w:pPr>
      <w:autoSpaceDE w:val="0"/>
      <w:autoSpaceDN w:val="0"/>
      <w:adjustRightInd w:val="0"/>
    </w:pPr>
    <w:rPr>
      <w:rFonts w:ascii="Calibri" w:hAnsi="Calibri" w:cs="Calibri"/>
      <w:color w:val="000000"/>
      <w:sz w:val="24"/>
      <w:szCs w:val="24"/>
      <w:lang w:eastAsia="en-US"/>
    </w:rPr>
  </w:style>
  <w:style w:type="paragraph" w:customStyle="1" w:styleId="StileNeroprima6ptDopo6pt">
    <w:name w:val="Stile Nero prima 6 pt Dopo:  6 pt"/>
    <w:basedOn w:val="Normale"/>
    <w:rsid w:val="009C1F32"/>
    <w:pPr>
      <w:spacing w:after="120" w:line="360" w:lineRule="auto"/>
    </w:pPr>
    <w:rPr>
      <w:color w:val="000000"/>
    </w:rPr>
  </w:style>
  <w:style w:type="paragraph" w:customStyle="1" w:styleId="Stileprima6ptDopo6pt">
    <w:name w:val="Stile prima 6 pt Dopo:  6 pt"/>
    <w:basedOn w:val="Normale"/>
    <w:rsid w:val="009C1F32"/>
    <w:pPr>
      <w:spacing w:after="120" w:line="360" w:lineRule="auto"/>
    </w:pPr>
  </w:style>
  <w:style w:type="paragraph" w:customStyle="1" w:styleId="03ELENCO">
    <w:name w:val="03_ELENCO"/>
    <w:basedOn w:val="Testonormale"/>
    <w:rsid w:val="009C1F32"/>
    <w:pPr>
      <w:numPr>
        <w:numId w:val="4"/>
      </w:numPr>
      <w:spacing w:after="120"/>
      <w:ind w:right="45"/>
    </w:pPr>
    <w:rPr>
      <w:rFonts w:ascii="Times New Roman" w:eastAsia="MS Mincho" w:hAnsi="Times New Roman" w:cs="Times New Roman"/>
      <w:sz w:val="26"/>
      <w:szCs w:val="24"/>
    </w:rPr>
  </w:style>
  <w:style w:type="paragraph" w:styleId="Testonormale">
    <w:name w:val="Plain Text"/>
    <w:basedOn w:val="Normale"/>
    <w:link w:val="TestonormaleCarattere"/>
    <w:rsid w:val="009C1F32"/>
    <w:rPr>
      <w:rFonts w:ascii="Courier New" w:hAnsi="Courier New" w:cs="Courier New"/>
    </w:rPr>
  </w:style>
  <w:style w:type="paragraph" w:customStyle="1" w:styleId="01TitoloCapitolo">
    <w:name w:val="01_Titolo_Capitolo"/>
    <w:basedOn w:val="Normale"/>
    <w:rsid w:val="009C1F32"/>
    <w:pPr>
      <w:numPr>
        <w:numId w:val="5"/>
      </w:numPr>
      <w:tabs>
        <w:tab w:val="clear" w:pos="0"/>
      </w:tabs>
    </w:pPr>
    <w:rPr>
      <w:b/>
      <w:bCs/>
      <w:caps/>
      <w:sz w:val="26"/>
      <w:szCs w:val="26"/>
    </w:rPr>
  </w:style>
  <w:style w:type="paragraph" w:customStyle="1" w:styleId="01titoloparagrafo">
    <w:name w:val="01_titolo_paragrafo"/>
    <w:basedOn w:val="01TitoloCapitolo"/>
    <w:rsid w:val="009C1F32"/>
    <w:pPr>
      <w:numPr>
        <w:ilvl w:val="1"/>
      </w:numPr>
    </w:pPr>
    <w:rPr>
      <w:caps w:val="0"/>
    </w:rPr>
  </w:style>
  <w:style w:type="paragraph" w:customStyle="1" w:styleId="Testo1">
    <w:name w:val="Testo1"/>
    <w:basedOn w:val="Normale"/>
    <w:rsid w:val="009C1F32"/>
    <w:pPr>
      <w:tabs>
        <w:tab w:val="left" w:pos="8505"/>
      </w:tabs>
      <w:ind w:right="1275"/>
    </w:pPr>
    <w:rPr>
      <w:sz w:val="24"/>
      <w:szCs w:val="24"/>
    </w:rPr>
  </w:style>
  <w:style w:type="paragraph" w:customStyle="1" w:styleId="Arial">
    <w:name w:val="Arial"/>
    <w:basedOn w:val="Corpotesto"/>
    <w:uiPriority w:val="99"/>
    <w:rsid w:val="009C1F32"/>
    <w:pPr>
      <w:spacing w:after="100" w:afterAutospacing="1"/>
    </w:pPr>
    <w:rPr>
      <w:rFonts w:ascii="Arial" w:hAnsi="Arial" w:cs="Arial"/>
      <w:sz w:val="24"/>
      <w:szCs w:val="24"/>
    </w:rPr>
  </w:style>
  <w:style w:type="paragraph" w:styleId="Titolo">
    <w:name w:val="Title"/>
    <w:basedOn w:val="Normale"/>
    <w:next w:val="Normale"/>
    <w:link w:val="TitoloCarattere"/>
    <w:uiPriority w:val="10"/>
    <w:qFormat/>
    <w:rsid w:val="00794F6F"/>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BaseTitolo">
    <w:name w:val="Base Titolo"/>
    <w:basedOn w:val="Default"/>
    <w:next w:val="Default"/>
    <w:rsid w:val="009C1F32"/>
    <w:rPr>
      <w:rFonts w:ascii="Baskerville Old Face" w:hAnsi="Baskerville Old Face" w:cs="Times New Roman"/>
      <w:color w:val="auto"/>
      <w:lang w:eastAsia="it-IT"/>
    </w:rPr>
  </w:style>
  <w:style w:type="paragraph" w:styleId="Testocommento">
    <w:name w:val="annotation text"/>
    <w:basedOn w:val="Normale"/>
    <w:link w:val="TestocommentoCarattere"/>
    <w:uiPriority w:val="99"/>
    <w:rsid w:val="009C1F32"/>
  </w:style>
  <w:style w:type="table" w:styleId="TabellaWeb2">
    <w:name w:val="Table Web 2"/>
    <w:basedOn w:val="TabellaWeb1"/>
    <w:rsid w:val="009C1F32"/>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rFonts w:cs="Times New Roman"/>
        <w:color w:val="auto"/>
      </w:rPr>
      <w:tblPr/>
      <w:tcPr>
        <w:tcBorders>
          <w:tl2br w:val="none" w:sz="0" w:space="0" w:color="auto"/>
          <w:tr2bl w:val="none" w:sz="0" w:space="0" w:color="auto"/>
        </w:tcBorders>
      </w:tcPr>
    </w:tblStylePr>
  </w:style>
  <w:style w:type="table" w:styleId="TabellaWeb1">
    <w:name w:val="Table Web 1"/>
    <w:basedOn w:val="Tabellanormale"/>
    <w:rsid w:val="009C1F3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orpodeltesto2">
    <w:name w:val="Body Text 2"/>
    <w:basedOn w:val="Normale"/>
    <w:link w:val="Corpodeltesto2Carattere"/>
    <w:rsid w:val="009C1F32"/>
    <w:pPr>
      <w:spacing w:after="120" w:line="480" w:lineRule="auto"/>
    </w:pPr>
  </w:style>
  <w:style w:type="paragraph" w:customStyle="1" w:styleId="StileTitolo1TimesNewRoman13ptGiustificatoprima0pt">
    <w:name w:val="Stile Titolo 1 + Times New Roman 13 pt Giustificato prima 0 pt ..."/>
    <w:basedOn w:val="Titolo1"/>
    <w:rsid w:val="009C1F32"/>
    <w:pPr>
      <w:numPr>
        <w:numId w:val="1"/>
      </w:numPr>
      <w:spacing w:before="0"/>
    </w:pPr>
    <w:rPr>
      <w:rFonts w:ascii="Times New Roman" w:hAnsi="Times New Roman" w:cs="Times New Roman"/>
      <w:sz w:val="26"/>
      <w:szCs w:val="20"/>
    </w:rPr>
  </w:style>
  <w:style w:type="paragraph" w:customStyle="1" w:styleId="TitoloParte0">
    <w:name w:val="Titolo Parte"/>
    <w:basedOn w:val="Titolo1"/>
    <w:rsid w:val="009C1F32"/>
    <w:pPr>
      <w:numPr>
        <w:numId w:val="0"/>
      </w:numPr>
      <w:tabs>
        <w:tab w:val="num" w:pos="720"/>
      </w:tabs>
      <w:ind w:left="720" w:hanging="360"/>
    </w:pPr>
  </w:style>
  <w:style w:type="paragraph" w:customStyle="1" w:styleId="StileTitolo113ptTuttomaiuscole">
    <w:name w:val="Stile Titolo 1 + 13 pt Tutto maiuscole"/>
    <w:basedOn w:val="Titolo1"/>
    <w:link w:val="StileTitolo113ptTuttomaiuscoleCarattere"/>
    <w:rsid w:val="009C1F32"/>
    <w:pPr>
      <w:numPr>
        <w:numId w:val="0"/>
      </w:numPr>
      <w:tabs>
        <w:tab w:val="num" w:pos="720"/>
      </w:tabs>
      <w:ind w:left="351" w:hanging="357"/>
    </w:pPr>
    <w:rPr>
      <w:iCs/>
      <w:caps/>
      <w:sz w:val="26"/>
    </w:rPr>
  </w:style>
  <w:style w:type="character" w:customStyle="1" w:styleId="StileTitolo113ptTuttomaiuscoleCarattere">
    <w:name w:val="Stile Titolo 1 + 13 pt Tutto maiuscole Carattere"/>
    <w:link w:val="StileTitolo113ptTuttomaiuscole"/>
    <w:rsid w:val="009C1F32"/>
    <w:rPr>
      <w:rFonts w:ascii="Calibri" w:hAnsi="Calibri" w:cs="Arial"/>
      <w:b/>
      <w:bCs/>
      <w:i/>
      <w:iCs/>
      <w:caps/>
      <w:kern w:val="32"/>
      <w:sz w:val="26"/>
      <w:szCs w:val="32"/>
    </w:rPr>
  </w:style>
  <w:style w:type="paragraph" w:customStyle="1" w:styleId="StileCompetenza">
    <w:name w:val="StileCompetenza"/>
    <w:basedOn w:val="Normale"/>
    <w:link w:val="StileCompetenzaCarattere"/>
    <w:rsid w:val="009C1F32"/>
    <w:pPr>
      <w:spacing w:after="120"/>
    </w:pPr>
    <w:rPr>
      <w:i/>
      <w:szCs w:val="24"/>
    </w:rPr>
  </w:style>
  <w:style w:type="character" w:customStyle="1" w:styleId="StileCompetenzaCarattere">
    <w:name w:val="StileCompetenza Carattere"/>
    <w:link w:val="StileCompetenza"/>
    <w:rsid w:val="009C1F32"/>
    <w:rPr>
      <w:rFonts w:ascii="Calibri" w:hAnsi="Calibri"/>
      <w:i/>
      <w:sz w:val="22"/>
      <w:szCs w:val="24"/>
      <w:lang w:val="it-IT" w:eastAsia="it-IT" w:bidi="ar-SA"/>
    </w:rPr>
  </w:style>
  <w:style w:type="paragraph" w:styleId="Indice1">
    <w:name w:val="index 1"/>
    <w:basedOn w:val="Normale"/>
    <w:next w:val="Normale"/>
    <w:autoRedefine/>
    <w:rsid w:val="009C1F32"/>
    <w:pPr>
      <w:ind w:left="240" w:hanging="240"/>
    </w:pPr>
  </w:style>
  <w:style w:type="paragraph" w:customStyle="1" w:styleId="StileGiustificato">
    <w:name w:val="Stile Giustificato"/>
    <w:basedOn w:val="Normale"/>
    <w:rsid w:val="009C1F32"/>
    <w:rPr>
      <w:rFonts w:ascii="Times New Roman" w:hAnsi="Times New Roman"/>
      <w:sz w:val="26"/>
    </w:rPr>
  </w:style>
  <w:style w:type="paragraph" w:customStyle="1" w:styleId="01titoloetto">
    <w:name w:val="01_titoloetto"/>
    <w:basedOn w:val="01titoloparagrafo"/>
    <w:rsid w:val="009C1F32"/>
    <w:pPr>
      <w:numPr>
        <w:ilvl w:val="0"/>
        <w:numId w:val="0"/>
      </w:numPr>
      <w:ind w:left="907" w:hanging="680"/>
    </w:pPr>
    <w:rPr>
      <w:rFonts w:ascii="Times New Roman" w:hAnsi="Times New Roman"/>
      <w:b w:val="0"/>
      <w:i/>
    </w:rPr>
  </w:style>
  <w:style w:type="paragraph" w:customStyle="1" w:styleId="04Didascalie">
    <w:name w:val="04_Didascalie"/>
    <w:basedOn w:val="Normale"/>
    <w:link w:val="04DidascalieCarattere"/>
    <w:rsid w:val="009C1F32"/>
    <w:pPr>
      <w:jc w:val="center"/>
    </w:pPr>
    <w:rPr>
      <w:rFonts w:ascii="Times New Roman" w:hAnsi="Times New Roman"/>
      <w:b/>
      <w:bCs/>
      <w:i/>
      <w:sz w:val="24"/>
      <w:szCs w:val="24"/>
    </w:rPr>
  </w:style>
  <w:style w:type="character" w:customStyle="1" w:styleId="04DidascalieCarattere">
    <w:name w:val="04_Didascalie Carattere"/>
    <w:link w:val="04Didascalie"/>
    <w:rsid w:val="009C1F32"/>
    <w:rPr>
      <w:b/>
      <w:bCs/>
      <w:i/>
      <w:sz w:val="24"/>
      <w:szCs w:val="24"/>
      <w:lang w:val="it-IT" w:eastAsia="it-IT" w:bidi="ar-SA"/>
    </w:rPr>
  </w:style>
  <w:style w:type="paragraph" w:customStyle="1" w:styleId="04notatabella">
    <w:name w:val="04_nota_tabella"/>
    <w:basedOn w:val="02testo"/>
    <w:rsid w:val="009C1F32"/>
    <w:pPr>
      <w:jc w:val="right"/>
    </w:pPr>
    <w:rPr>
      <w:rFonts w:ascii="Times New Roman" w:hAnsi="Times New Roman"/>
      <w:noProof/>
      <w:sz w:val="20"/>
      <w:szCs w:val="20"/>
    </w:rPr>
  </w:style>
  <w:style w:type="paragraph" w:customStyle="1" w:styleId="02TESTOPRE-ELENCO">
    <w:name w:val="02_TESTO_PRE-ELENCO"/>
    <w:basedOn w:val="02testo"/>
    <w:link w:val="02TESTOPRE-ELENCOCarattere"/>
    <w:rsid w:val="009C1F32"/>
    <w:pPr>
      <w:spacing w:after="120"/>
    </w:pPr>
    <w:rPr>
      <w:rFonts w:ascii="Times New Roman" w:hAnsi="Times New Roman"/>
    </w:rPr>
  </w:style>
  <w:style w:type="character" w:customStyle="1" w:styleId="02TESTOPRE-ELENCOCarattere">
    <w:name w:val="02_TESTO_PRE-ELENCO Carattere"/>
    <w:basedOn w:val="02testoCarattere"/>
    <w:link w:val="02TESTOPRE-ELENCO"/>
    <w:rsid w:val="009C1F32"/>
    <w:rPr>
      <w:rFonts w:ascii="Calibri" w:hAnsi="Calibri"/>
      <w:sz w:val="22"/>
      <w:szCs w:val="26"/>
      <w:lang w:val="it-IT" w:eastAsia="it-IT" w:bidi="ar-SA"/>
    </w:rPr>
  </w:style>
  <w:style w:type="paragraph" w:styleId="Testofumetto">
    <w:name w:val="Balloon Text"/>
    <w:basedOn w:val="Normale"/>
    <w:link w:val="TestofumettoCarattere"/>
    <w:uiPriority w:val="99"/>
    <w:semiHidden/>
    <w:rsid w:val="009C1F32"/>
    <w:rPr>
      <w:rFonts w:ascii="Tahoma" w:hAnsi="Tahoma" w:cs="Tahoma"/>
      <w:sz w:val="16"/>
      <w:szCs w:val="16"/>
    </w:rPr>
  </w:style>
  <w:style w:type="table" w:customStyle="1" w:styleId="Tabella">
    <w:name w:val="Tabella"/>
    <w:basedOn w:val="Grigliatabella"/>
    <w:rsid w:val="009C1F32"/>
    <w:pPr>
      <w:spacing w:before="120"/>
      <w:ind w:firstLine="567"/>
      <w:jc w:val="both"/>
    </w:pPr>
    <w:rPr>
      <w:rFonts w:ascii="Tahoma" w:hAnsi="Tahoma"/>
    </w:rPr>
    <w:tblPr/>
  </w:style>
  <w:style w:type="paragraph" w:styleId="Soggettocommento">
    <w:name w:val="annotation subject"/>
    <w:basedOn w:val="Testocommento"/>
    <w:next w:val="Testocommento"/>
    <w:link w:val="SoggettocommentoCarattere"/>
    <w:rsid w:val="009C1F32"/>
    <w:rPr>
      <w:b/>
      <w:bCs/>
      <w:sz w:val="20"/>
    </w:rPr>
  </w:style>
  <w:style w:type="paragraph" w:customStyle="1" w:styleId="Didascalia1">
    <w:name w:val="Didascalia1"/>
    <w:basedOn w:val="Normale"/>
    <w:next w:val="Normale"/>
    <w:rsid w:val="009C1F32"/>
    <w:pPr>
      <w:suppressAutoHyphens/>
      <w:spacing w:before="60" w:after="240"/>
      <w:jc w:val="center"/>
    </w:pPr>
    <w:rPr>
      <w:rFonts w:cs="Arial"/>
      <w:b/>
      <w:bCs/>
      <w:sz w:val="20"/>
      <w:lang w:eastAsia="ar-SA"/>
    </w:rPr>
  </w:style>
  <w:style w:type="paragraph" w:styleId="PreformattatoHTML">
    <w:name w:val="HTML Preformatted"/>
    <w:basedOn w:val="Normale"/>
    <w:link w:val="PreformattatoHTMLCarattere"/>
    <w:uiPriority w:val="99"/>
    <w:rsid w:val="009C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customStyle="1" w:styleId="TableContents">
    <w:name w:val="Table Contents"/>
    <w:basedOn w:val="Normale"/>
    <w:rsid w:val="009C1F32"/>
    <w:pPr>
      <w:widowControl w:val="0"/>
      <w:suppressLineNumbers/>
      <w:suppressAutoHyphens/>
      <w:jc w:val="left"/>
    </w:pPr>
    <w:rPr>
      <w:rFonts w:ascii="Times New Roman" w:eastAsia="Droid Sans Fallback" w:hAnsi="Times New Roman" w:cs="Lohit Hindi"/>
      <w:kern w:val="1"/>
      <w:sz w:val="24"/>
      <w:szCs w:val="24"/>
      <w:lang w:val="en-US" w:eastAsia="zh-CN" w:bidi="hi-IN"/>
    </w:rPr>
  </w:style>
  <w:style w:type="paragraph" w:customStyle="1" w:styleId="Titolo1Fin">
    <w:name w:val="Titolo 1 Fin"/>
    <w:basedOn w:val="Titolo1"/>
    <w:rsid w:val="009C1F32"/>
    <w:pPr>
      <w:numPr>
        <w:numId w:val="0"/>
      </w:numPr>
      <w:tabs>
        <w:tab w:val="num" w:pos="360"/>
      </w:tabs>
      <w:spacing w:after="480"/>
      <w:ind w:left="360" w:hanging="360"/>
    </w:pPr>
    <w:rPr>
      <w:rFonts w:ascii="Arial" w:hAnsi="Arial"/>
    </w:rPr>
  </w:style>
  <w:style w:type="paragraph" w:customStyle="1" w:styleId="Stile">
    <w:name w:val="Stile"/>
    <w:rsid w:val="009C1F32"/>
    <w:pPr>
      <w:widowControl w:val="0"/>
      <w:autoSpaceDE w:val="0"/>
      <w:autoSpaceDN w:val="0"/>
      <w:adjustRightInd w:val="0"/>
    </w:pPr>
    <w:rPr>
      <w:sz w:val="24"/>
      <w:szCs w:val="24"/>
    </w:rPr>
  </w:style>
  <w:style w:type="paragraph" w:customStyle="1" w:styleId="grassetto">
    <w:name w:val="grassetto"/>
    <w:basedOn w:val="Normale"/>
    <w:rsid w:val="009C1F32"/>
    <w:pPr>
      <w:spacing w:before="100" w:beforeAutospacing="1" w:after="100" w:afterAutospacing="1"/>
      <w:jc w:val="left"/>
    </w:pPr>
    <w:rPr>
      <w:rFonts w:ascii="Times New Roman" w:hAnsi="Times New Roman"/>
      <w:sz w:val="24"/>
      <w:szCs w:val="24"/>
    </w:rPr>
  </w:style>
  <w:style w:type="paragraph" w:styleId="Data">
    <w:name w:val="Date"/>
    <w:basedOn w:val="Normale"/>
    <w:next w:val="Normale"/>
    <w:link w:val="DataCarattere"/>
    <w:rsid w:val="009C1F32"/>
    <w:rPr>
      <w:rFonts w:ascii="Arial" w:hAnsi="Arial"/>
    </w:rPr>
  </w:style>
  <w:style w:type="paragraph" w:styleId="Elenco">
    <w:name w:val="List"/>
    <w:basedOn w:val="Normale"/>
    <w:rsid w:val="009C1F32"/>
    <w:pPr>
      <w:ind w:left="283" w:hanging="283"/>
    </w:pPr>
    <w:rPr>
      <w:rFonts w:ascii="Arial" w:hAnsi="Arial"/>
    </w:rPr>
  </w:style>
  <w:style w:type="paragraph" w:styleId="Elenco2">
    <w:name w:val="List 2"/>
    <w:basedOn w:val="Normale"/>
    <w:rsid w:val="009C1F32"/>
    <w:pPr>
      <w:ind w:left="566" w:hanging="283"/>
    </w:pPr>
    <w:rPr>
      <w:rFonts w:ascii="Arial" w:hAnsi="Arial"/>
    </w:rPr>
  </w:style>
  <w:style w:type="paragraph" w:styleId="Elenco3">
    <w:name w:val="List 3"/>
    <w:basedOn w:val="Normale"/>
    <w:rsid w:val="009C1F32"/>
    <w:pPr>
      <w:ind w:left="849" w:hanging="283"/>
    </w:pPr>
    <w:rPr>
      <w:rFonts w:ascii="Arial" w:hAnsi="Arial"/>
    </w:rPr>
  </w:style>
  <w:style w:type="paragraph" w:styleId="Elenco4">
    <w:name w:val="List 4"/>
    <w:basedOn w:val="Normale"/>
    <w:rsid w:val="009C1F32"/>
    <w:pPr>
      <w:ind w:left="1132" w:hanging="283"/>
    </w:pPr>
    <w:rPr>
      <w:rFonts w:ascii="Arial" w:hAnsi="Arial"/>
    </w:rPr>
  </w:style>
  <w:style w:type="paragraph" w:styleId="Elenco5">
    <w:name w:val="List 5"/>
    <w:basedOn w:val="Normale"/>
    <w:rsid w:val="009C1F32"/>
    <w:pPr>
      <w:ind w:left="1415" w:hanging="283"/>
    </w:pPr>
    <w:rPr>
      <w:rFonts w:ascii="Arial" w:hAnsi="Arial"/>
    </w:rPr>
  </w:style>
  <w:style w:type="paragraph" w:styleId="Elencocontinua">
    <w:name w:val="List Continue"/>
    <w:basedOn w:val="Normale"/>
    <w:rsid w:val="009C1F32"/>
    <w:pPr>
      <w:spacing w:after="120"/>
      <w:ind w:left="283"/>
    </w:pPr>
    <w:rPr>
      <w:rFonts w:ascii="Arial" w:hAnsi="Arial"/>
    </w:rPr>
  </w:style>
  <w:style w:type="paragraph" w:styleId="Elencocontinua2">
    <w:name w:val="List Continue 2"/>
    <w:basedOn w:val="Normale"/>
    <w:rsid w:val="009C1F32"/>
    <w:pPr>
      <w:spacing w:after="120"/>
      <w:ind w:left="566"/>
    </w:pPr>
    <w:rPr>
      <w:rFonts w:ascii="Arial" w:hAnsi="Arial"/>
    </w:rPr>
  </w:style>
  <w:style w:type="paragraph" w:styleId="Elencocontinua3">
    <w:name w:val="List Continue 3"/>
    <w:basedOn w:val="Normale"/>
    <w:rsid w:val="009C1F32"/>
    <w:pPr>
      <w:spacing w:after="120"/>
      <w:ind w:left="849"/>
    </w:pPr>
    <w:rPr>
      <w:rFonts w:ascii="Arial" w:hAnsi="Arial"/>
    </w:rPr>
  </w:style>
  <w:style w:type="paragraph" w:styleId="Elencocontinua4">
    <w:name w:val="List Continue 4"/>
    <w:basedOn w:val="Normale"/>
    <w:rsid w:val="009C1F32"/>
    <w:pPr>
      <w:spacing w:after="120"/>
      <w:ind w:left="1132"/>
    </w:pPr>
    <w:rPr>
      <w:rFonts w:ascii="Arial" w:hAnsi="Arial"/>
    </w:rPr>
  </w:style>
  <w:style w:type="paragraph" w:styleId="Elencocontinua5">
    <w:name w:val="List Continue 5"/>
    <w:basedOn w:val="Normale"/>
    <w:rsid w:val="009C1F32"/>
    <w:pPr>
      <w:spacing w:after="120"/>
      <w:ind w:left="1415"/>
    </w:pPr>
    <w:rPr>
      <w:rFonts w:ascii="Arial" w:hAnsi="Arial"/>
    </w:rPr>
  </w:style>
  <w:style w:type="paragraph" w:styleId="Firma">
    <w:name w:val="Signature"/>
    <w:basedOn w:val="Normale"/>
    <w:link w:val="FirmaCarattere"/>
    <w:rsid w:val="009C1F32"/>
    <w:pPr>
      <w:ind w:left="4252"/>
    </w:pPr>
    <w:rPr>
      <w:rFonts w:ascii="Arial" w:hAnsi="Arial"/>
    </w:rPr>
  </w:style>
  <w:style w:type="paragraph" w:styleId="Firmadipostaelettronica">
    <w:name w:val="E-mail Signature"/>
    <w:basedOn w:val="Normale"/>
    <w:link w:val="FirmadipostaelettronicaCarattere"/>
    <w:rsid w:val="009C1F32"/>
    <w:rPr>
      <w:rFonts w:ascii="Arial" w:hAnsi="Arial"/>
    </w:rPr>
  </w:style>
  <w:style w:type="paragraph" w:styleId="Formuladiapertura">
    <w:name w:val="Salutation"/>
    <w:basedOn w:val="Normale"/>
    <w:next w:val="Normale"/>
    <w:link w:val="FormuladiaperturaCarattere"/>
    <w:rsid w:val="009C1F32"/>
    <w:rPr>
      <w:rFonts w:ascii="Arial" w:hAnsi="Arial"/>
    </w:rPr>
  </w:style>
  <w:style w:type="paragraph" w:styleId="Formuladichiusura">
    <w:name w:val="Closing"/>
    <w:basedOn w:val="Normale"/>
    <w:link w:val="FormuladichiusuraCarattere"/>
    <w:rsid w:val="009C1F32"/>
    <w:pPr>
      <w:ind w:left="4252"/>
    </w:pPr>
    <w:rPr>
      <w:rFonts w:ascii="Arial" w:hAnsi="Arial"/>
    </w:rPr>
  </w:style>
  <w:style w:type="paragraph" w:styleId="Indice2">
    <w:name w:val="index 2"/>
    <w:basedOn w:val="Normale"/>
    <w:next w:val="Normale"/>
    <w:autoRedefine/>
    <w:rsid w:val="009C1F32"/>
    <w:pPr>
      <w:ind w:left="440" w:hanging="220"/>
    </w:pPr>
    <w:rPr>
      <w:rFonts w:ascii="Arial" w:hAnsi="Arial"/>
    </w:rPr>
  </w:style>
  <w:style w:type="paragraph" w:styleId="Indice3">
    <w:name w:val="index 3"/>
    <w:basedOn w:val="Normale"/>
    <w:next w:val="Normale"/>
    <w:autoRedefine/>
    <w:rsid w:val="009C1F32"/>
    <w:pPr>
      <w:ind w:left="660" w:hanging="220"/>
    </w:pPr>
    <w:rPr>
      <w:rFonts w:ascii="Arial" w:hAnsi="Arial"/>
    </w:rPr>
  </w:style>
  <w:style w:type="paragraph" w:styleId="Indice4">
    <w:name w:val="index 4"/>
    <w:basedOn w:val="Normale"/>
    <w:next w:val="Normale"/>
    <w:autoRedefine/>
    <w:rsid w:val="009C1F32"/>
    <w:pPr>
      <w:ind w:left="880" w:hanging="220"/>
    </w:pPr>
    <w:rPr>
      <w:rFonts w:ascii="Arial" w:hAnsi="Arial"/>
    </w:rPr>
  </w:style>
  <w:style w:type="paragraph" w:styleId="Indice5">
    <w:name w:val="index 5"/>
    <w:basedOn w:val="Normale"/>
    <w:next w:val="Normale"/>
    <w:autoRedefine/>
    <w:rsid w:val="009C1F32"/>
    <w:pPr>
      <w:ind w:left="1100" w:hanging="220"/>
    </w:pPr>
    <w:rPr>
      <w:rFonts w:ascii="Arial" w:hAnsi="Arial"/>
    </w:rPr>
  </w:style>
  <w:style w:type="paragraph" w:styleId="Indice6">
    <w:name w:val="index 6"/>
    <w:basedOn w:val="Normale"/>
    <w:next w:val="Normale"/>
    <w:autoRedefine/>
    <w:rsid w:val="009C1F32"/>
    <w:pPr>
      <w:ind w:left="1320" w:hanging="220"/>
    </w:pPr>
    <w:rPr>
      <w:rFonts w:ascii="Arial" w:hAnsi="Arial"/>
    </w:rPr>
  </w:style>
  <w:style w:type="paragraph" w:styleId="Indice7">
    <w:name w:val="index 7"/>
    <w:basedOn w:val="Normale"/>
    <w:next w:val="Normale"/>
    <w:autoRedefine/>
    <w:rsid w:val="009C1F32"/>
    <w:pPr>
      <w:ind w:left="1540" w:hanging="220"/>
    </w:pPr>
    <w:rPr>
      <w:rFonts w:ascii="Arial" w:hAnsi="Arial"/>
    </w:rPr>
  </w:style>
  <w:style w:type="paragraph" w:styleId="Indice8">
    <w:name w:val="index 8"/>
    <w:basedOn w:val="Normale"/>
    <w:next w:val="Normale"/>
    <w:autoRedefine/>
    <w:rsid w:val="009C1F32"/>
    <w:pPr>
      <w:ind w:left="1760" w:hanging="220"/>
    </w:pPr>
    <w:rPr>
      <w:rFonts w:ascii="Arial" w:hAnsi="Arial"/>
    </w:rPr>
  </w:style>
  <w:style w:type="paragraph" w:styleId="Indice9">
    <w:name w:val="index 9"/>
    <w:basedOn w:val="Normale"/>
    <w:next w:val="Normale"/>
    <w:autoRedefine/>
    <w:rsid w:val="009C1F32"/>
    <w:pPr>
      <w:ind w:left="1980" w:hanging="220"/>
    </w:pPr>
    <w:rPr>
      <w:rFonts w:ascii="Arial" w:hAnsi="Arial"/>
    </w:rPr>
  </w:style>
  <w:style w:type="paragraph" w:styleId="Indicedellefigure">
    <w:name w:val="table of figures"/>
    <w:basedOn w:val="Normale"/>
    <w:next w:val="Normale"/>
    <w:uiPriority w:val="99"/>
    <w:rsid w:val="009C1F32"/>
    <w:rPr>
      <w:rFonts w:ascii="Arial" w:hAnsi="Arial"/>
    </w:rPr>
  </w:style>
  <w:style w:type="paragraph" w:styleId="Indicefonti">
    <w:name w:val="table of authorities"/>
    <w:basedOn w:val="Normale"/>
    <w:next w:val="Normale"/>
    <w:rsid w:val="009C1F32"/>
    <w:pPr>
      <w:ind w:left="220" w:hanging="220"/>
    </w:pPr>
    <w:rPr>
      <w:rFonts w:ascii="Arial" w:hAnsi="Arial"/>
    </w:rPr>
  </w:style>
  <w:style w:type="paragraph" w:styleId="Indirizzodestinatario">
    <w:name w:val="envelope address"/>
    <w:basedOn w:val="Normale"/>
    <w:rsid w:val="009C1F32"/>
    <w:pPr>
      <w:framePr w:w="7920" w:h="1980" w:hRule="exact" w:hSpace="141" w:wrap="auto" w:hAnchor="page" w:xAlign="center" w:yAlign="bottom"/>
      <w:ind w:left="2880"/>
    </w:pPr>
    <w:rPr>
      <w:rFonts w:ascii="Arial" w:hAnsi="Arial" w:cs="Arial"/>
      <w:sz w:val="24"/>
      <w:szCs w:val="24"/>
    </w:rPr>
  </w:style>
  <w:style w:type="paragraph" w:styleId="IndirizzoHTML">
    <w:name w:val="HTML Address"/>
    <w:basedOn w:val="Normale"/>
    <w:link w:val="IndirizzoHTMLCarattere"/>
    <w:rsid w:val="009C1F32"/>
    <w:rPr>
      <w:rFonts w:ascii="Arial" w:hAnsi="Arial"/>
      <w:i/>
      <w:iCs/>
    </w:rPr>
  </w:style>
  <w:style w:type="paragraph" w:styleId="Indirizzomittente">
    <w:name w:val="envelope return"/>
    <w:basedOn w:val="Normale"/>
    <w:rsid w:val="009C1F32"/>
    <w:rPr>
      <w:rFonts w:ascii="Arial" w:hAnsi="Arial" w:cs="Arial"/>
      <w:sz w:val="20"/>
    </w:rPr>
  </w:style>
  <w:style w:type="paragraph" w:styleId="Intestazionemessaggio">
    <w:name w:val="Message Header"/>
    <w:basedOn w:val="Normale"/>
    <w:link w:val="IntestazionemessaggioCarattere"/>
    <w:rsid w:val="009C1F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Intestazionenota">
    <w:name w:val="Note Heading"/>
    <w:basedOn w:val="Normale"/>
    <w:next w:val="Normale"/>
    <w:link w:val="IntestazionenotaCarattere"/>
    <w:rsid w:val="009C1F32"/>
    <w:rPr>
      <w:rFonts w:ascii="Arial" w:hAnsi="Arial"/>
    </w:rPr>
  </w:style>
  <w:style w:type="paragraph" w:styleId="Mappadocumento">
    <w:name w:val="Document Map"/>
    <w:basedOn w:val="Normale"/>
    <w:link w:val="MappadocumentoCarattere"/>
    <w:rsid w:val="009C1F32"/>
    <w:pPr>
      <w:shd w:val="clear" w:color="auto" w:fill="000080"/>
    </w:pPr>
    <w:rPr>
      <w:rFonts w:ascii="Tahoma" w:hAnsi="Tahoma" w:cs="Tahoma"/>
      <w:sz w:val="20"/>
    </w:rPr>
  </w:style>
  <w:style w:type="paragraph" w:styleId="Numeroelenco">
    <w:name w:val="List Number"/>
    <w:basedOn w:val="Normale"/>
    <w:rsid w:val="009C1F32"/>
    <w:pPr>
      <w:numPr>
        <w:numId w:val="6"/>
      </w:numPr>
    </w:pPr>
    <w:rPr>
      <w:rFonts w:ascii="Arial" w:hAnsi="Arial"/>
    </w:rPr>
  </w:style>
  <w:style w:type="paragraph" w:styleId="Numeroelenco2">
    <w:name w:val="List Number 2"/>
    <w:basedOn w:val="Normale"/>
    <w:rsid w:val="009C1F32"/>
    <w:pPr>
      <w:numPr>
        <w:numId w:val="7"/>
      </w:numPr>
    </w:pPr>
    <w:rPr>
      <w:rFonts w:ascii="Arial" w:hAnsi="Arial"/>
    </w:rPr>
  </w:style>
  <w:style w:type="paragraph" w:styleId="Numeroelenco4">
    <w:name w:val="List Number 4"/>
    <w:basedOn w:val="Normale"/>
    <w:rsid w:val="009C1F32"/>
    <w:pPr>
      <w:numPr>
        <w:numId w:val="8"/>
      </w:numPr>
    </w:pPr>
    <w:rPr>
      <w:rFonts w:ascii="Arial" w:hAnsi="Arial"/>
    </w:rPr>
  </w:style>
  <w:style w:type="paragraph" w:styleId="Numeroelenco5">
    <w:name w:val="List Number 5"/>
    <w:basedOn w:val="Normale"/>
    <w:rsid w:val="009C1F32"/>
    <w:pPr>
      <w:numPr>
        <w:numId w:val="9"/>
      </w:numPr>
    </w:pPr>
    <w:rPr>
      <w:rFonts w:ascii="Arial" w:hAnsi="Arial"/>
    </w:rPr>
  </w:style>
  <w:style w:type="paragraph" w:styleId="Primorientrocorpodeltesto">
    <w:name w:val="Body Text First Indent"/>
    <w:basedOn w:val="Corpotesto"/>
    <w:link w:val="PrimorientrocorpodeltestoCarattere"/>
    <w:rsid w:val="009C1F32"/>
    <w:pPr>
      <w:ind w:firstLine="210"/>
    </w:pPr>
    <w:rPr>
      <w:rFonts w:ascii="Arial" w:hAnsi="Arial"/>
    </w:rPr>
  </w:style>
  <w:style w:type="paragraph" w:styleId="Rientrocorpodeltesto">
    <w:name w:val="Body Text Indent"/>
    <w:basedOn w:val="Normale"/>
    <w:link w:val="RientrocorpodeltestoCarattere"/>
    <w:rsid w:val="009C1F32"/>
    <w:pPr>
      <w:spacing w:after="120"/>
      <w:ind w:left="283"/>
    </w:pPr>
    <w:rPr>
      <w:rFonts w:ascii="Arial" w:hAnsi="Arial"/>
    </w:rPr>
  </w:style>
  <w:style w:type="paragraph" w:styleId="Primorientrocorpodeltesto2">
    <w:name w:val="Body Text First Indent 2"/>
    <w:basedOn w:val="Rientrocorpodeltesto"/>
    <w:link w:val="Primorientrocorpodeltesto2Carattere"/>
    <w:rsid w:val="009C1F32"/>
    <w:pPr>
      <w:ind w:firstLine="210"/>
    </w:pPr>
  </w:style>
  <w:style w:type="paragraph" w:styleId="Puntoelenco">
    <w:name w:val="List Bullet"/>
    <w:basedOn w:val="Normale"/>
    <w:rsid w:val="009C1F32"/>
    <w:pPr>
      <w:numPr>
        <w:numId w:val="10"/>
      </w:numPr>
    </w:pPr>
    <w:rPr>
      <w:rFonts w:ascii="Arial" w:hAnsi="Arial"/>
    </w:rPr>
  </w:style>
  <w:style w:type="paragraph" w:styleId="Puntoelenco2">
    <w:name w:val="List Bullet 2"/>
    <w:basedOn w:val="Normale"/>
    <w:rsid w:val="009C1F32"/>
    <w:pPr>
      <w:numPr>
        <w:numId w:val="11"/>
      </w:numPr>
    </w:pPr>
    <w:rPr>
      <w:rFonts w:ascii="Arial" w:hAnsi="Arial"/>
    </w:rPr>
  </w:style>
  <w:style w:type="paragraph" w:styleId="Puntoelenco3">
    <w:name w:val="List Bullet 3"/>
    <w:basedOn w:val="Normale"/>
    <w:rsid w:val="009C1F32"/>
    <w:pPr>
      <w:numPr>
        <w:numId w:val="12"/>
      </w:numPr>
    </w:pPr>
    <w:rPr>
      <w:rFonts w:ascii="Arial" w:hAnsi="Arial"/>
    </w:rPr>
  </w:style>
  <w:style w:type="paragraph" w:styleId="Puntoelenco4">
    <w:name w:val="List Bullet 4"/>
    <w:basedOn w:val="Normale"/>
    <w:rsid w:val="009C1F32"/>
    <w:pPr>
      <w:numPr>
        <w:numId w:val="13"/>
      </w:numPr>
    </w:pPr>
    <w:rPr>
      <w:rFonts w:ascii="Arial" w:hAnsi="Arial"/>
    </w:rPr>
  </w:style>
  <w:style w:type="paragraph" w:styleId="Puntoelenco5">
    <w:name w:val="List Bullet 5"/>
    <w:basedOn w:val="Normale"/>
    <w:rsid w:val="009C1F32"/>
    <w:pPr>
      <w:numPr>
        <w:numId w:val="14"/>
      </w:numPr>
    </w:pPr>
    <w:rPr>
      <w:rFonts w:ascii="Arial" w:hAnsi="Arial"/>
    </w:rPr>
  </w:style>
  <w:style w:type="paragraph" w:styleId="Rientrocorpodeltesto2">
    <w:name w:val="Body Text Indent 2"/>
    <w:basedOn w:val="Normale"/>
    <w:link w:val="Rientrocorpodeltesto2Carattere"/>
    <w:rsid w:val="009C1F32"/>
    <w:pPr>
      <w:spacing w:after="120" w:line="480" w:lineRule="auto"/>
      <w:ind w:left="283"/>
    </w:pPr>
    <w:rPr>
      <w:rFonts w:ascii="Arial" w:hAnsi="Arial"/>
    </w:rPr>
  </w:style>
  <w:style w:type="paragraph" w:styleId="Rientrocorpodeltesto3">
    <w:name w:val="Body Text Indent 3"/>
    <w:basedOn w:val="Normale"/>
    <w:link w:val="Rientrocorpodeltesto3Carattere"/>
    <w:rsid w:val="009C1F32"/>
    <w:pPr>
      <w:spacing w:after="120"/>
      <w:ind w:left="283"/>
    </w:pPr>
    <w:rPr>
      <w:rFonts w:ascii="Arial" w:hAnsi="Arial"/>
      <w:sz w:val="16"/>
      <w:szCs w:val="16"/>
    </w:rPr>
  </w:style>
  <w:style w:type="paragraph" w:styleId="Rientronormale">
    <w:name w:val="Normal Indent"/>
    <w:basedOn w:val="Normale"/>
    <w:rsid w:val="009C1F32"/>
    <w:pPr>
      <w:ind w:left="708"/>
    </w:pPr>
    <w:rPr>
      <w:rFonts w:ascii="Arial" w:hAnsi="Arial"/>
    </w:rPr>
  </w:style>
  <w:style w:type="paragraph" w:styleId="Sommario4">
    <w:name w:val="toc 4"/>
    <w:basedOn w:val="Normale"/>
    <w:next w:val="Normale"/>
    <w:autoRedefine/>
    <w:uiPriority w:val="39"/>
    <w:rsid w:val="009C1F32"/>
    <w:pPr>
      <w:ind w:left="660"/>
    </w:pPr>
    <w:rPr>
      <w:rFonts w:ascii="Arial" w:hAnsi="Arial"/>
    </w:rPr>
  </w:style>
  <w:style w:type="paragraph" w:styleId="Sommario5">
    <w:name w:val="toc 5"/>
    <w:basedOn w:val="Normale"/>
    <w:next w:val="Normale"/>
    <w:autoRedefine/>
    <w:uiPriority w:val="39"/>
    <w:rsid w:val="009C1F32"/>
    <w:pPr>
      <w:ind w:left="880"/>
    </w:pPr>
    <w:rPr>
      <w:rFonts w:ascii="Arial" w:hAnsi="Arial"/>
    </w:rPr>
  </w:style>
  <w:style w:type="paragraph" w:styleId="Sommario6">
    <w:name w:val="toc 6"/>
    <w:basedOn w:val="Normale"/>
    <w:next w:val="Normale"/>
    <w:autoRedefine/>
    <w:uiPriority w:val="39"/>
    <w:rsid w:val="009C1F32"/>
    <w:pPr>
      <w:ind w:left="1100"/>
    </w:pPr>
    <w:rPr>
      <w:rFonts w:ascii="Arial" w:hAnsi="Arial"/>
    </w:rPr>
  </w:style>
  <w:style w:type="paragraph" w:styleId="Sommario7">
    <w:name w:val="toc 7"/>
    <w:basedOn w:val="Normale"/>
    <w:next w:val="Normale"/>
    <w:autoRedefine/>
    <w:uiPriority w:val="39"/>
    <w:rsid w:val="009C1F32"/>
    <w:pPr>
      <w:ind w:left="1320"/>
    </w:pPr>
    <w:rPr>
      <w:rFonts w:ascii="Arial" w:hAnsi="Arial"/>
    </w:rPr>
  </w:style>
  <w:style w:type="paragraph" w:styleId="Sommario8">
    <w:name w:val="toc 8"/>
    <w:basedOn w:val="Normale"/>
    <w:next w:val="Normale"/>
    <w:autoRedefine/>
    <w:uiPriority w:val="39"/>
    <w:rsid w:val="009C1F32"/>
    <w:pPr>
      <w:ind w:left="1540"/>
    </w:pPr>
    <w:rPr>
      <w:rFonts w:ascii="Arial" w:hAnsi="Arial"/>
    </w:rPr>
  </w:style>
  <w:style w:type="paragraph" w:styleId="Sommario9">
    <w:name w:val="toc 9"/>
    <w:basedOn w:val="Normale"/>
    <w:next w:val="Normale"/>
    <w:autoRedefine/>
    <w:uiPriority w:val="39"/>
    <w:rsid w:val="009C1F32"/>
    <w:pPr>
      <w:ind w:left="1760"/>
    </w:pPr>
    <w:rPr>
      <w:rFonts w:ascii="Arial" w:hAnsi="Arial"/>
    </w:rPr>
  </w:style>
  <w:style w:type="paragraph" w:styleId="Sottotitolo">
    <w:name w:val="Subtitle"/>
    <w:basedOn w:val="Normale"/>
    <w:next w:val="Normale"/>
    <w:link w:val="SottotitoloCarattere"/>
    <w:uiPriority w:val="11"/>
    <w:qFormat/>
    <w:rsid w:val="00794F6F"/>
    <w:pPr>
      <w:numPr>
        <w:ilvl w:val="1"/>
      </w:numPr>
    </w:pPr>
    <w:rPr>
      <w:rFonts w:eastAsiaTheme="minorEastAsia"/>
      <w:color w:val="5A5A5A" w:themeColor="text1" w:themeTint="A5"/>
      <w:spacing w:val="15"/>
    </w:rPr>
  </w:style>
  <w:style w:type="paragraph" w:styleId="Testodelblocco">
    <w:name w:val="Block Text"/>
    <w:basedOn w:val="Normale"/>
    <w:rsid w:val="009C1F32"/>
    <w:pPr>
      <w:spacing w:after="120"/>
      <w:ind w:left="1440" w:right="1440"/>
    </w:pPr>
    <w:rPr>
      <w:rFonts w:ascii="Arial" w:hAnsi="Arial"/>
    </w:rPr>
  </w:style>
  <w:style w:type="paragraph" w:styleId="Testomacro">
    <w:name w:val="macro"/>
    <w:link w:val="TestomacroCarattere"/>
    <w:rsid w:val="009C1F32"/>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paragraph" w:styleId="Titoloindice">
    <w:name w:val="index heading"/>
    <w:basedOn w:val="Normale"/>
    <w:next w:val="Indice1"/>
    <w:rsid w:val="009C1F32"/>
    <w:rPr>
      <w:rFonts w:ascii="Arial" w:hAnsi="Arial" w:cs="Arial"/>
      <w:b/>
      <w:bCs/>
    </w:rPr>
  </w:style>
  <w:style w:type="paragraph" w:styleId="Titoloindicefonti">
    <w:name w:val="toa heading"/>
    <w:basedOn w:val="Normale"/>
    <w:next w:val="Normale"/>
    <w:rsid w:val="009C1F32"/>
    <w:rPr>
      <w:rFonts w:ascii="Arial" w:hAnsi="Arial" w:cs="Arial"/>
      <w:b/>
      <w:bCs/>
      <w:sz w:val="24"/>
      <w:szCs w:val="24"/>
    </w:rPr>
  </w:style>
  <w:style w:type="paragraph" w:customStyle="1" w:styleId="Didascaliaimmagine">
    <w:name w:val="Didascalia immagine"/>
    <w:basedOn w:val="Corpotesto"/>
    <w:link w:val="DidascaliaimmagineCarattere"/>
    <w:rsid w:val="009C1F32"/>
    <w:pPr>
      <w:widowControl w:val="0"/>
      <w:suppressAutoHyphens/>
      <w:jc w:val="center"/>
    </w:pPr>
    <w:rPr>
      <w:rFonts w:eastAsia="Droid Sans Fallback" w:cs="Lohit Hindi"/>
      <w:i/>
      <w:kern w:val="1"/>
      <w:lang w:eastAsia="zh-CN" w:bidi="hi-IN"/>
    </w:rPr>
  </w:style>
  <w:style w:type="paragraph" w:customStyle="1" w:styleId="TestodiLegge">
    <w:name w:val="Testo di Legge"/>
    <w:basedOn w:val="Normale"/>
    <w:rsid w:val="009C1F32"/>
    <w:pPr>
      <w:pBdr>
        <w:top w:val="single" w:sz="4" w:space="1" w:color="auto"/>
        <w:left w:val="single" w:sz="4" w:space="4" w:color="auto"/>
        <w:bottom w:val="single" w:sz="4" w:space="1" w:color="auto"/>
        <w:right w:val="single" w:sz="4" w:space="4" w:color="auto"/>
      </w:pBdr>
      <w:shd w:val="clear" w:color="auto" w:fill="F3F3F3"/>
      <w:suppressAutoHyphens/>
      <w:ind w:firstLine="709"/>
    </w:pPr>
    <w:rPr>
      <w:sz w:val="18"/>
      <w:lang w:eastAsia="ar-SA"/>
    </w:rPr>
  </w:style>
  <w:style w:type="paragraph" w:styleId="Paragrafoelenco">
    <w:name w:val="List Paragraph"/>
    <w:basedOn w:val="Normale"/>
    <w:uiPriority w:val="34"/>
    <w:qFormat/>
    <w:rsid w:val="00794F6F"/>
    <w:pPr>
      <w:ind w:left="720"/>
      <w:contextualSpacing/>
    </w:pPr>
  </w:style>
  <w:style w:type="character" w:styleId="Rimandocommento">
    <w:name w:val="annotation reference"/>
    <w:uiPriority w:val="99"/>
    <w:rsid w:val="00C50F0E"/>
    <w:rPr>
      <w:sz w:val="16"/>
      <w:szCs w:val="16"/>
    </w:rPr>
  </w:style>
  <w:style w:type="paragraph" w:customStyle="1" w:styleId="Anumerositdelcampione">
    <w:name w:val="A numerosità del campione"/>
    <w:basedOn w:val="Normale"/>
    <w:rsid w:val="003B7A6D"/>
  </w:style>
  <w:style w:type="character" w:styleId="Enfasigrassetto">
    <w:name w:val="Strong"/>
    <w:basedOn w:val="Carpredefinitoparagrafo"/>
    <w:uiPriority w:val="22"/>
    <w:qFormat/>
    <w:rsid w:val="00794F6F"/>
    <w:rPr>
      <w:b/>
      <w:bCs/>
    </w:rPr>
  </w:style>
  <w:style w:type="paragraph" w:styleId="Revisione">
    <w:name w:val="Revision"/>
    <w:hidden/>
    <w:uiPriority w:val="99"/>
    <w:semiHidden/>
    <w:rsid w:val="00183251"/>
    <w:rPr>
      <w:rFonts w:ascii="Calibri" w:hAnsi="Calibri"/>
    </w:rPr>
  </w:style>
  <w:style w:type="paragraph" w:customStyle="1" w:styleId="P2">
    <w:name w:val="P2"/>
    <w:basedOn w:val="Default"/>
    <w:hidden/>
    <w:rsid w:val="008C5C63"/>
    <w:pPr>
      <w:autoSpaceDE/>
      <w:autoSpaceDN/>
    </w:pPr>
    <w:rPr>
      <w:rFonts w:eastAsia="Lucida Sans Unicode" w:cs="Calibri1"/>
      <w:b/>
      <w:color w:val="auto"/>
      <w:sz w:val="26"/>
      <w:szCs w:val="20"/>
      <w:lang w:eastAsia="it-IT"/>
    </w:rPr>
  </w:style>
  <w:style w:type="paragraph" w:customStyle="1" w:styleId="P4">
    <w:name w:val="P4"/>
    <w:basedOn w:val="Default"/>
    <w:hidden/>
    <w:rsid w:val="008C5C63"/>
    <w:pPr>
      <w:widowControl w:val="0"/>
      <w:autoSpaceDE/>
      <w:autoSpaceDN/>
      <w:spacing w:before="120"/>
      <w:jc w:val="distribute"/>
    </w:pPr>
    <w:rPr>
      <w:rFonts w:eastAsia="Lucida Sans Unicode" w:cs="Calibri1"/>
      <w:color w:val="auto"/>
      <w:sz w:val="22"/>
      <w:szCs w:val="20"/>
      <w:lang w:eastAsia="it-IT"/>
    </w:rPr>
  </w:style>
  <w:style w:type="character" w:customStyle="1" w:styleId="T1">
    <w:name w:val="T1"/>
    <w:hidden/>
    <w:rsid w:val="008C5C63"/>
    <w:rPr>
      <w:b/>
      <w:i/>
      <w:sz w:val="23"/>
    </w:rPr>
  </w:style>
  <w:style w:type="character" w:customStyle="1" w:styleId="T2">
    <w:name w:val="T2"/>
    <w:hidden/>
    <w:rsid w:val="008C5C63"/>
    <w:rPr>
      <w:sz w:val="22"/>
    </w:rPr>
  </w:style>
  <w:style w:type="table" w:styleId="Tabellasemplice-1">
    <w:name w:val="Plain Table 1"/>
    <w:basedOn w:val="Tabellanormale"/>
    <w:uiPriority w:val="41"/>
    <w:rsid w:val="0052443F"/>
    <w:rPr>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stocommentoCarattere">
    <w:name w:val="Testo commento Carattere"/>
    <w:basedOn w:val="Carpredefinitoparagrafo"/>
    <w:link w:val="Testocommento"/>
    <w:uiPriority w:val="99"/>
    <w:rsid w:val="008A4A72"/>
    <w:rPr>
      <w:rFonts w:ascii="Calibri" w:hAnsi="Calibri"/>
      <w:sz w:val="22"/>
    </w:rPr>
  </w:style>
  <w:style w:type="table" w:styleId="Tabellagriglia2-colore3">
    <w:name w:val="Grid Table 2 Accent 3"/>
    <w:basedOn w:val="Tabellanormale"/>
    <w:uiPriority w:val="47"/>
    <w:rsid w:val="00C83FA2"/>
    <w:tblPr>
      <w:tblStyleRowBandSize w:val="1"/>
      <w:tblStyleColBandSize w:val="1"/>
      <w:tblBorders>
        <w:top w:val="single" w:sz="2" w:space="0" w:color="5DEFF6" w:themeColor="accent3" w:themeTint="99"/>
        <w:bottom w:val="single" w:sz="2" w:space="0" w:color="5DEFF6" w:themeColor="accent3" w:themeTint="99"/>
        <w:insideH w:val="single" w:sz="2" w:space="0" w:color="5DEFF6" w:themeColor="accent3" w:themeTint="99"/>
        <w:insideV w:val="single" w:sz="2" w:space="0" w:color="5DEFF6" w:themeColor="accent3" w:themeTint="99"/>
      </w:tblBorders>
    </w:tblPr>
    <w:tblStylePr w:type="firstRow">
      <w:rPr>
        <w:b/>
        <w:bCs/>
      </w:rPr>
      <w:tblPr/>
      <w:tcPr>
        <w:tcBorders>
          <w:top w:val="nil"/>
          <w:bottom w:val="single" w:sz="12" w:space="0" w:color="5DEFF6" w:themeColor="accent3" w:themeTint="99"/>
          <w:insideH w:val="nil"/>
          <w:insideV w:val="nil"/>
        </w:tcBorders>
        <w:shd w:val="clear" w:color="auto" w:fill="FFFFFF" w:themeFill="background1"/>
      </w:tcPr>
    </w:tblStylePr>
    <w:tblStylePr w:type="lastRow">
      <w:rPr>
        <w:b/>
        <w:bCs/>
      </w:rPr>
      <w:tblPr/>
      <w:tcPr>
        <w:tcBorders>
          <w:top w:val="double" w:sz="2" w:space="0" w:color="5DEFF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paragraph" w:customStyle="1" w:styleId="Immagine">
    <w:name w:val="Immagine"/>
    <w:basedOn w:val="Corpotesto"/>
    <w:rsid w:val="008E4ABF"/>
    <w:pPr>
      <w:keepNext/>
      <w:spacing w:before="240"/>
      <w:jc w:val="center"/>
    </w:pPr>
    <w:rPr>
      <w:rFonts w:cs="Calibri"/>
      <w:sz w:val="24"/>
      <w:szCs w:val="24"/>
    </w:rPr>
  </w:style>
  <w:style w:type="character" w:customStyle="1" w:styleId="IntestazioneCarattere">
    <w:name w:val="Intestazione Carattere"/>
    <w:basedOn w:val="Carpredefinitoparagrafo"/>
    <w:link w:val="Intestazione"/>
    <w:uiPriority w:val="99"/>
    <w:rsid w:val="008A1D68"/>
    <w:rPr>
      <w:rFonts w:ascii="Calibri" w:hAnsi="Calibri"/>
      <w:sz w:val="22"/>
    </w:rPr>
  </w:style>
  <w:style w:type="character" w:customStyle="1" w:styleId="PidipaginaCarattere">
    <w:name w:val="Piè di pagina Carattere"/>
    <w:basedOn w:val="Carpredefinitoparagrafo"/>
    <w:link w:val="Pidipagina"/>
    <w:uiPriority w:val="99"/>
    <w:rsid w:val="008A1D68"/>
    <w:rPr>
      <w:rFonts w:ascii="Calibri" w:hAnsi="Calibri"/>
      <w:sz w:val="22"/>
    </w:rPr>
  </w:style>
  <w:style w:type="character" w:customStyle="1" w:styleId="TestofumettoCarattere">
    <w:name w:val="Testo fumetto Carattere"/>
    <w:basedOn w:val="Carpredefinitoparagrafo"/>
    <w:link w:val="Testofumetto"/>
    <w:uiPriority w:val="99"/>
    <w:semiHidden/>
    <w:rsid w:val="008A1D68"/>
    <w:rPr>
      <w:rFonts w:ascii="Tahoma" w:hAnsi="Tahoma" w:cs="Tahoma"/>
      <w:sz w:val="16"/>
      <w:szCs w:val="16"/>
    </w:rPr>
  </w:style>
  <w:style w:type="character" w:customStyle="1" w:styleId="CorpotestoCarattere">
    <w:name w:val="Corpo testo Carattere"/>
    <w:basedOn w:val="Carpredefinitoparagrafo"/>
    <w:link w:val="Corpotesto"/>
    <w:uiPriority w:val="99"/>
    <w:rsid w:val="008A1D68"/>
    <w:rPr>
      <w:rFonts w:ascii="Calibri" w:hAnsi="Calibri"/>
      <w:sz w:val="22"/>
    </w:rPr>
  </w:style>
  <w:style w:type="character" w:customStyle="1" w:styleId="Titolo3Carattere">
    <w:name w:val="Titolo 3 Carattere"/>
    <w:basedOn w:val="Carpredefinitoparagrafo"/>
    <w:link w:val="Titolo3"/>
    <w:uiPriority w:val="9"/>
    <w:rsid w:val="00C77CB1"/>
    <w:rPr>
      <w:rFonts w:ascii="Calibri" w:eastAsia="Times New Roman" w:hAnsi="Calibri" w:cs="Arial"/>
      <w:b/>
      <w:bCs/>
      <w:i/>
      <w:sz w:val="24"/>
      <w:szCs w:val="26"/>
    </w:rPr>
  </w:style>
  <w:style w:type="character" w:customStyle="1" w:styleId="Titolo5Carattere">
    <w:name w:val="Titolo 5 Carattere"/>
    <w:basedOn w:val="Carpredefinitoparagrafo"/>
    <w:link w:val="Titolo5"/>
    <w:uiPriority w:val="9"/>
    <w:rsid w:val="003A54A8"/>
    <w:rPr>
      <w:rFonts w:ascii="Calibri" w:eastAsia="Times New Roman" w:hAnsi="Calibri" w:cs="Times New Roman"/>
      <w:b/>
      <w:bCs/>
      <w:i/>
      <w:iCs/>
      <w:sz w:val="24"/>
      <w:szCs w:val="26"/>
    </w:rPr>
  </w:style>
  <w:style w:type="character" w:customStyle="1" w:styleId="Titolo6Carattere">
    <w:name w:val="Titolo 6 Carattere"/>
    <w:basedOn w:val="Carpredefinitoparagrafo"/>
    <w:link w:val="Titolo6"/>
    <w:uiPriority w:val="9"/>
    <w:rsid w:val="00794F6F"/>
    <w:rPr>
      <w:rFonts w:asciiTheme="majorHAnsi" w:eastAsiaTheme="majorEastAsia" w:hAnsiTheme="majorHAnsi" w:cstheme="majorBidi"/>
      <w:color w:val="073662" w:themeColor="accent1" w:themeShade="7F"/>
    </w:rPr>
  </w:style>
  <w:style w:type="character" w:customStyle="1" w:styleId="Titolo7Carattere">
    <w:name w:val="Titolo 7 Carattere"/>
    <w:basedOn w:val="Carpredefinitoparagrafo"/>
    <w:link w:val="Titolo7"/>
    <w:uiPriority w:val="9"/>
    <w:rsid w:val="00794F6F"/>
    <w:rPr>
      <w:rFonts w:asciiTheme="majorHAnsi" w:eastAsiaTheme="majorEastAsia" w:hAnsiTheme="majorHAnsi" w:cstheme="majorBidi"/>
      <w:i/>
      <w:iCs/>
      <w:color w:val="073662" w:themeColor="accent1" w:themeShade="7F"/>
    </w:rPr>
  </w:style>
  <w:style w:type="character" w:customStyle="1" w:styleId="Titolo8Carattere">
    <w:name w:val="Titolo 8 Carattere"/>
    <w:basedOn w:val="Carpredefinitoparagrafo"/>
    <w:link w:val="Titolo8"/>
    <w:uiPriority w:val="9"/>
    <w:rsid w:val="00794F6F"/>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794F6F"/>
    <w:rPr>
      <w:rFonts w:asciiTheme="majorHAnsi" w:eastAsiaTheme="majorEastAsia" w:hAnsiTheme="majorHAnsi" w:cstheme="majorBidi"/>
      <w:i/>
      <w:iCs/>
      <w:color w:val="272727" w:themeColor="text1" w:themeTint="D8"/>
      <w:sz w:val="21"/>
      <w:szCs w:val="21"/>
    </w:rPr>
  </w:style>
  <w:style w:type="character" w:customStyle="1" w:styleId="pellegrino">
    <w:name w:val="pellegrino"/>
    <w:basedOn w:val="Carpredefinitoparagrafo"/>
    <w:semiHidden/>
    <w:rsid w:val="004E626F"/>
    <w:rPr>
      <w:rFonts w:ascii="Arial" w:hAnsi="Arial" w:cs="Arial"/>
      <w:color w:val="auto"/>
      <w:sz w:val="20"/>
      <w:szCs w:val="20"/>
    </w:rPr>
  </w:style>
  <w:style w:type="paragraph" w:customStyle="1" w:styleId="FIRMAtitolo">
    <w:name w:val="FIRMA (titolo)"/>
    <w:basedOn w:val="Normale"/>
    <w:rsid w:val="004E626F"/>
    <w:pPr>
      <w:ind w:left="5041" w:right="96"/>
      <w:jc w:val="center"/>
    </w:pPr>
    <w:rPr>
      <w:i/>
      <w:iCs/>
      <w:szCs w:val="24"/>
      <w:lang w:eastAsia="en-US"/>
    </w:rPr>
  </w:style>
  <w:style w:type="table" w:styleId="Tabellaelenco1chiara-colore2">
    <w:name w:val="List Table 1 Light Accent 2"/>
    <w:basedOn w:val="Tabellanormale"/>
    <w:uiPriority w:val="46"/>
    <w:rsid w:val="004E626F"/>
    <w:tblPr>
      <w:tblStyleRowBandSize w:val="1"/>
      <w:tblStyleColBandSize w:val="1"/>
    </w:tblPr>
    <w:tblStylePr w:type="firstRow">
      <w:rPr>
        <w:b/>
        <w:bCs/>
      </w:rPr>
      <w:tblPr/>
      <w:tcPr>
        <w:tcBorders>
          <w:bottom w:val="single" w:sz="4" w:space="0" w:color="4FCDFF" w:themeColor="accent2" w:themeTint="99"/>
        </w:tcBorders>
      </w:tcPr>
    </w:tblStylePr>
    <w:tblStylePr w:type="lastRow">
      <w:rPr>
        <w:b/>
        <w:bCs/>
      </w:rPr>
      <w:tblPr/>
      <w:tcPr>
        <w:tcBorders>
          <w:top w:val="sing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elenco1chiara-colore1">
    <w:name w:val="List Table 1 Light Accent 1"/>
    <w:basedOn w:val="Tabellanormale"/>
    <w:uiPriority w:val="46"/>
    <w:rsid w:val="004E626F"/>
    <w:tblPr>
      <w:tblStyleRowBandSize w:val="1"/>
      <w:tblStyleColBandSize w:val="1"/>
    </w:tblPr>
    <w:tblStylePr w:type="firstRow">
      <w:rPr>
        <w:b/>
        <w:bCs/>
      </w:rPr>
      <w:tblPr/>
      <w:tcPr>
        <w:tcBorders>
          <w:bottom w:val="single" w:sz="4" w:space="0" w:color="59A9F2" w:themeColor="accent1" w:themeTint="99"/>
        </w:tcBorders>
      </w:tcPr>
    </w:tblStylePr>
    <w:tblStylePr w:type="lastRow">
      <w:rPr>
        <w:b/>
        <w:bCs/>
      </w:rPr>
      <w:tblPr/>
      <w:tcPr>
        <w:tcBorders>
          <w:top w:val="sing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Tabellaelenco1chiara-colore6">
    <w:name w:val="List Table 1 Light Accent 6"/>
    <w:basedOn w:val="Tabellanormale"/>
    <w:uiPriority w:val="46"/>
    <w:rsid w:val="004E626F"/>
    <w:tblPr>
      <w:tblStyleRowBandSize w:val="1"/>
      <w:tblStyleColBandSize w:val="1"/>
    </w:tblPr>
    <w:tblStylePr w:type="firstRow">
      <w:rPr>
        <w:b/>
        <w:bCs/>
      </w:rPr>
      <w:tblPr/>
      <w:tcPr>
        <w:tcBorders>
          <w:bottom w:val="single" w:sz="4" w:space="0" w:color="DDE8BC" w:themeColor="accent6" w:themeTint="99"/>
        </w:tcBorders>
      </w:tcPr>
    </w:tblStylePr>
    <w:tblStylePr w:type="lastRow">
      <w:rPr>
        <w:b/>
        <w:bCs/>
      </w:rPr>
      <w:tblPr/>
      <w:tcPr>
        <w:tcBorders>
          <w:top w:val="single" w:sz="4" w:space="0" w:color="DDE8BC" w:themeColor="accent6" w:themeTint="99"/>
        </w:tcBorders>
      </w:tc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table" w:styleId="Tabellaelenco2-colore2">
    <w:name w:val="List Table 2 Accent 2"/>
    <w:basedOn w:val="Tabellanormale"/>
    <w:uiPriority w:val="47"/>
    <w:rsid w:val="004E626F"/>
    <w:tblPr>
      <w:tblStyleRowBandSize w:val="1"/>
      <w:tblStyleColBandSize w:val="1"/>
      <w:tblBorders>
        <w:top w:val="single" w:sz="4" w:space="0" w:color="4FCDFF" w:themeColor="accent2" w:themeTint="99"/>
        <w:bottom w:val="single" w:sz="4" w:space="0" w:color="4FCDFF" w:themeColor="accent2" w:themeTint="99"/>
        <w:insideH w:val="single" w:sz="4" w:space="0" w:color="4FCD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elenco1chiara-colore4">
    <w:name w:val="List Table 1 Light Accent 4"/>
    <w:basedOn w:val="Tabellanormale"/>
    <w:uiPriority w:val="46"/>
    <w:rsid w:val="004E626F"/>
    <w:tblPr>
      <w:tblStyleRowBandSize w:val="1"/>
      <w:tblStyleColBandSize w:val="1"/>
    </w:tblPr>
    <w:tblStylePr w:type="firstRow">
      <w:rPr>
        <w:b/>
        <w:bCs/>
      </w:rPr>
      <w:tblPr/>
      <w:tcPr>
        <w:tcBorders>
          <w:bottom w:val="single" w:sz="4" w:space="0" w:color="5FF2CA" w:themeColor="accent4" w:themeTint="99"/>
        </w:tcBorders>
      </w:tcPr>
    </w:tblStylePr>
    <w:tblStylePr w:type="lastRow">
      <w:rPr>
        <w:b/>
        <w:bCs/>
      </w:rPr>
      <w:tblPr/>
      <w:tcPr>
        <w:tcBorders>
          <w:top w:val="sing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Tabellaelenco2-colore3">
    <w:name w:val="List Table 2 Accent 3"/>
    <w:basedOn w:val="Tabellanormale"/>
    <w:uiPriority w:val="47"/>
    <w:rsid w:val="004E626F"/>
    <w:tblPr>
      <w:tblStyleRowBandSize w:val="1"/>
      <w:tblStyleColBandSize w:val="1"/>
      <w:tblBorders>
        <w:top w:val="single" w:sz="4" w:space="0" w:color="5DEFF6" w:themeColor="accent3" w:themeTint="99"/>
        <w:bottom w:val="single" w:sz="4" w:space="0" w:color="5DEFF6" w:themeColor="accent3" w:themeTint="99"/>
        <w:insideH w:val="single" w:sz="4" w:space="0" w:color="5DEFF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character" w:styleId="Collegamentovisitato">
    <w:name w:val="FollowedHyperlink"/>
    <w:basedOn w:val="Carpredefinitoparagrafo"/>
    <w:uiPriority w:val="99"/>
    <w:rsid w:val="00C55310"/>
    <w:rPr>
      <w:color w:val="85DFD0" w:themeColor="followedHyperlink"/>
      <w:u w:val="single"/>
    </w:rPr>
  </w:style>
  <w:style w:type="paragraph" w:styleId="Citazioneintensa">
    <w:name w:val="Intense Quote"/>
    <w:basedOn w:val="Normale"/>
    <w:next w:val="Normale"/>
    <w:link w:val="CitazioneintensaCarattere"/>
    <w:uiPriority w:val="30"/>
    <w:qFormat/>
    <w:rsid w:val="00794F6F"/>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CitazioneintensaCarattere">
    <w:name w:val="Citazione intensa Carattere"/>
    <w:basedOn w:val="Carpredefinitoparagrafo"/>
    <w:link w:val="Citazioneintensa"/>
    <w:uiPriority w:val="30"/>
    <w:rsid w:val="00794F6F"/>
    <w:rPr>
      <w:i/>
      <w:iCs/>
      <w:color w:val="0F6FC6" w:themeColor="accent1"/>
    </w:rPr>
  </w:style>
  <w:style w:type="paragraph" w:customStyle="1" w:styleId="tx">
    <w:name w:val="tx"/>
    <w:basedOn w:val="Normale"/>
    <w:rsid w:val="00821326"/>
    <w:pPr>
      <w:spacing w:before="20" w:after="20"/>
      <w:jc w:val="left"/>
    </w:pPr>
    <w:rPr>
      <w:rFonts w:ascii="Times New Roman" w:hAnsi="Times New Roman"/>
      <w:sz w:val="24"/>
      <w:szCs w:val="24"/>
    </w:rPr>
  </w:style>
  <w:style w:type="character" w:styleId="Rimandonotadichiusura">
    <w:name w:val="endnote reference"/>
    <w:uiPriority w:val="99"/>
    <w:rsid w:val="00821326"/>
    <w:rPr>
      <w:vertAlign w:val="superscript"/>
    </w:rPr>
  </w:style>
  <w:style w:type="character" w:customStyle="1" w:styleId="CarattereCarattere">
    <w:name w:val="Carattere Carattere"/>
    <w:semiHidden/>
    <w:locked/>
    <w:rsid w:val="00820F35"/>
    <w:rPr>
      <w:rFonts w:ascii="Calibri" w:hAnsi="Calibri"/>
      <w:lang w:val="it-IT" w:eastAsia="it-IT" w:bidi="ar-SA"/>
    </w:rPr>
  </w:style>
  <w:style w:type="table" w:customStyle="1" w:styleId="Grigliatabella1">
    <w:name w:val="Griglia tabella1"/>
    <w:basedOn w:val="Tabellanormale"/>
    <w:next w:val="Grigliatabella"/>
    <w:rsid w:val="0082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820F35"/>
    <w:rPr>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2-colore2">
    <w:name w:val="Grid Table 2 Accent 2"/>
    <w:basedOn w:val="Tabellanormale"/>
    <w:uiPriority w:val="47"/>
    <w:rsid w:val="00820F35"/>
    <w:tblPr>
      <w:tblStyleRowBandSize w:val="1"/>
      <w:tblStyleColBandSize w:val="1"/>
      <w:tblBorders>
        <w:top w:val="single" w:sz="2" w:space="0" w:color="4FCDFF" w:themeColor="accent2" w:themeTint="99"/>
        <w:bottom w:val="single" w:sz="2" w:space="0" w:color="4FCDFF" w:themeColor="accent2" w:themeTint="99"/>
        <w:insideH w:val="single" w:sz="2" w:space="0" w:color="4FCDFF" w:themeColor="accent2" w:themeTint="99"/>
        <w:insideV w:val="single" w:sz="2" w:space="0" w:color="4FCDFF" w:themeColor="accent2" w:themeTint="99"/>
      </w:tblBorders>
    </w:tblPr>
    <w:tblStylePr w:type="firstRow">
      <w:rPr>
        <w:b/>
        <w:bCs/>
      </w:rPr>
      <w:tblPr/>
      <w:tcPr>
        <w:tcBorders>
          <w:top w:val="nil"/>
          <w:bottom w:val="single" w:sz="12" w:space="0" w:color="4FCDFF" w:themeColor="accent2" w:themeTint="99"/>
          <w:insideH w:val="nil"/>
          <w:insideV w:val="nil"/>
        </w:tcBorders>
        <w:shd w:val="clear" w:color="auto" w:fill="FFFFFF" w:themeFill="background1"/>
      </w:tcPr>
    </w:tblStylePr>
    <w:tblStylePr w:type="lastRow">
      <w:rPr>
        <w:b/>
        <w:bCs/>
      </w:rPr>
      <w:tblPr/>
      <w:tcPr>
        <w:tcBorders>
          <w:top w:val="double" w:sz="2" w:space="0" w:color="4FCD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griglia2-colore6">
    <w:name w:val="Grid Table 2 Accent 6"/>
    <w:basedOn w:val="Tabellanormale"/>
    <w:uiPriority w:val="47"/>
    <w:rsid w:val="00820F35"/>
    <w:tblPr>
      <w:tblStyleRowBandSize w:val="1"/>
      <w:tblStyleColBandSize w:val="1"/>
      <w:tblBorders>
        <w:top w:val="single" w:sz="2" w:space="0" w:color="DDE8BC" w:themeColor="accent6" w:themeTint="99"/>
        <w:bottom w:val="single" w:sz="2" w:space="0" w:color="DDE8BC" w:themeColor="accent6" w:themeTint="99"/>
        <w:insideH w:val="single" w:sz="2" w:space="0" w:color="DDE8BC" w:themeColor="accent6" w:themeTint="99"/>
        <w:insideV w:val="single" w:sz="2" w:space="0" w:color="DDE8BC" w:themeColor="accent6" w:themeTint="99"/>
      </w:tblBorders>
    </w:tblPr>
    <w:tblStylePr w:type="firstRow">
      <w:rPr>
        <w:b/>
        <w:bCs/>
      </w:rPr>
      <w:tblPr/>
      <w:tcPr>
        <w:tcBorders>
          <w:top w:val="nil"/>
          <w:bottom w:val="single" w:sz="12" w:space="0" w:color="DDE8BC" w:themeColor="accent6" w:themeTint="99"/>
          <w:insideH w:val="nil"/>
          <w:insideV w:val="nil"/>
        </w:tcBorders>
        <w:shd w:val="clear" w:color="auto" w:fill="FFFFFF" w:themeFill="background1"/>
      </w:tcPr>
    </w:tblStylePr>
    <w:tblStylePr w:type="lastRow">
      <w:rPr>
        <w:b/>
        <w:bCs/>
      </w:rPr>
      <w:tblPr/>
      <w:tcPr>
        <w:tcBorders>
          <w:top w:val="double" w:sz="2" w:space="0" w:color="DDE8B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character" w:customStyle="1" w:styleId="TestonormaleCarattere">
    <w:name w:val="Testo normale Carattere"/>
    <w:basedOn w:val="Carpredefinitoparagrafo"/>
    <w:link w:val="Testonormale"/>
    <w:rsid w:val="00820F35"/>
    <w:rPr>
      <w:rFonts w:ascii="Courier New" w:hAnsi="Courier New" w:cs="Courier New"/>
      <w:sz w:val="22"/>
    </w:rPr>
  </w:style>
  <w:style w:type="character" w:customStyle="1" w:styleId="DidascaliaimmagineCarattere">
    <w:name w:val="Didascalia immagine Carattere"/>
    <w:link w:val="Didascaliaimmagine"/>
    <w:rsid w:val="00820F35"/>
    <w:rPr>
      <w:rFonts w:ascii="Calibri" w:eastAsia="Droid Sans Fallback" w:hAnsi="Calibri" w:cs="Lohit Hindi"/>
      <w:i/>
      <w:kern w:val="1"/>
      <w:sz w:val="22"/>
      <w:szCs w:val="22"/>
      <w:lang w:eastAsia="zh-CN" w:bidi="hi-IN"/>
    </w:rPr>
  </w:style>
  <w:style w:type="character" w:customStyle="1" w:styleId="TitoloCarattere">
    <w:name w:val="Titolo Carattere"/>
    <w:basedOn w:val="Carpredefinitoparagrafo"/>
    <w:link w:val="Titolo"/>
    <w:uiPriority w:val="10"/>
    <w:rsid w:val="00794F6F"/>
    <w:rPr>
      <w:rFonts w:asciiTheme="majorHAnsi" w:eastAsiaTheme="majorEastAsia" w:hAnsiTheme="majorHAnsi" w:cstheme="majorBidi"/>
      <w:spacing w:val="-10"/>
      <w:kern w:val="28"/>
      <w:sz w:val="56"/>
      <w:szCs w:val="56"/>
    </w:rPr>
  </w:style>
  <w:style w:type="character" w:customStyle="1" w:styleId="Corpodeltesto2Carattere">
    <w:name w:val="Corpo del testo 2 Carattere"/>
    <w:basedOn w:val="Carpredefinitoparagrafo"/>
    <w:link w:val="Corpodeltesto2"/>
    <w:rsid w:val="00820F35"/>
    <w:rPr>
      <w:rFonts w:ascii="Calibri" w:hAnsi="Calibri"/>
      <w:sz w:val="22"/>
    </w:rPr>
  </w:style>
  <w:style w:type="character" w:customStyle="1" w:styleId="SoggettocommentoCarattere">
    <w:name w:val="Soggetto commento Carattere"/>
    <w:basedOn w:val="TestocommentoCarattere"/>
    <w:link w:val="Soggettocommento"/>
    <w:rsid w:val="00820F35"/>
    <w:rPr>
      <w:rFonts w:ascii="Calibri" w:hAnsi="Calibri"/>
      <w:b/>
      <w:bCs/>
      <w:sz w:val="22"/>
    </w:rPr>
  </w:style>
  <w:style w:type="character" w:customStyle="1" w:styleId="PreformattatoHTMLCarattere">
    <w:name w:val="Preformattato HTML Carattere"/>
    <w:basedOn w:val="Carpredefinitoparagrafo"/>
    <w:link w:val="PreformattatoHTML"/>
    <w:uiPriority w:val="99"/>
    <w:rsid w:val="00820F35"/>
    <w:rPr>
      <w:rFonts w:ascii="Courier New" w:hAnsi="Courier New" w:cs="Courier New"/>
    </w:rPr>
  </w:style>
  <w:style w:type="character" w:customStyle="1" w:styleId="DataCarattere">
    <w:name w:val="Data Carattere"/>
    <w:basedOn w:val="Carpredefinitoparagrafo"/>
    <w:link w:val="Data"/>
    <w:rsid w:val="00820F35"/>
    <w:rPr>
      <w:rFonts w:ascii="Arial" w:hAnsi="Arial"/>
      <w:sz w:val="22"/>
    </w:rPr>
  </w:style>
  <w:style w:type="character" w:customStyle="1" w:styleId="FirmaCarattere">
    <w:name w:val="Firma Carattere"/>
    <w:basedOn w:val="Carpredefinitoparagrafo"/>
    <w:link w:val="Firma"/>
    <w:rsid w:val="00820F35"/>
    <w:rPr>
      <w:rFonts w:ascii="Arial" w:hAnsi="Arial"/>
      <w:sz w:val="22"/>
    </w:rPr>
  </w:style>
  <w:style w:type="character" w:customStyle="1" w:styleId="FirmadipostaelettronicaCarattere">
    <w:name w:val="Firma di posta elettronica Carattere"/>
    <w:basedOn w:val="Carpredefinitoparagrafo"/>
    <w:link w:val="Firmadipostaelettronica"/>
    <w:rsid w:val="00820F35"/>
    <w:rPr>
      <w:rFonts w:ascii="Arial" w:hAnsi="Arial"/>
      <w:sz w:val="22"/>
    </w:rPr>
  </w:style>
  <w:style w:type="character" w:customStyle="1" w:styleId="FormuladiaperturaCarattere">
    <w:name w:val="Formula di apertura Carattere"/>
    <w:basedOn w:val="Carpredefinitoparagrafo"/>
    <w:link w:val="Formuladiapertura"/>
    <w:rsid w:val="00820F35"/>
    <w:rPr>
      <w:rFonts w:ascii="Arial" w:hAnsi="Arial"/>
      <w:sz w:val="22"/>
    </w:rPr>
  </w:style>
  <w:style w:type="character" w:customStyle="1" w:styleId="FormuladichiusuraCarattere">
    <w:name w:val="Formula di chiusura Carattere"/>
    <w:basedOn w:val="Carpredefinitoparagrafo"/>
    <w:link w:val="Formuladichiusura"/>
    <w:rsid w:val="00820F35"/>
    <w:rPr>
      <w:rFonts w:ascii="Arial" w:hAnsi="Arial"/>
      <w:sz w:val="22"/>
    </w:rPr>
  </w:style>
  <w:style w:type="character" w:customStyle="1" w:styleId="IndirizzoHTMLCarattere">
    <w:name w:val="Indirizzo HTML Carattere"/>
    <w:basedOn w:val="Carpredefinitoparagrafo"/>
    <w:link w:val="IndirizzoHTML"/>
    <w:rsid w:val="00820F35"/>
    <w:rPr>
      <w:rFonts w:ascii="Arial" w:hAnsi="Arial"/>
      <w:i/>
      <w:iCs/>
      <w:sz w:val="22"/>
    </w:rPr>
  </w:style>
  <w:style w:type="character" w:customStyle="1" w:styleId="IntestazionemessaggioCarattere">
    <w:name w:val="Intestazione messaggio Carattere"/>
    <w:basedOn w:val="Carpredefinitoparagrafo"/>
    <w:link w:val="Intestazionemessaggio"/>
    <w:rsid w:val="00820F35"/>
    <w:rPr>
      <w:rFonts w:ascii="Arial" w:hAnsi="Arial" w:cs="Arial"/>
      <w:sz w:val="24"/>
      <w:szCs w:val="24"/>
      <w:shd w:val="pct20" w:color="auto" w:fill="auto"/>
    </w:rPr>
  </w:style>
  <w:style w:type="character" w:customStyle="1" w:styleId="IntestazionenotaCarattere">
    <w:name w:val="Intestazione nota Carattere"/>
    <w:basedOn w:val="Carpredefinitoparagrafo"/>
    <w:link w:val="Intestazionenota"/>
    <w:rsid w:val="00820F35"/>
    <w:rPr>
      <w:rFonts w:ascii="Arial" w:hAnsi="Arial"/>
      <w:sz w:val="22"/>
    </w:rPr>
  </w:style>
  <w:style w:type="character" w:customStyle="1" w:styleId="MappadocumentoCarattere">
    <w:name w:val="Mappa documento Carattere"/>
    <w:basedOn w:val="Carpredefinitoparagrafo"/>
    <w:link w:val="Mappadocumento"/>
    <w:rsid w:val="00820F35"/>
    <w:rPr>
      <w:rFonts w:ascii="Tahoma" w:hAnsi="Tahoma" w:cs="Tahoma"/>
      <w:shd w:val="clear" w:color="auto" w:fill="000080"/>
    </w:rPr>
  </w:style>
  <w:style w:type="character" w:customStyle="1" w:styleId="PrimorientrocorpodeltestoCarattere">
    <w:name w:val="Primo rientro corpo del testo Carattere"/>
    <w:basedOn w:val="CorpotestoCarattere"/>
    <w:link w:val="Primorientrocorpodeltesto"/>
    <w:rsid w:val="00820F35"/>
    <w:rPr>
      <w:rFonts w:ascii="Arial" w:hAnsi="Arial"/>
      <w:sz w:val="22"/>
    </w:rPr>
  </w:style>
  <w:style w:type="character" w:customStyle="1" w:styleId="RientrocorpodeltestoCarattere">
    <w:name w:val="Rientro corpo del testo Carattere"/>
    <w:basedOn w:val="Carpredefinitoparagrafo"/>
    <w:link w:val="Rientrocorpodeltesto"/>
    <w:rsid w:val="00820F35"/>
    <w:rPr>
      <w:rFonts w:ascii="Arial" w:hAnsi="Arial"/>
      <w:sz w:val="22"/>
    </w:rPr>
  </w:style>
  <w:style w:type="character" w:customStyle="1" w:styleId="Primorientrocorpodeltesto2Carattere">
    <w:name w:val="Primo rientro corpo del testo 2 Carattere"/>
    <w:basedOn w:val="RientrocorpodeltestoCarattere"/>
    <w:link w:val="Primorientrocorpodeltesto2"/>
    <w:rsid w:val="00820F35"/>
    <w:rPr>
      <w:rFonts w:ascii="Arial" w:hAnsi="Arial"/>
      <w:sz w:val="22"/>
    </w:rPr>
  </w:style>
  <w:style w:type="character" w:customStyle="1" w:styleId="Rientrocorpodeltesto2Carattere">
    <w:name w:val="Rientro corpo del testo 2 Carattere"/>
    <w:basedOn w:val="Carpredefinitoparagrafo"/>
    <w:link w:val="Rientrocorpodeltesto2"/>
    <w:rsid w:val="00820F35"/>
    <w:rPr>
      <w:rFonts w:ascii="Arial" w:hAnsi="Arial"/>
      <w:sz w:val="22"/>
    </w:rPr>
  </w:style>
  <w:style w:type="character" w:customStyle="1" w:styleId="Rientrocorpodeltesto3Carattere">
    <w:name w:val="Rientro corpo del testo 3 Carattere"/>
    <w:basedOn w:val="Carpredefinitoparagrafo"/>
    <w:link w:val="Rientrocorpodeltesto3"/>
    <w:rsid w:val="00820F35"/>
    <w:rPr>
      <w:rFonts w:ascii="Arial" w:hAnsi="Arial"/>
      <w:sz w:val="16"/>
      <w:szCs w:val="16"/>
    </w:rPr>
  </w:style>
  <w:style w:type="character" w:customStyle="1" w:styleId="SottotitoloCarattere">
    <w:name w:val="Sottotitolo Carattere"/>
    <w:basedOn w:val="Carpredefinitoparagrafo"/>
    <w:link w:val="Sottotitolo"/>
    <w:uiPriority w:val="11"/>
    <w:rsid w:val="00794F6F"/>
    <w:rPr>
      <w:rFonts w:eastAsiaTheme="minorEastAsia"/>
      <w:color w:val="5A5A5A" w:themeColor="text1" w:themeTint="A5"/>
      <w:spacing w:val="15"/>
    </w:rPr>
  </w:style>
  <w:style w:type="character" w:customStyle="1" w:styleId="TestomacroCarattere">
    <w:name w:val="Testo macro Carattere"/>
    <w:basedOn w:val="Carpredefinitoparagrafo"/>
    <w:link w:val="Testomacro"/>
    <w:rsid w:val="00820F35"/>
    <w:rPr>
      <w:rFonts w:ascii="Courier New" w:hAnsi="Courier New" w:cs="Courier New"/>
    </w:rPr>
  </w:style>
  <w:style w:type="paragraph" w:styleId="Nessunaspaziatura">
    <w:name w:val="No Spacing"/>
    <w:basedOn w:val="Normale"/>
    <w:link w:val="NessunaspaziaturaCarattere"/>
    <w:uiPriority w:val="1"/>
    <w:qFormat/>
    <w:rsid w:val="00794F6F"/>
    <w:pPr>
      <w:spacing w:after="0" w:line="240" w:lineRule="auto"/>
    </w:pPr>
  </w:style>
  <w:style w:type="character" w:customStyle="1" w:styleId="NessunaspaziaturaCarattere">
    <w:name w:val="Nessuna spaziatura Carattere"/>
    <w:basedOn w:val="Carpredefinitoparagrafo"/>
    <w:link w:val="Nessunaspaziatura"/>
    <w:uiPriority w:val="1"/>
    <w:rsid w:val="00820F35"/>
  </w:style>
  <w:style w:type="paragraph" w:customStyle="1" w:styleId="TitoloS">
    <w:name w:val="Titolo S"/>
    <w:basedOn w:val="Normale"/>
    <w:uiPriority w:val="99"/>
    <w:qFormat/>
    <w:rsid w:val="00820F35"/>
    <w:pPr>
      <w:jc w:val="left"/>
    </w:pPr>
    <w:rPr>
      <w:b/>
      <w:color w:val="002060"/>
      <w:sz w:val="32"/>
      <w:lang w:eastAsia="en-US"/>
    </w:rPr>
  </w:style>
  <w:style w:type="paragraph" w:customStyle="1" w:styleId="SottotitoloS">
    <w:name w:val="Sottotitolo S"/>
    <w:basedOn w:val="Normale"/>
    <w:uiPriority w:val="99"/>
    <w:qFormat/>
    <w:rsid w:val="00820F35"/>
    <w:pPr>
      <w:jc w:val="left"/>
    </w:pPr>
    <w:rPr>
      <w:b/>
      <w:color w:val="00194C"/>
      <w:sz w:val="28"/>
      <w:lang w:eastAsia="en-US"/>
    </w:rPr>
  </w:style>
  <w:style w:type="character" w:styleId="Enfasidelicata">
    <w:name w:val="Subtle Emphasis"/>
    <w:uiPriority w:val="19"/>
    <w:qFormat/>
    <w:rsid w:val="00794F6F"/>
    <w:rPr>
      <w:i/>
      <w:iCs/>
      <w:color w:val="404040" w:themeColor="text1" w:themeTint="BF"/>
    </w:rPr>
  </w:style>
  <w:style w:type="paragraph" w:customStyle="1" w:styleId="OGGETTO">
    <w:name w:val="OGGETTO"/>
    <w:basedOn w:val="Normale"/>
    <w:link w:val="OGGETTOCarattere"/>
    <w:rsid w:val="00820F35"/>
    <w:pPr>
      <w:ind w:left="1440" w:hanging="1440"/>
    </w:pPr>
    <w:rPr>
      <w:rFonts w:ascii="Times New Roman" w:hAnsi="Times New Roman"/>
      <w:b/>
      <w:sz w:val="24"/>
      <w:szCs w:val="24"/>
    </w:rPr>
  </w:style>
  <w:style w:type="character" w:customStyle="1" w:styleId="OGGETTOCarattere">
    <w:name w:val="OGGETTO Carattere"/>
    <w:link w:val="OGGETTO"/>
    <w:locked/>
    <w:rsid w:val="00820F35"/>
    <w:rPr>
      <w:b/>
      <w:sz w:val="24"/>
      <w:szCs w:val="24"/>
    </w:rPr>
  </w:style>
  <w:style w:type="character" w:customStyle="1" w:styleId="jtukpc">
    <w:name w:val="jtukpc"/>
    <w:basedOn w:val="Carpredefinitoparagrafo"/>
    <w:rsid w:val="00820F35"/>
  </w:style>
  <w:style w:type="character" w:customStyle="1" w:styleId="Corpodeltesto3Carattere">
    <w:name w:val="Corpo del testo 3 Carattere"/>
    <w:basedOn w:val="Carpredefinitoparagrafo"/>
    <w:link w:val="Corpodeltesto3"/>
    <w:rsid w:val="00820F35"/>
    <w:rPr>
      <w:rFonts w:ascii="Calibri" w:hAnsi="Calibri"/>
      <w:sz w:val="16"/>
      <w:szCs w:val="16"/>
    </w:rPr>
  </w:style>
  <w:style w:type="paragraph" w:customStyle="1" w:styleId="StileStileTitolo2MotivoTrasparenteBlughiaccioMotivo">
    <w:name w:val="Stile Stile Titolo 2 + Motivo: Trasparente (Blu ghiaccio) + Motivo:..."/>
    <w:basedOn w:val="Normale"/>
    <w:rsid w:val="00820F35"/>
    <w:pPr>
      <w:keepNext/>
      <w:pBdr>
        <w:top w:val="single" w:sz="4" w:space="1" w:color="000000"/>
        <w:bottom w:val="single" w:sz="4" w:space="1" w:color="000000"/>
      </w:pBdr>
      <w:shd w:val="clear" w:color="auto" w:fill="F3F7E8" w:themeFill="accent6" w:themeFillTint="33"/>
      <w:suppressAutoHyphens/>
      <w:spacing w:after="240" w:line="480" w:lineRule="auto"/>
      <w:outlineLvl w:val="1"/>
    </w:pPr>
    <w:rPr>
      <w:rFonts w:ascii="Arial" w:hAnsi="Arial"/>
      <w:sz w:val="28"/>
      <w:lang w:eastAsia="zh-CN"/>
    </w:rPr>
  </w:style>
  <w:style w:type="paragraph" w:customStyle="1" w:styleId="Normaleprima0pt">
    <w:name w:val="Normale + prima 0 pt"/>
    <w:basedOn w:val="Normale"/>
    <w:rsid w:val="00820F35"/>
    <w:rPr>
      <w:rFonts w:cs="Arial"/>
    </w:rPr>
  </w:style>
  <w:style w:type="paragraph" w:customStyle="1" w:styleId="TitoloPEG2">
    <w:name w:val="Titolo PEG 2"/>
    <w:basedOn w:val="Titolo2"/>
    <w:rsid w:val="00820F35"/>
    <w:pPr>
      <w:numPr>
        <w:ilvl w:val="0"/>
        <w:numId w:val="0"/>
      </w:numPr>
      <w:pBdr>
        <w:top w:val="single" w:sz="4" w:space="1" w:color="auto"/>
        <w:bottom w:val="single" w:sz="4" w:space="1" w:color="auto"/>
      </w:pBdr>
      <w:shd w:val="clear" w:color="auto" w:fill="99CCFF"/>
      <w:tabs>
        <w:tab w:val="clear" w:pos="1276"/>
        <w:tab w:val="left" w:pos="851"/>
      </w:tabs>
      <w:spacing w:before="120" w:line="480" w:lineRule="auto"/>
      <w:outlineLvl w:val="9"/>
    </w:pPr>
    <w:rPr>
      <w:rFonts w:ascii="Arial" w:hAnsi="Arial" w:cs="Times New Roman"/>
      <w:bCs w:val="0"/>
      <w:iCs w:val="0"/>
      <w:sz w:val="28"/>
      <w:szCs w:val="20"/>
    </w:rPr>
  </w:style>
  <w:style w:type="table" w:customStyle="1" w:styleId="TabellaDatiAMP">
    <w:name w:val="Tabella Dati AMP"/>
    <w:basedOn w:val="Tabellanormale"/>
    <w:uiPriority w:val="99"/>
    <w:rsid w:val="00820F35"/>
    <w:rPr>
      <w:rFonts w:ascii="Calibri" w:hAnsi="Calibri"/>
    </w:rPr>
    <w:tblPr/>
    <w:tcPr>
      <w:shd w:val="clear" w:color="auto" w:fill="auto"/>
    </w:tcPr>
  </w:style>
  <w:style w:type="table" w:styleId="Tabellagriglia2">
    <w:name w:val="Grid Table 2"/>
    <w:basedOn w:val="Tabellanormale"/>
    <w:uiPriority w:val="47"/>
    <w:rsid w:val="00820F3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eIntestazione">
    <w:name w:val="NormaleIntestazione"/>
    <w:uiPriority w:val="99"/>
    <w:rsid w:val="00820F35"/>
    <w:pPr>
      <w:autoSpaceDE w:val="0"/>
      <w:autoSpaceDN w:val="0"/>
    </w:pPr>
    <w:rPr>
      <w:rFonts w:ascii="Arial" w:hAnsi="Arial" w:cs="Arial"/>
      <w:noProof/>
      <w:lang w:val="en-US"/>
    </w:rPr>
  </w:style>
  <w:style w:type="table" w:styleId="Tabellagriglia4-colore6">
    <w:name w:val="Grid Table 4 Accent 6"/>
    <w:basedOn w:val="Tabellanormale"/>
    <w:uiPriority w:val="49"/>
    <w:rsid w:val="00820F35"/>
    <w:tblPr>
      <w:tblStyleRowBandSize w:val="1"/>
      <w:tblStyleColBandSize w:val="1"/>
      <w:tblBorders>
        <w:top w:val="single" w:sz="4" w:space="0" w:color="DDE8BC" w:themeColor="accent6" w:themeTint="99"/>
        <w:left w:val="single" w:sz="4" w:space="0" w:color="DDE8BC" w:themeColor="accent6" w:themeTint="99"/>
        <w:bottom w:val="single" w:sz="4" w:space="0" w:color="DDE8BC" w:themeColor="accent6" w:themeTint="99"/>
        <w:right w:val="single" w:sz="4" w:space="0" w:color="DDE8BC" w:themeColor="accent6" w:themeTint="99"/>
        <w:insideH w:val="single" w:sz="4" w:space="0" w:color="DDE8BC" w:themeColor="accent6" w:themeTint="99"/>
        <w:insideV w:val="single" w:sz="4" w:space="0" w:color="DDE8BC" w:themeColor="accent6" w:themeTint="99"/>
      </w:tblBorders>
    </w:tblPr>
    <w:tblStylePr w:type="firstRow">
      <w:rPr>
        <w:b/>
        <w:bCs/>
        <w:color w:val="FFFFFF" w:themeColor="background1"/>
      </w:rPr>
      <w:tblPr/>
      <w:tcPr>
        <w:tcBorders>
          <w:top w:val="single" w:sz="4" w:space="0" w:color="C8DA91" w:themeColor="accent6"/>
          <w:left w:val="single" w:sz="4" w:space="0" w:color="C8DA91" w:themeColor="accent6"/>
          <w:bottom w:val="single" w:sz="4" w:space="0" w:color="C8DA91" w:themeColor="accent6"/>
          <w:right w:val="single" w:sz="4" w:space="0" w:color="C8DA91" w:themeColor="accent6"/>
          <w:insideH w:val="nil"/>
          <w:insideV w:val="nil"/>
        </w:tcBorders>
        <w:shd w:val="clear" w:color="auto" w:fill="C8DA91" w:themeFill="accent6"/>
      </w:tcPr>
    </w:tblStylePr>
    <w:tblStylePr w:type="lastRow">
      <w:rPr>
        <w:b/>
        <w:bCs/>
      </w:rPr>
      <w:tblPr/>
      <w:tcPr>
        <w:tcBorders>
          <w:top w:val="double" w:sz="4" w:space="0" w:color="C8DA91" w:themeColor="accent6"/>
        </w:tcBorders>
      </w:tc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table" w:styleId="Tabellagriglia4-colore1">
    <w:name w:val="Grid Table 4 Accent 1"/>
    <w:basedOn w:val="Tabellanormale"/>
    <w:uiPriority w:val="49"/>
    <w:rsid w:val="00820F35"/>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Tabellaelenco4-colore3">
    <w:name w:val="List Table 4 Accent 3"/>
    <w:basedOn w:val="Tabellanormale"/>
    <w:uiPriority w:val="49"/>
    <w:rsid w:val="00820F35"/>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tcBorders>
        <w:shd w:val="clear" w:color="auto" w:fill="0BD0D9" w:themeFill="accent3"/>
      </w:tcPr>
    </w:tblStylePr>
    <w:tblStylePr w:type="lastRow">
      <w:rPr>
        <w:b/>
        <w:bCs/>
      </w:rPr>
      <w:tblPr/>
      <w:tcPr>
        <w:tcBorders>
          <w:top w:val="double" w:sz="4" w:space="0" w:color="5DEFF6" w:themeColor="accent3" w:themeTint="99"/>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Tabellagriglia4-colore2">
    <w:name w:val="Grid Table 4 Accent 2"/>
    <w:basedOn w:val="Tabellanormale"/>
    <w:uiPriority w:val="49"/>
    <w:rsid w:val="00820F35"/>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griglia6acolori-colore2">
    <w:name w:val="Grid Table 6 Colorful Accent 2"/>
    <w:basedOn w:val="Tabellanormale"/>
    <w:uiPriority w:val="51"/>
    <w:rsid w:val="00820F35"/>
    <w:rPr>
      <w:color w:val="0075A2" w:themeColor="accent2" w:themeShade="BF"/>
    </w:r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rPr>
      <w:tblPr/>
      <w:tcPr>
        <w:tcBorders>
          <w:bottom w:val="single" w:sz="12" w:space="0" w:color="4FCDFF" w:themeColor="accent2" w:themeTint="99"/>
        </w:tcBorders>
      </w:tcPr>
    </w:tblStylePr>
    <w:tblStylePr w:type="lastRow">
      <w:rPr>
        <w:b/>
        <w:bCs/>
      </w:rPr>
      <w:tblPr/>
      <w:tcPr>
        <w:tcBorders>
          <w:top w:val="doub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griglia4-colore3">
    <w:name w:val="Grid Table 4 Accent 3"/>
    <w:basedOn w:val="Tabellanormale"/>
    <w:uiPriority w:val="49"/>
    <w:rsid w:val="00820F35"/>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insideV w:val="nil"/>
        </w:tcBorders>
        <w:shd w:val="clear" w:color="auto" w:fill="0BD0D9" w:themeFill="accent3"/>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customStyle="1" w:styleId="Stile1">
    <w:name w:val="Stile1"/>
    <w:basedOn w:val="Grigliachiara-Colore2"/>
    <w:uiPriority w:val="99"/>
    <w:rsid w:val="00820F35"/>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Tabellagriglia6acolori-colore4">
    <w:name w:val="Grid Table 6 Colorful Accent 4"/>
    <w:basedOn w:val="Tabellanormale"/>
    <w:uiPriority w:val="51"/>
    <w:rsid w:val="00820F35"/>
    <w:rPr>
      <w:color w:val="0C9A73" w:themeColor="accent4" w:themeShade="BF"/>
    </w:r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insideV w:val="single" w:sz="4" w:space="0" w:color="5FF2CA" w:themeColor="accent4" w:themeTint="99"/>
      </w:tblBorders>
    </w:tblPr>
    <w:tblStylePr w:type="firstRow">
      <w:rPr>
        <w:b/>
        <w:bCs/>
      </w:rPr>
      <w:tblPr/>
      <w:tcPr>
        <w:tcBorders>
          <w:bottom w:val="single" w:sz="12" w:space="0" w:color="5FF2CA" w:themeColor="accent4" w:themeTint="99"/>
        </w:tcBorders>
      </w:tcPr>
    </w:tblStylePr>
    <w:tblStylePr w:type="lastRow">
      <w:rPr>
        <w:b/>
        <w:bCs/>
      </w:rPr>
      <w:tblPr/>
      <w:tcPr>
        <w:tcBorders>
          <w:top w:val="doub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Tabellaelenco3-colore5">
    <w:name w:val="List Table 3 Accent 5"/>
    <w:basedOn w:val="Tabellanormale"/>
    <w:uiPriority w:val="48"/>
    <w:rsid w:val="00820F35"/>
    <w:tblPr>
      <w:tblStyleRowBandSize w:val="1"/>
      <w:tblStyleColBandSize w:val="1"/>
      <w:tblBorders>
        <w:top w:val="single" w:sz="4" w:space="0" w:color="7CCA62" w:themeColor="accent5"/>
        <w:left w:val="single" w:sz="4" w:space="0" w:color="7CCA62" w:themeColor="accent5"/>
        <w:bottom w:val="single" w:sz="4" w:space="0" w:color="7CCA62" w:themeColor="accent5"/>
        <w:right w:val="single" w:sz="4" w:space="0" w:color="7CCA62" w:themeColor="accent5"/>
      </w:tblBorders>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table" w:styleId="Grigliachiara-Colore2">
    <w:name w:val="Light Grid Accent 2"/>
    <w:basedOn w:val="Tabellanormale"/>
    <w:uiPriority w:val="62"/>
    <w:semiHidden/>
    <w:unhideWhenUsed/>
    <w:rsid w:val="00820F35"/>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Tabellaelenco4-colore5">
    <w:name w:val="List Table 4 Accent 5"/>
    <w:basedOn w:val="Tabellanormale"/>
    <w:uiPriority w:val="49"/>
    <w:rsid w:val="00820F35"/>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TabellabacinoSudEst">
    <w:name w:val="Tabella bacino SudEst"/>
    <w:basedOn w:val="Tabellaelenco4-colore5"/>
    <w:uiPriority w:val="99"/>
    <w:rsid w:val="00820F35"/>
    <w:tblPr>
      <w:tblBorders>
        <w:top w:val="single" w:sz="4" w:space="0" w:color="BEFEC1"/>
        <w:left w:val="single" w:sz="4" w:space="0" w:color="BEFEC1"/>
        <w:bottom w:val="single" w:sz="4" w:space="0" w:color="BEFEC1"/>
        <w:right w:val="single" w:sz="4" w:space="0" w:color="BEFEC1"/>
        <w:insideH w:val="single" w:sz="4" w:space="0" w:color="BEFEC1"/>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Tabellaelenco1chiara">
    <w:name w:val="List Table 1 Light"/>
    <w:basedOn w:val="Tabellanormale"/>
    <w:uiPriority w:val="46"/>
    <w:rsid w:val="00820F3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2">
    <w:name w:val="List Table 6 Colorful Accent 2"/>
    <w:basedOn w:val="Tabellanormale"/>
    <w:uiPriority w:val="51"/>
    <w:rsid w:val="00820F35"/>
    <w:rPr>
      <w:color w:val="0075A2" w:themeColor="accent2" w:themeShade="BF"/>
    </w:rPr>
    <w:tblPr>
      <w:tblStyleRowBandSize w:val="1"/>
      <w:tblStyleColBandSize w:val="1"/>
      <w:tblBorders>
        <w:top w:val="single" w:sz="4" w:space="0" w:color="009DD9" w:themeColor="accent2"/>
        <w:bottom w:val="single" w:sz="4" w:space="0" w:color="009DD9" w:themeColor="accent2"/>
      </w:tblBorders>
    </w:tblPr>
    <w:tblStylePr w:type="firstRow">
      <w:rPr>
        <w:b/>
        <w:bCs/>
      </w:rPr>
      <w:tblPr/>
      <w:tcPr>
        <w:tcBorders>
          <w:bottom w:val="single" w:sz="4" w:space="0" w:color="009DD9" w:themeColor="accent2"/>
        </w:tcBorders>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elenco3-colore4">
    <w:name w:val="List Table 3 Accent 4"/>
    <w:basedOn w:val="Tabellanormale"/>
    <w:uiPriority w:val="48"/>
    <w:rsid w:val="00820F35"/>
    <w:tblPr>
      <w:tblStyleRowBandSize w:val="1"/>
      <w:tblStyleColBandSize w:val="1"/>
      <w:tblBorders>
        <w:top w:val="single" w:sz="4" w:space="0" w:color="10CF9B" w:themeColor="accent4"/>
        <w:left w:val="single" w:sz="4" w:space="0" w:color="10CF9B" w:themeColor="accent4"/>
        <w:bottom w:val="single" w:sz="4" w:space="0" w:color="10CF9B" w:themeColor="accent4"/>
        <w:right w:val="single" w:sz="4" w:space="0" w:color="10CF9B" w:themeColor="accent4"/>
      </w:tblBorders>
    </w:tblPr>
    <w:tblStylePr w:type="firstRow">
      <w:rPr>
        <w:b/>
        <w:bCs/>
        <w:color w:val="FFFFFF" w:themeColor="background1"/>
      </w:rPr>
      <w:tblPr/>
      <w:tcPr>
        <w:shd w:val="clear" w:color="auto" w:fill="10CF9B" w:themeFill="accent4"/>
      </w:tcPr>
    </w:tblStylePr>
    <w:tblStylePr w:type="lastRow">
      <w:rPr>
        <w:b/>
        <w:bCs/>
      </w:rPr>
      <w:tblPr/>
      <w:tcPr>
        <w:tcBorders>
          <w:top w:val="double" w:sz="4" w:space="0" w:color="10CF9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CF9B" w:themeColor="accent4"/>
          <w:right w:val="single" w:sz="4" w:space="0" w:color="10CF9B" w:themeColor="accent4"/>
        </w:tcBorders>
      </w:tcPr>
    </w:tblStylePr>
    <w:tblStylePr w:type="band1Horz">
      <w:tblPr/>
      <w:tcPr>
        <w:tcBorders>
          <w:top w:val="single" w:sz="4" w:space="0" w:color="10CF9B" w:themeColor="accent4"/>
          <w:bottom w:val="single" w:sz="4" w:space="0" w:color="10CF9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9B" w:themeColor="accent4"/>
          <w:left w:val="nil"/>
        </w:tcBorders>
      </w:tcPr>
    </w:tblStylePr>
    <w:tblStylePr w:type="swCell">
      <w:tblPr/>
      <w:tcPr>
        <w:tcBorders>
          <w:top w:val="double" w:sz="4" w:space="0" w:color="10CF9B" w:themeColor="accent4"/>
          <w:right w:val="nil"/>
        </w:tcBorders>
      </w:tcPr>
    </w:tblStylePr>
  </w:style>
  <w:style w:type="table" w:styleId="Tabellaelenco6acolori-colore4">
    <w:name w:val="List Table 6 Colorful Accent 4"/>
    <w:basedOn w:val="Tabellanormale"/>
    <w:uiPriority w:val="51"/>
    <w:rsid w:val="00820F35"/>
    <w:rPr>
      <w:color w:val="0C9A73" w:themeColor="accent4" w:themeShade="BF"/>
    </w:rPr>
    <w:tblPr>
      <w:tblStyleRowBandSize w:val="1"/>
      <w:tblStyleColBandSize w:val="1"/>
      <w:tblBorders>
        <w:top w:val="single" w:sz="4" w:space="0" w:color="10CF9B" w:themeColor="accent4"/>
        <w:bottom w:val="single" w:sz="4" w:space="0" w:color="10CF9B" w:themeColor="accent4"/>
      </w:tblBorders>
    </w:tblPr>
    <w:tblStylePr w:type="firstRow">
      <w:rPr>
        <w:b/>
        <w:bCs/>
      </w:rPr>
      <w:tblPr/>
      <w:tcPr>
        <w:tcBorders>
          <w:bottom w:val="single" w:sz="4" w:space="0" w:color="10CF9B" w:themeColor="accent4"/>
        </w:tcBorders>
      </w:tcPr>
    </w:tblStylePr>
    <w:tblStylePr w:type="lastRow">
      <w:rPr>
        <w:b/>
        <w:bCs/>
      </w:rPr>
      <w:tblPr/>
      <w:tcPr>
        <w:tcBorders>
          <w:top w:val="double" w:sz="4" w:space="0" w:color="10CF9B" w:themeColor="accent4"/>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paragraph" w:customStyle="1" w:styleId="Sunto">
    <w:name w:val="Sunto"/>
    <w:basedOn w:val="Normale"/>
    <w:uiPriority w:val="19"/>
    <w:qFormat/>
    <w:rsid w:val="00AA2D39"/>
    <w:pPr>
      <w:spacing w:before="360" w:after="600" w:line="288" w:lineRule="auto"/>
      <w:ind w:left="144" w:right="144"/>
      <w:jc w:val="left"/>
    </w:pPr>
    <w:rPr>
      <w:i/>
      <w:iCs/>
      <w:color w:val="7F7F7F" w:themeColor="text1" w:themeTint="80"/>
      <w:kern w:val="20"/>
      <w:sz w:val="28"/>
    </w:rPr>
  </w:style>
  <w:style w:type="paragraph" w:customStyle="1" w:styleId="msonormal0">
    <w:name w:val="msonormal"/>
    <w:basedOn w:val="Normale"/>
    <w:rsid w:val="004D6AD3"/>
    <w:rPr>
      <w:rFonts w:ascii="Times New Roman" w:hAnsi="Times New Roman"/>
      <w:sz w:val="24"/>
      <w:szCs w:val="24"/>
    </w:rPr>
  </w:style>
  <w:style w:type="character" w:styleId="Enfasicorsivo">
    <w:name w:val="Emphasis"/>
    <w:basedOn w:val="Carpredefinitoparagrafo"/>
    <w:uiPriority w:val="20"/>
    <w:qFormat/>
    <w:rsid w:val="00794F6F"/>
    <w:rPr>
      <w:i/>
      <w:iCs/>
    </w:rPr>
  </w:style>
  <w:style w:type="paragraph" w:styleId="Citazione">
    <w:name w:val="Quote"/>
    <w:basedOn w:val="Normale"/>
    <w:next w:val="Normale"/>
    <w:link w:val="CitazioneCarattere"/>
    <w:uiPriority w:val="29"/>
    <w:qFormat/>
    <w:rsid w:val="00794F6F"/>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794F6F"/>
    <w:rPr>
      <w:i/>
      <w:iCs/>
      <w:color w:val="404040" w:themeColor="text1" w:themeTint="BF"/>
    </w:rPr>
  </w:style>
  <w:style w:type="character" w:styleId="Enfasiintensa">
    <w:name w:val="Intense Emphasis"/>
    <w:basedOn w:val="Carpredefinitoparagrafo"/>
    <w:uiPriority w:val="21"/>
    <w:qFormat/>
    <w:rsid w:val="00794F6F"/>
    <w:rPr>
      <w:i/>
      <w:iCs/>
      <w:color w:val="0F6FC6" w:themeColor="accent1"/>
    </w:rPr>
  </w:style>
  <w:style w:type="character" w:styleId="Riferimentodelicato">
    <w:name w:val="Subtle Reference"/>
    <w:basedOn w:val="Carpredefinitoparagrafo"/>
    <w:uiPriority w:val="31"/>
    <w:qFormat/>
    <w:rsid w:val="00794F6F"/>
    <w:rPr>
      <w:smallCaps/>
      <w:color w:val="5A5A5A" w:themeColor="text1" w:themeTint="A5"/>
    </w:rPr>
  </w:style>
  <w:style w:type="character" w:styleId="Riferimentointenso">
    <w:name w:val="Intense Reference"/>
    <w:basedOn w:val="Carpredefinitoparagrafo"/>
    <w:uiPriority w:val="32"/>
    <w:qFormat/>
    <w:rsid w:val="00794F6F"/>
    <w:rPr>
      <w:b/>
      <w:bCs/>
      <w:smallCaps/>
      <w:color w:val="0F6FC6" w:themeColor="accent1"/>
      <w:spacing w:val="5"/>
    </w:rPr>
  </w:style>
  <w:style w:type="character" w:styleId="Titolodellibro">
    <w:name w:val="Book Title"/>
    <w:basedOn w:val="Carpredefinitoparagrafo"/>
    <w:uiPriority w:val="33"/>
    <w:qFormat/>
    <w:rsid w:val="00794F6F"/>
    <w:rPr>
      <w:b/>
      <w:bCs/>
      <w:i/>
      <w:iCs/>
      <w:spacing w:val="5"/>
    </w:rPr>
  </w:style>
  <w:style w:type="paragraph" w:styleId="Titolosommario">
    <w:name w:val="TOC Heading"/>
    <w:basedOn w:val="Titolo1"/>
    <w:next w:val="Normale"/>
    <w:uiPriority w:val="39"/>
    <w:unhideWhenUsed/>
    <w:qFormat/>
    <w:rsid w:val="00794F6F"/>
    <w:pPr>
      <w:outlineLvl w:val="9"/>
    </w:pPr>
  </w:style>
  <w:style w:type="character" w:customStyle="1" w:styleId="hgkelc">
    <w:name w:val="hgkelc"/>
    <w:basedOn w:val="Carpredefinitoparagrafo"/>
    <w:rsid w:val="00292B31"/>
  </w:style>
  <w:style w:type="table" w:styleId="Tabellasemplice5">
    <w:name w:val="Plain Table 5"/>
    <w:basedOn w:val="Tabellanormale"/>
    <w:uiPriority w:val="45"/>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4">
    <w:name w:val="Plain Table 4"/>
    <w:basedOn w:val="Tabellanormale"/>
    <w:uiPriority w:val="44"/>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5">
    <w:name w:val="List Table 2 Accent 5"/>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0DFA0" w:themeColor="accent5" w:themeTint="99"/>
        <w:bottom w:val="single" w:sz="4" w:space="0" w:color="B0DFA0" w:themeColor="accent5" w:themeTint="99"/>
        <w:insideH w:val="single" w:sz="4" w:space="0" w:color="B0DFA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Tabellaelenco6acolori-colore6">
    <w:name w:val="List Table 6 Colorful Accent 6"/>
    <w:basedOn w:val="Tabellanormale"/>
    <w:uiPriority w:val="51"/>
    <w:rsid w:val="005E3A63"/>
    <w:pPr>
      <w:spacing w:after="0" w:line="240" w:lineRule="auto"/>
    </w:pPr>
    <w:rPr>
      <w:rFonts w:ascii="Times New Roman" w:eastAsia="Times New Roman" w:hAnsi="Times New Roman" w:cs="Times New Roman"/>
      <w:color w:val="A5C34C" w:themeColor="accent6" w:themeShade="BF"/>
      <w:sz w:val="20"/>
      <w:szCs w:val="20"/>
    </w:rPr>
    <w:tblPr>
      <w:tblStyleRowBandSize w:val="1"/>
      <w:tblStyleColBandSize w:val="1"/>
      <w:tblBorders>
        <w:top w:val="single" w:sz="4" w:space="0" w:color="C8DA91" w:themeColor="accent6"/>
        <w:bottom w:val="single" w:sz="4" w:space="0" w:color="C8DA91" w:themeColor="accent6"/>
      </w:tblBorders>
    </w:tblPr>
    <w:tblStylePr w:type="firstRow">
      <w:rPr>
        <w:b/>
        <w:bCs/>
      </w:rPr>
      <w:tblPr/>
      <w:tcPr>
        <w:tcBorders>
          <w:bottom w:val="single" w:sz="4" w:space="0" w:color="C8DA91" w:themeColor="accent6"/>
        </w:tcBorders>
      </w:tcPr>
    </w:tblStylePr>
    <w:tblStylePr w:type="lastRow">
      <w:rPr>
        <w:b/>
        <w:bCs/>
      </w:rPr>
      <w:tblPr/>
      <w:tcPr>
        <w:tcBorders>
          <w:top w:val="double" w:sz="4" w:space="0" w:color="C8DA91" w:themeColor="accent6"/>
        </w:tcBorders>
      </w:tc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table" w:styleId="Tabellaelenco6acolori-colore5">
    <w:name w:val="List Table 6 Colorful Accent 5"/>
    <w:basedOn w:val="Tabellanormale"/>
    <w:uiPriority w:val="51"/>
    <w:rsid w:val="005E3A63"/>
    <w:pPr>
      <w:spacing w:after="0" w:line="240" w:lineRule="auto"/>
    </w:pPr>
    <w:rPr>
      <w:rFonts w:ascii="Times New Roman" w:eastAsia="Times New Roman" w:hAnsi="Times New Roman" w:cs="Times New Roman"/>
      <w:color w:val="54A738" w:themeColor="accent5" w:themeShade="BF"/>
      <w:sz w:val="20"/>
      <w:szCs w:val="20"/>
    </w:rPr>
    <w:tblPr>
      <w:tblStyleRowBandSize w:val="1"/>
      <w:tblStyleColBandSize w:val="1"/>
      <w:tblBorders>
        <w:top w:val="single" w:sz="4" w:space="0" w:color="7CCA62" w:themeColor="accent5"/>
        <w:bottom w:val="single" w:sz="4" w:space="0" w:color="7CCA62" w:themeColor="accent5"/>
      </w:tblBorders>
    </w:tblPr>
    <w:tblStylePr w:type="firstRow">
      <w:rPr>
        <w:b/>
        <w:bCs/>
      </w:rPr>
      <w:tblPr/>
      <w:tcPr>
        <w:tcBorders>
          <w:bottom w:val="single" w:sz="4" w:space="0" w:color="7CCA62" w:themeColor="accent5"/>
        </w:tcBorders>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Tabellaelenco2-colore6">
    <w:name w:val="List Table 2 Accent 6"/>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DE8BC" w:themeColor="accent6" w:themeTint="99"/>
        <w:bottom w:val="single" w:sz="4" w:space="0" w:color="DDE8BC" w:themeColor="accent6" w:themeTint="99"/>
        <w:insideH w:val="single" w:sz="4" w:space="0" w:color="DDE8B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table" w:styleId="Grigliatabellachiara">
    <w:name w:val="Grid Table Light"/>
    <w:basedOn w:val="Tabellanormale"/>
    <w:uiPriority w:val="40"/>
    <w:rsid w:val="005E3A63"/>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leSommario1Interlinea15righe">
    <w:name w:val="Stile Sommario 1 + Interlinea 15 righe"/>
    <w:basedOn w:val="Sommario1"/>
    <w:rsid w:val="005E3A63"/>
    <w:pPr>
      <w:tabs>
        <w:tab w:val="clear" w:pos="440"/>
        <w:tab w:val="clear" w:pos="9060"/>
        <w:tab w:val="left" w:pos="540"/>
        <w:tab w:val="right" w:leader="dot" w:pos="8460"/>
      </w:tabs>
      <w:spacing w:before="40" w:after="0" w:line="360" w:lineRule="auto"/>
      <w:ind w:left="454" w:hanging="720"/>
      <w:jc w:val="left"/>
    </w:pPr>
    <w:rPr>
      <w:rFonts w:ascii="Calibri" w:eastAsia="Times New Roman" w:hAnsi="Calibri" w:cs="Times New Roman"/>
      <w:szCs w:val="20"/>
    </w:rPr>
  </w:style>
  <w:style w:type="paragraph" w:customStyle="1" w:styleId="TitoloPEG3">
    <w:name w:val="Titolo PEG 3"/>
    <w:basedOn w:val="Normale"/>
    <w:rsid w:val="005E3A63"/>
    <w:pPr>
      <w:keepNext/>
      <w:pBdr>
        <w:top w:val="single" w:sz="4" w:space="1" w:color="auto"/>
        <w:bottom w:val="single" w:sz="4" w:space="1" w:color="auto"/>
      </w:pBdr>
      <w:shd w:val="clear" w:color="auto" w:fill="FFCC00"/>
      <w:spacing w:before="240" w:after="240" w:line="480" w:lineRule="auto"/>
    </w:pPr>
    <w:rPr>
      <w:rFonts w:ascii="Calibri" w:eastAsia="Times New Roman" w:hAnsi="Calibri" w:cs="Times New Roman"/>
      <w:b/>
      <w:bCs/>
      <w:sz w:val="28"/>
      <w:szCs w:val="20"/>
      <w:shd w:val="clear" w:color="auto" w:fill="FFCC00"/>
    </w:rPr>
  </w:style>
  <w:style w:type="paragraph" w:customStyle="1" w:styleId="TitoloPEG1">
    <w:name w:val="Titolo PEG 1"/>
    <w:basedOn w:val="Normale"/>
    <w:rsid w:val="005E3A63"/>
    <w:pPr>
      <w:keepNext/>
      <w:pBdr>
        <w:top w:val="single" w:sz="4" w:space="1" w:color="auto"/>
        <w:bottom w:val="single" w:sz="4" w:space="1" w:color="auto"/>
      </w:pBdr>
      <w:shd w:val="clear" w:color="auto" w:fill="CCFFCC"/>
      <w:spacing w:before="120" w:after="240" w:line="480" w:lineRule="auto"/>
    </w:pPr>
    <w:rPr>
      <w:rFonts w:ascii="Calibri" w:eastAsia="Times New Roman" w:hAnsi="Calibri" w:cs="Times New Roman"/>
      <w:b/>
      <w:bCs/>
      <w:sz w:val="28"/>
      <w:szCs w:val="20"/>
    </w:rPr>
  </w:style>
  <w:style w:type="paragraph" w:customStyle="1" w:styleId="DESTINATARIO">
    <w:name w:val="DESTINATARIO"/>
    <w:basedOn w:val="Normale"/>
    <w:rsid w:val="005E3A63"/>
    <w:pPr>
      <w:tabs>
        <w:tab w:val="left" w:pos="5940"/>
        <w:tab w:val="left" w:pos="8390"/>
      </w:tabs>
      <w:spacing w:after="0" w:line="240" w:lineRule="auto"/>
      <w:ind w:left="5940" w:hanging="1080"/>
      <w:jc w:val="left"/>
    </w:pPr>
    <w:rPr>
      <w:rFonts w:ascii="Times New Roman" w:eastAsia="Times New Roman" w:hAnsi="Times New Roman" w:cs="Times New Roman"/>
      <w:sz w:val="24"/>
      <w:szCs w:val="24"/>
    </w:rPr>
  </w:style>
  <w:style w:type="table" w:styleId="Tabellasemplice-2">
    <w:name w:val="Plain Table 2"/>
    <w:basedOn w:val="Tabellanormale"/>
    <w:uiPriority w:val="42"/>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isultatoPEG">
    <w:name w:val="Risultato PEG"/>
    <w:basedOn w:val="Titolo3"/>
    <w:link w:val="RisultatoPEGCarattere"/>
    <w:qFormat/>
    <w:rsid w:val="005E3A63"/>
    <w:pPr>
      <w:keepLines/>
      <w:numPr>
        <w:ilvl w:val="0"/>
        <w:numId w:val="0"/>
      </w:numPr>
      <w:tabs>
        <w:tab w:val="clear" w:pos="1814"/>
        <w:tab w:val="left" w:pos="2268"/>
      </w:tabs>
      <w:spacing w:before="40" w:after="0" w:line="240" w:lineRule="auto"/>
      <w:jc w:val="left"/>
    </w:pPr>
    <w:rPr>
      <w:rFonts w:asciiTheme="majorHAnsi" w:eastAsiaTheme="majorEastAsia" w:hAnsiTheme="majorHAnsi"/>
      <w:i w:val="0"/>
      <w:color w:val="54A738" w:themeColor="accent5" w:themeShade="BF"/>
      <w:szCs w:val="22"/>
    </w:rPr>
  </w:style>
  <w:style w:type="character" w:customStyle="1" w:styleId="RisultatoPEGCarattere">
    <w:name w:val="Risultato PEG Carattere"/>
    <w:basedOn w:val="Carpredefinitoparagrafo"/>
    <w:link w:val="RisultatoPEG"/>
    <w:rsid w:val="005E3A63"/>
    <w:rPr>
      <w:rFonts w:asciiTheme="majorHAnsi" w:eastAsiaTheme="majorEastAsia" w:hAnsiTheme="majorHAnsi" w:cs="Arial"/>
      <w:b/>
      <w:bCs/>
      <w:color w:val="54A738" w:themeColor="accent5" w:themeShade="BF"/>
      <w:sz w:val="24"/>
    </w:rPr>
  </w:style>
  <w:style w:type="paragraph" w:customStyle="1" w:styleId="Predefinito">
    <w:name w:val="Predefinito"/>
    <w:uiPriority w:val="99"/>
    <w:rsid w:val="005E3A63"/>
    <w:pPr>
      <w:widowControl w:val="0"/>
      <w:autoSpaceDE w:val="0"/>
      <w:autoSpaceDN w:val="0"/>
      <w:adjustRightInd w:val="0"/>
      <w:spacing w:after="0" w:line="240" w:lineRule="auto"/>
    </w:pPr>
    <w:rPr>
      <w:rFonts w:ascii="Times New Roman" w:eastAsia="Times New Roman" w:hAnsi="Times New Roman" w:cs="Times New Roman"/>
      <w:kern w:val="1"/>
      <w:sz w:val="20"/>
      <w:szCs w:val="20"/>
    </w:rPr>
  </w:style>
  <w:style w:type="character" w:customStyle="1" w:styleId="Menzionenonrisolta1">
    <w:name w:val="Menzione non risolta1"/>
    <w:basedOn w:val="Carpredefinitoparagrafo"/>
    <w:uiPriority w:val="99"/>
    <w:semiHidden/>
    <w:unhideWhenUsed/>
    <w:rsid w:val="00BF3F06"/>
    <w:rPr>
      <w:color w:val="605E5C"/>
      <w:shd w:val="clear" w:color="auto" w:fill="E1DFDD"/>
    </w:rPr>
  </w:style>
  <w:style w:type="character" w:customStyle="1" w:styleId="rosso1">
    <w:name w:val="rosso1"/>
    <w:basedOn w:val="Carpredefinitoparagrafo"/>
    <w:rsid w:val="00BF3F06"/>
    <w:rPr>
      <w:b w:val="0"/>
      <w:bCs w:val="0"/>
      <w:vanish w:val="0"/>
      <w:webHidden w:val="0"/>
      <w:color w:val="990000"/>
      <w:specVanish w:val="0"/>
    </w:rPr>
  </w:style>
  <w:style w:type="character" w:customStyle="1" w:styleId="FontStyle32">
    <w:name w:val="Font Style32"/>
    <w:rsid w:val="00BF3F06"/>
    <w:rPr>
      <w:rFonts w:ascii="Arial Unicode MS" w:eastAsia="Times New Roman" w:hAnsi="Arial Unicode MS" w:cs="Arial Unicode MS"/>
      <w:b/>
      <w:bCs/>
      <w:sz w:val="20"/>
      <w:szCs w:val="20"/>
    </w:rPr>
  </w:style>
  <w:style w:type="paragraph" w:customStyle="1" w:styleId="Style1">
    <w:name w:val="Style1"/>
    <w:basedOn w:val="Normale"/>
    <w:rsid w:val="00BF3F06"/>
    <w:pPr>
      <w:widowControl w:val="0"/>
      <w:suppressAutoHyphens/>
      <w:autoSpaceDE w:val="0"/>
      <w:spacing w:after="0" w:line="274" w:lineRule="exact"/>
    </w:pPr>
    <w:rPr>
      <w:rFonts w:ascii="Arial Unicode MS" w:eastAsia="Times New Roman" w:hAnsi="Arial Unicode MS" w:cs="Arial Unicode MS"/>
      <w:sz w:val="24"/>
      <w:szCs w:val="24"/>
      <w:lang w:eastAsia="zh-CN"/>
    </w:rPr>
  </w:style>
  <w:style w:type="character" w:customStyle="1" w:styleId="field">
    <w:name w:val="field"/>
    <w:basedOn w:val="Carpredefinitoparagrafo"/>
    <w:rsid w:val="00BF3F06"/>
  </w:style>
  <w:style w:type="character" w:customStyle="1" w:styleId="arttextincomma">
    <w:name w:val="art_text_in_comma"/>
    <w:basedOn w:val="Carpredefinitoparagrafo"/>
    <w:rsid w:val="00BF3F06"/>
  </w:style>
  <w:style w:type="table" w:styleId="Tabellagriglia1chiara">
    <w:name w:val="Grid Table 1 Light"/>
    <w:basedOn w:val="Tabellanormale"/>
    <w:uiPriority w:val="46"/>
    <w:rsid w:val="007D00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ile5">
    <w:name w:val="Stile5"/>
    <w:basedOn w:val="Normale"/>
    <w:qFormat/>
    <w:rsid w:val="00BA110C"/>
    <w:pPr>
      <w:pBdr>
        <w:top w:val="single" w:sz="8" w:space="8" w:color="50B4C8"/>
        <w:bottom w:val="single" w:sz="8" w:space="8" w:color="50B4C8"/>
      </w:pBdr>
      <w:spacing w:after="0" w:line="240" w:lineRule="auto"/>
      <w:ind w:left="284" w:right="423"/>
    </w:pPr>
    <w:rPr>
      <w:rFonts w:ascii="Times New Roman" w:eastAsia="Times New Roman" w:hAnsi="Times New Roman" w:cs="Times New Roman"/>
      <w:color w:val="50B4C8"/>
      <w:szCs w:val="20"/>
      <w:shd w:val="clear" w:color="auto" w:fill="FFFFFF"/>
    </w:rPr>
  </w:style>
  <w:style w:type="paragraph" w:customStyle="1" w:styleId="Stile4">
    <w:name w:val="Stile4"/>
    <w:basedOn w:val="Sottotitolo"/>
    <w:link w:val="Stile4Carattere"/>
    <w:qFormat/>
    <w:rsid w:val="00C41751"/>
    <w:pPr>
      <w:numPr>
        <w:numId w:val="17"/>
      </w:numPr>
      <w:spacing w:before="480" w:after="240" w:line="240" w:lineRule="auto"/>
    </w:pPr>
    <w:rPr>
      <w:rFonts w:ascii="Times New Roman" w:hAnsi="Times New Roman" w:cs="Times New Roman"/>
      <w:caps/>
      <w:color w:val="595959" w:themeColor="text1" w:themeTint="A6"/>
      <w:spacing w:val="10"/>
    </w:rPr>
  </w:style>
  <w:style w:type="character" w:customStyle="1" w:styleId="Stile4Carattere">
    <w:name w:val="Stile4 Carattere"/>
    <w:basedOn w:val="SottotitoloCarattere"/>
    <w:link w:val="Stile4"/>
    <w:rsid w:val="00C41751"/>
    <w:rPr>
      <w:rFonts w:ascii="Times New Roman" w:eastAsiaTheme="minorEastAsia" w:hAnsi="Times New Roman" w:cs="Times New Roman"/>
      <w:caps/>
      <w:color w:val="595959" w:themeColor="text1" w:themeTint="A6"/>
      <w:spacing w:val="10"/>
    </w:rPr>
  </w:style>
  <w:style w:type="paragraph" w:customStyle="1" w:styleId="Contenuto">
    <w:name w:val="Contenuto"/>
    <w:basedOn w:val="Normale"/>
    <w:link w:val="Caratterecontenuto"/>
    <w:qFormat/>
    <w:rsid w:val="00C41751"/>
    <w:pPr>
      <w:spacing w:after="0" w:line="276" w:lineRule="auto"/>
      <w:jc w:val="left"/>
    </w:pPr>
    <w:rPr>
      <w:rFonts w:eastAsiaTheme="minorEastAsia"/>
      <w:color w:val="17406D" w:themeColor="text2"/>
      <w:sz w:val="28"/>
      <w:lang w:eastAsia="en-US"/>
    </w:rPr>
  </w:style>
  <w:style w:type="character" w:customStyle="1" w:styleId="Caratterecontenuto">
    <w:name w:val="Carattere contenuto"/>
    <w:basedOn w:val="Carpredefinitoparagrafo"/>
    <w:link w:val="Contenuto"/>
    <w:rsid w:val="00C41751"/>
    <w:rPr>
      <w:rFonts w:eastAsiaTheme="minorEastAsia"/>
      <w:color w:val="17406D" w:themeColor="text2"/>
      <w:sz w:val="28"/>
      <w:lang w:eastAsia="en-US"/>
    </w:rPr>
  </w:style>
  <w:style w:type="paragraph" w:customStyle="1" w:styleId="bodytext">
    <w:name w:val="bodytext"/>
    <w:basedOn w:val="Normale"/>
    <w:rsid w:val="00E771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Testosegnaposto">
    <w:name w:val="Placeholder Text"/>
    <w:basedOn w:val="Carpredefinitoparagrafo"/>
    <w:uiPriority w:val="99"/>
    <w:semiHidden/>
    <w:rsid w:val="00F610BC"/>
    <w:rPr>
      <w:color w:val="666666"/>
    </w:rPr>
  </w:style>
  <w:style w:type="character" w:customStyle="1" w:styleId="Menzionenonrisolta2">
    <w:name w:val="Menzione non risolta2"/>
    <w:basedOn w:val="Carpredefinitoparagrafo"/>
    <w:uiPriority w:val="99"/>
    <w:semiHidden/>
    <w:unhideWhenUsed/>
    <w:rsid w:val="00FE7C0A"/>
    <w:rPr>
      <w:color w:val="605E5C"/>
      <w:shd w:val="clear" w:color="auto" w:fill="E1DFDD"/>
    </w:rPr>
  </w:style>
  <w:style w:type="table" w:styleId="Tabellagriglia4-colore5">
    <w:name w:val="Grid Table 4 Accent 5"/>
    <w:basedOn w:val="Tabellanormale"/>
    <w:uiPriority w:val="49"/>
    <w:rsid w:val="00880AB9"/>
    <w:pPr>
      <w:spacing w:after="0" w:line="240" w:lineRule="auto"/>
    </w:p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paragraph" w:customStyle="1" w:styleId="xl66">
    <w:name w:val="xl66"/>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7">
    <w:name w:val="xl67"/>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8">
    <w:name w:val="xl68"/>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9">
    <w:name w:val="xl69"/>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0">
    <w:name w:val="xl70"/>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1">
    <w:name w:val="xl71"/>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73">
    <w:name w:val="xl73"/>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left"/>
      <w:textAlignment w:val="center"/>
    </w:pPr>
    <w:rPr>
      <w:rFonts w:ascii="Times New Roman" w:eastAsia="Times New Roman" w:hAnsi="Times New Roman" w:cs="Times New Roman"/>
      <w:b/>
      <w:bCs/>
      <w:sz w:val="20"/>
      <w:szCs w:val="20"/>
    </w:rPr>
  </w:style>
  <w:style w:type="paragraph" w:customStyle="1" w:styleId="xl75">
    <w:name w:val="xl75"/>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7">
    <w:name w:val="xl77"/>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8">
    <w:name w:val="xl78"/>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9">
    <w:name w:val="xl79"/>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0">
    <w:name w:val="xl80"/>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1">
    <w:name w:val="xl81"/>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2">
    <w:name w:val="xl82"/>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3">
    <w:name w:val="xl83"/>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84">
    <w:name w:val="xl84"/>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6">
    <w:name w:val="xl8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8">
    <w:name w:val="xl8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9">
    <w:name w:val="xl89"/>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0">
    <w:name w:val="xl90"/>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1">
    <w:name w:val="xl91"/>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2">
    <w:name w:val="xl92"/>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3">
    <w:name w:val="xl93"/>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5">
    <w:name w:val="xl95"/>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6">
    <w:name w:val="xl9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7">
    <w:name w:val="xl9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8">
    <w:name w:val="xl9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character" w:customStyle="1" w:styleId="Menzionenonrisolta3">
    <w:name w:val="Menzione non risolta3"/>
    <w:basedOn w:val="Carpredefinitoparagrafo"/>
    <w:uiPriority w:val="99"/>
    <w:semiHidden/>
    <w:unhideWhenUsed/>
    <w:rsid w:val="00D27B15"/>
    <w:rPr>
      <w:color w:val="605E5C"/>
      <w:shd w:val="clear" w:color="auto" w:fill="E1DFDD"/>
    </w:rPr>
  </w:style>
  <w:style w:type="character" w:customStyle="1" w:styleId="Menzionenonrisolta4">
    <w:name w:val="Menzione non risolta4"/>
    <w:basedOn w:val="Carpredefinitoparagrafo"/>
    <w:uiPriority w:val="99"/>
    <w:semiHidden/>
    <w:unhideWhenUsed/>
    <w:rsid w:val="00FB68C1"/>
    <w:rPr>
      <w:color w:val="605E5C"/>
      <w:shd w:val="clear" w:color="auto" w:fill="E1DFDD"/>
    </w:rPr>
  </w:style>
  <w:style w:type="character" w:customStyle="1" w:styleId="Menzionenonrisolta5">
    <w:name w:val="Menzione non risolta5"/>
    <w:basedOn w:val="Carpredefinitoparagrafo"/>
    <w:uiPriority w:val="99"/>
    <w:semiHidden/>
    <w:unhideWhenUsed/>
    <w:rsid w:val="00425270"/>
    <w:rPr>
      <w:color w:val="605E5C"/>
      <w:shd w:val="clear" w:color="auto" w:fill="E1DFDD"/>
    </w:rPr>
  </w:style>
  <w:style w:type="table" w:customStyle="1" w:styleId="Grigliatabella2">
    <w:name w:val="Griglia tabella2"/>
    <w:basedOn w:val="Tabellanormale"/>
    <w:next w:val="Grigliatabella"/>
    <w:uiPriority w:val="39"/>
    <w:rsid w:val="006E5453"/>
    <w:pPr>
      <w:spacing w:line="256"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6">
    <w:name w:val="Menzione non risolta6"/>
    <w:basedOn w:val="Carpredefinitoparagrafo"/>
    <w:uiPriority w:val="99"/>
    <w:semiHidden/>
    <w:unhideWhenUsed/>
    <w:rsid w:val="00123033"/>
    <w:rPr>
      <w:color w:val="605E5C"/>
      <w:shd w:val="clear" w:color="auto" w:fill="E1DFDD"/>
    </w:rPr>
  </w:style>
  <w:style w:type="table" w:customStyle="1" w:styleId="Elencochiaro1">
    <w:name w:val="Elenco chiaro1"/>
    <w:basedOn w:val="Tabellanormale"/>
    <w:next w:val="Elencochiaro"/>
    <w:uiPriority w:val="61"/>
    <w:rsid w:val="00AD01C5"/>
    <w:pPr>
      <w:spacing w:after="0" w:line="240" w:lineRule="auto"/>
    </w:pPr>
    <w:rPr>
      <w:rFonts w:eastAsia="Meiry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Elencochiaro">
    <w:name w:val="Light List"/>
    <w:basedOn w:val="Tabellanormale"/>
    <w:uiPriority w:val="61"/>
    <w:semiHidden/>
    <w:unhideWhenUsed/>
    <w:rsid w:val="00AD01C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norm">
    <w:name w:val="norm"/>
    <w:basedOn w:val="Normale"/>
    <w:rsid w:val="00BD0E47"/>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5">
    <w:name w:val="xl65"/>
    <w:basedOn w:val="Normale"/>
    <w:rsid w:val="00EE3E83"/>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99">
    <w:name w:val="xl99"/>
    <w:basedOn w:val="Normale"/>
    <w:rsid w:val="00EE3E83"/>
    <w:pPr>
      <w:pBdr>
        <w:bottom w:val="single" w:sz="8" w:space="0" w:color="A6A6A6"/>
        <w:right w:val="single" w:sz="8" w:space="0" w:color="A6A6A6"/>
      </w:pBdr>
      <w:shd w:val="clear" w:color="000000" w:fill="DAF2D0"/>
      <w:spacing w:before="100" w:beforeAutospacing="1" w:after="100" w:afterAutospacing="1" w:line="240" w:lineRule="auto"/>
      <w:jc w:val="center"/>
      <w:textAlignment w:val="center"/>
    </w:pPr>
    <w:rPr>
      <w:rFonts w:ascii="Calibri" w:eastAsia="Times New Roman" w:hAnsi="Calibri" w:cs="Calibri"/>
      <w:color w:val="000000"/>
      <w:sz w:val="18"/>
      <w:szCs w:val="18"/>
    </w:rPr>
  </w:style>
  <w:style w:type="paragraph" w:customStyle="1" w:styleId="xl100">
    <w:name w:val="xl100"/>
    <w:basedOn w:val="Normale"/>
    <w:rsid w:val="00EE3E83"/>
    <w:pPr>
      <w:pBdr>
        <w:bottom w:val="single" w:sz="8" w:space="0" w:color="A6A6A6"/>
        <w:right w:val="single" w:sz="8" w:space="0" w:color="A6A6A6"/>
      </w:pBdr>
      <w:shd w:val="clear" w:color="000000" w:fill="DAF2D0"/>
      <w:spacing w:before="100" w:beforeAutospacing="1" w:after="100" w:afterAutospacing="1" w:line="240" w:lineRule="auto"/>
      <w:jc w:val="right"/>
      <w:textAlignment w:val="center"/>
    </w:pPr>
    <w:rPr>
      <w:rFonts w:ascii="Calibri" w:eastAsia="Times New Roman" w:hAnsi="Calibri" w:cs="Calibri"/>
      <w:color w:val="000000"/>
      <w:sz w:val="18"/>
      <w:szCs w:val="18"/>
    </w:rPr>
  </w:style>
  <w:style w:type="paragraph" w:customStyle="1" w:styleId="xl101">
    <w:name w:val="xl101"/>
    <w:basedOn w:val="Normale"/>
    <w:rsid w:val="00EE3E83"/>
    <w:pPr>
      <w:pBdr>
        <w:bottom w:val="single" w:sz="8" w:space="0" w:color="A6A6A6"/>
        <w:right w:val="double" w:sz="6" w:space="0" w:color="A6A6A6"/>
      </w:pBdr>
      <w:shd w:val="clear" w:color="000000" w:fill="DAF2D0"/>
      <w:spacing w:before="100" w:beforeAutospacing="1" w:after="100" w:afterAutospacing="1" w:line="240" w:lineRule="auto"/>
      <w:jc w:val="right"/>
      <w:textAlignment w:val="center"/>
    </w:pPr>
    <w:rPr>
      <w:rFonts w:ascii="Calibri" w:eastAsia="Times New Roman" w:hAnsi="Calibri" w:cs="Calibri"/>
      <w:color w:val="000000"/>
      <w:sz w:val="18"/>
      <w:szCs w:val="18"/>
    </w:rPr>
  </w:style>
  <w:style w:type="paragraph" w:customStyle="1" w:styleId="xl102">
    <w:name w:val="xl102"/>
    <w:basedOn w:val="Normale"/>
    <w:rsid w:val="00EE3E83"/>
    <w:pPr>
      <w:pBdr>
        <w:bottom w:val="double" w:sz="6" w:space="0" w:color="A6A6A6"/>
        <w:right w:val="single" w:sz="8" w:space="0" w:color="A6A6A6"/>
      </w:pBdr>
      <w:shd w:val="clear" w:color="000000" w:fill="B5E6A2"/>
      <w:spacing w:before="100" w:beforeAutospacing="1" w:after="100" w:afterAutospacing="1" w:line="240" w:lineRule="auto"/>
      <w:jc w:val="center"/>
      <w:textAlignment w:val="center"/>
    </w:pPr>
    <w:rPr>
      <w:rFonts w:ascii="Calibri" w:eastAsia="Times New Roman" w:hAnsi="Calibri" w:cs="Calibri"/>
      <w:b/>
      <w:bCs/>
      <w:color w:val="000000"/>
      <w:sz w:val="18"/>
      <w:szCs w:val="18"/>
    </w:rPr>
  </w:style>
  <w:style w:type="paragraph" w:customStyle="1" w:styleId="xl103">
    <w:name w:val="xl103"/>
    <w:basedOn w:val="Normale"/>
    <w:rsid w:val="00EE3E83"/>
    <w:pPr>
      <w:pBdr>
        <w:top w:val="double" w:sz="6" w:space="0" w:color="A6A6A6"/>
        <w:left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ascii="Calibri" w:eastAsia="Times New Roman" w:hAnsi="Calibri" w:cs="Calibri"/>
      <w:b/>
      <w:bCs/>
      <w:color w:val="000000"/>
      <w:sz w:val="18"/>
      <w:szCs w:val="18"/>
    </w:rPr>
  </w:style>
  <w:style w:type="paragraph" w:customStyle="1" w:styleId="xl104">
    <w:name w:val="xl104"/>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left"/>
      <w:textAlignment w:val="center"/>
    </w:pPr>
    <w:rPr>
      <w:rFonts w:ascii="Calibri" w:eastAsia="Times New Roman" w:hAnsi="Calibri" w:cs="Calibri"/>
      <w:b/>
      <w:bCs/>
      <w:color w:val="000000"/>
      <w:sz w:val="18"/>
      <w:szCs w:val="18"/>
    </w:rPr>
  </w:style>
  <w:style w:type="paragraph" w:customStyle="1" w:styleId="xl105">
    <w:name w:val="xl105"/>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ascii="Calibri" w:eastAsia="Times New Roman" w:hAnsi="Calibri" w:cs="Calibri"/>
      <w:b/>
      <w:bCs/>
      <w:color w:val="000000"/>
      <w:sz w:val="18"/>
      <w:szCs w:val="18"/>
    </w:rPr>
  </w:style>
  <w:style w:type="paragraph" w:customStyle="1" w:styleId="xl106">
    <w:name w:val="xl106"/>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ascii="Calibri" w:eastAsia="Times New Roman" w:hAnsi="Calibri" w:cs="Calibri"/>
      <w:b/>
      <w:bCs/>
      <w:color w:val="000000"/>
      <w:sz w:val="18"/>
      <w:szCs w:val="18"/>
    </w:rPr>
  </w:style>
  <w:style w:type="paragraph" w:customStyle="1" w:styleId="xl107">
    <w:name w:val="xl107"/>
    <w:basedOn w:val="Normale"/>
    <w:rsid w:val="00EE3E83"/>
    <w:pPr>
      <w:pBdr>
        <w:top w:val="double" w:sz="6" w:space="0" w:color="A6A6A6"/>
        <w:bottom w:val="double" w:sz="6" w:space="0" w:color="A6A6A6"/>
        <w:right w:val="double" w:sz="6" w:space="0" w:color="A6A6A6"/>
      </w:pBdr>
      <w:shd w:val="clear" w:color="000000" w:fill="A5C34C"/>
      <w:spacing w:before="100" w:beforeAutospacing="1" w:after="100" w:afterAutospacing="1" w:line="240" w:lineRule="auto"/>
      <w:jc w:val="center"/>
      <w:textAlignment w:val="center"/>
    </w:pPr>
    <w:rPr>
      <w:rFonts w:ascii="Calibri" w:eastAsia="Times New Roman" w:hAnsi="Calibri" w:cs="Calibri"/>
      <w:b/>
      <w:bCs/>
      <w:color w:val="000000"/>
      <w:sz w:val="18"/>
      <w:szCs w:val="18"/>
    </w:rPr>
  </w:style>
  <w:style w:type="paragraph" w:customStyle="1" w:styleId="xl108">
    <w:name w:val="xl108"/>
    <w:basedOn w:val="Normale"/>
    <w:rsid w:val="00EE3E83"/>
    <w:pPr>
      <w:shd w:val="clear" w:color="000000" w:fill="FFFFFF"/>
      <w:spacing w:before="100" w:beforeAutospacing="1" w:after="100" w:afterAutospacing="1" w:line="240" w:lineRule="auto"/>
      <w:jc w:val="left"/>
      <w:textAlignment w:val="center"/>
    </w:pPr>
    <w:rPr>
      <w:rFonts w:ascii="Calibri" w:eastAsia="Times New Roman" w:hAnsi="Calibri" w:cs="Calibri"/>
      <w:b/>
      <w:bCs/>
      <w:color w:val="000000"/>
      <w:sz w:val="18"/>
      <w:szCs w:val="18"/>
    </w:rPr>
  </w:style>
  <w:style w:type="paragraph" w:customStyle="1" w:styleId="xl109">
    <w:name w:val="xl109"/>
    <w:basedOn w:val="Normale"/>
    <w:rsid w:val="00EE3E83"/>
    <w:pPr>
      <w:shd w:val="clear" w:color="000000" w:fill="FFFFFF"/>
      <w:spacing w:before="100" w:beforeAutospacing="1" w:after="100" w:afterAutospacing="1" w:line="240" w:lineRule="auto"/>
      <w:jc w:val="left"/>
      <w:textAlignment w:val="center"/>
    </w:pPr>
    <w:rPr>
      <w:rFonts w:ascii="Calibri" w:eastAsia="Times New Roman" w:hAnsi="Calibri" w:cs="Calibri"/>
      <w:b/>
      <w:bCs/>
      <w:color w:val="000000"/>
      <w:sz w:val="18"/>
      <w:szCs w:val="18"/>
    </w:rPr>
  </w:style>
  <w:style w:type="paragraph" w:customStyle="1" w:styleId="xl110">
    <w:name w:val="xl110"/>
    <w:basedOn w:val="Normale"/>
    <w:rsid w:val="00EE3E83"/>
    <w:pPr>
      <w:shd w:val="clear" w:color="000000" w:fill="FFFFFF"/>
      <w:spacing w:before="100" w:beforeAutospacing="1" w:after="100" w:afterAutospacing="1" w:line="240" w:lineRule="auto"/>
      <w:jc w:val="center"/>
      <w:textAlignment w:val="center"/>
    </w:pPr>
    <w:rPr>
      <w:rFonts w:ascii="Calibri" w:eastAsia="Times New Roman" w:hAnsi="Calibri" w:cs="Calibri"/>
      <w:b/>
      <w:bCs/>
      <w:sz w:val="18"/>
      <w:szCs w:val="18"/>
    </w:rPr>
  </w:style>
  <w:style w:type="paragraph" w:customStyle="1" w:styleId="xl111">
    <w:name w:val="xl111"/>
    <w:basedOn w:val="Normale"/>
    <w:rsid w:val="00EE3E83"/>
    <w:pPr>
      <w:shd w:val="clear" w:color="000000" w:fill="FFFFFF"/>
      <w:spacing w:before="100" w:beforeAutospacing="1" w:after="100" w:afterAutospacing="1" w:line="240" w:lineRule="auto"/>
      <w:jc w:val="right"/>
      <w:textAlignment w:val="center"/>
    </w:pPr>
    <w:rPr>
      <w:rFonts w:ascii="Calibri" w:eastAsia="Times New Roman" w:hAnsi="Calibri" w:cs="Calibri"/>
      <w:b/>
      <w:bCs/>
      <w:sz w:val="18"/>
      <w:szCs w:val="18"/>
    </w:rPr>
  </w:style>
  <w:style w:type="character" w:styleId="Menzionenonrisolta">
    <w:name w:val="Unresolved Mention"/>
    <w:basedOn w:val="Carpredefinitoparagrafo"/>
    <w:uiPriority w:val="99"/>
    <w:semiHidden/>
    <w:unhideWhenUsed/>
    <w:rsid w:val="00DC5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8506">
      <w:bodyDiv w:val="1"/>
      <w:marLeft w:val="0"/>
      <w:marRight w:val="0"/>
      <w:marTop w:val="0"/>
      <w:marBottom w:val="0"/>
      <w:divBdr>
        <w:top w:val="none" w:sz="0" w:space="0" w:color="auto"/>
        <w:left w:val="none" w:sz="0" w:space="0" w:color="auto"/>
        <w:bottom w:val="none" w:sz="0" w:space="0" w:color="auto"/>
        <w:right w:val="none" w:sz="0" w:space="0" w:color="auto"/>
      </w:divBdr>
    </w:div>
    <w:div w:id="31615912">
      <w:bodyDiv w:val="1"/>
      <w:marLeft w:val="0"/>
      <w:marRight w:val="0"/>
      <w:marTop w:val="0"/>
      <w:marBottom w:val="0"/>
      <w:divBdr>
        <w:top w:val="none" w:sz="0" w:space="0" w:color="auto"/>
        <w:left w:val="none" w:sz="0" w:space="0" w:color="auto"/>
        <w:bottom w:val="none" w:sz="0" w:space="0" w:color="auto"/>
        <w:right w:val="none" w:sz="0" w:space="0" w:color="auto"/>
      </w:divBdr>
    </w:div>
    <w:div w:id="36928586">
      <w:bodyDiv w:val="1"/>
      <w:marLeft w:val="0"/>
      <w:marRight w:val="0"/>
      <w:marTop w:val="0"/>
      <w:marBottom w:val="0"/>
      <w:divBdr>
        <w:top w:val="none" w:sz="0" w:space="0" w:color="auto"/>
        <w:left w:val="none" w:sz="0" w:space="0" w:color="auto"/>
        <w:bottom w:val="none" w:sz="0" w:space="0" w:color="auto"/>
        <w:right w:val="none" w:sz="0" w:space="0" w:color="auto"/>
      </w:divBdr>
    </w:div>
    <w:div w:id="43531483">
      <w:bodyDiv w:val="1"/>
      <w:marLeft w:val="0"/>
      <w:marRight w:val="0"/>
      <w:marTop w:val="0"/>
      <w:marBottom w:val="0"/>
      <w:divBdr>
        <w:top w:val="none" w:sz="0" w:space="0" w:color="auto"/>
        <w:left w:val="none" w:sz="0" w:space="0" w:color="auto"/>
        <w:bottom w:val="none" w:sz="0" w:space="0" w:color="auto"/>
        <w:right w:val="none" w:sz="0" w:space="0" w:color="auto"/>
      </w:divBdr>
    </w:div>
    <w:div w:id="48848030">
      <w:bodyDiv w:val="1"/>
      <w:marLeft w:val="0"/>
      <w:marRight w:val="0"/>
      <w:marTop w:val="0"/>
      <w:marBottom w:val="0"/>
      <w:divBdr>
        <w:top w:val="none" w:sz="0" w:space="0" w:color="auto"/>
        <w:left w:val="none" w:sz="0" w:space="0" w:color="auto"/>
        <w:bottom w:val="none" w:sz="0" w:space="0" w:color="auto"/>
        <w:right w:val="none" w:sz="0" w:space="0" w:color="auto"/>
      </w:divBdr>
    </w:div>
    <w:div w:id="49698289">
      <w:bodyDiv w:val="1"/>
      <w:marLeft w:val="0"/>
      <w:marRight w:val="0"/>
      <w:marTop w:val="0"/>
      <w:marBottom w:val="0"/>
      <w:divBdr>
        <w:top w:val="none" w:sz="0" w:space="0" w:color="auto"/>
        <w:left w:val="none" w:sz="0" w:space="0" w:color="auto"/>
        <w:bottom w:val="none" w:sz="0" w:space="0" w:color="auto"/>
        <w:right w:val="none" w:sz="0" w:space="0" w:color="auto"/>
      </w:divBdr>
    </w:div>
    <w:div w:id="55008010">
      <w:bodyDiv w:val="1"/>
      <w:marLeft w:val="0"/>
      <w:marRight w:val="0"/>
      <w:marTop w:val="0"/>
      <w:marBottom w:val="0"/>
      <w:divBdr>
        <w:top w:val="none" w:sz="0" w:space="0" w:color="auto"/>
        <w:left w:val="none" w:sz="0" w:space="0" w:color="auto"/>
        <w:bottom w:val="none" w:sz="0" w:space="0" w:color="auto"/>
        <w:right w:val="none" w:sz="0" w:space="0" w:color="auto"/>
      </w:divBdr>
    </w:div>
    <w:div w:id="67120221">
      <w:bodyDiv w:val="1"/>
      <w:marLeft w:val="0"/>
      <w:marRight w:val="0"/>
      <w:marTop w:val="0"/>
      <w:marBottom w:val="0"/>
      <w:divBdr>
        <w:top w:val="none" w:sz="0" w:space="0" w:color="auto"/>
        <w:left w:val="none" w:sz="0" w:space="0" w:color="auto"/>
        <w:bottom w:val="none" w:sz="0" w:space="0" w:color="auto"/>
        <w:right w:val="none" w:sz="0" w:space="0" w:color="auto"/>
      </w:divBdr>
    </w:div>
    <w:div w:id="73744354">
      <w:bodyDiv w:val="1"/>
      <w:marLeft w:val="0"/>
      <w:marRight w:val="0"/>
      <w:marTop w:val="0"/>
      <w:marBottom w:val="0"/>
      <w:divBdr>
        <w:top w:val="none" w:sz="0" w:space="0" w:color="auto"/>
        <w:left w:val="none" w:sz="0" w:space="0" w:color="auto"/>
        <w:bottom w:val="none" w:sz="0" w:space="0" w:color="auto"/>
        <w:right w:val="none" w:sz="0" w:space="0" w:color="auto"/>
      </w:divBdr>
    </w:div>
    <w:div w:id="76487723">
      <w:bodyDiv w:val="1"/>
      <w:marLeft w:val="0"/>
      <w:marRight w:val="0"/>
      <w:marTop w:val="0"/>
      <w:marBottom w:val="0"/>
      <w:divBdr>
        <w:top w:val="none" w:sz="0" w:space="0" w:color="auto"/>
        <w:left w:val="none" w:sz="0" w:space="0" w:color="auto"/>
        <w:bottom w:val="none" w:sz="0" w:space="0" w:color="auto"/>
        <w:right w:val="none" w:sz="0" w:space="0" w:color="auto"/>
      </w:divBdr>
    </w:div>
    <w:div w:id="83772823">
      <w:bodyDiv w:val="1"/>
      <w:marLeft w:val="0"/>
      <w:marRight w:val="0"/>
      <w:marTop w:val="0"/>
      <w:marBottom w:val="0"/>
      <w:divBdr>
        <w:top w:val="none" w:sz="0" w:space="0" w:color="auto"/>
        <w:left w:val="none" w:sz="0" w:space="0" w:color="auto"/>
        <w:bottom w:val="none" w:sz="0" w:space="0" w:color="auto"/>
        <w:right w:val="none" w:sz="0" w:space="0" w:color="auto"/>
      </w:divBdr>
    </w:div>
    <w:div w:id="84502691">
      <w:bodyDiv w:val="1"/>
      <w:marLeft w:val="0"/>
      <w:marRight w:val="0"/>
      <w:marTop w:val="0"/>
      <w:marBottom w:val="0"/>
      <w:divBdr>
        <w:top w:val="none" w:sz="0" w:space="0" w:color="auto"/>
        <w:left w:val="none" w:sz="0" w:space="0" w:color="auto"/>
        <w:bottom w:val="none" w:sz="0" w:space="0" w:color="auto"/>
        <w:right w:val="none" w:sz="0" w:space="0" w:color="auto"/>
      </w:divBdr>
      <w:divsChild>
        <w:div w:id="2060009680">
          <w:marLeft w:val="547"/>
          <w:marRight w:val="0"/>
          <w:marTop w:val="0"/>
          <w:marBottom w:val="0"/>
          <w:divBdr>
            <w:top w:val="none" w:sz="0" w:space="0" w:color="auto"/>
            <w:left w:val="none" w:sz="0" w:space="0" w:color="auto"/>
            <w:bottom w:val="none" w:sz="0" w:space="0" w:color="auto"/>
            <w:right w:val="none" w:sz="0" w:space="0" w:color="auto"/>
          </w:divBdr>
        </w:div>
      </w:divsChild>
    </w:div>
    <w:div w:id="99033196">
      <w:bodyDiv w:val="1"/>
      <w:marLeft w:val="0"/>
      <w:marRight w:val="0"/>
      <w:marTop w:val="0"/>
      <w:marBottom w:val="0"/>
      <w:divBdr>
        <w:top w:val="none" w:sz="0" w:space="0" w:color="auto"/>
        <w:left w:val="none" w:sz="0" w:space="0" w:color="auto"/>
        <w:bottom w:val="none" w:sz="0" w:space="0" w:color="auto"/>
        <w:right w:val="none" w:sz="0" w:space="0" w:color="auto"/>
      </w:divBdr>
    </w:div>
    <w:div w:id="105194905">
      <w:bodyDiv w:val="1"/>
      <w:marLeft w:val="0"/>
      <w:marRight w:val="0"/>
      <w:marTop w:val="0"/>
      <w:marBottom w:val="0"/>
      <w:divBdr>
        <w:top w:val="none" w:sz="0" w:space="0" w:color="auto"/>
        <w:left w:val="none" w:sz="0" w:space="0" w:color="auto"/>
        <w:bottom w:val="none" w:sz="0" w:space="0" w:color="auto"/>
        <w:right w:val="none" w:sz="0" w:space="0" w:color="auto"/>
      </w:divBdr>
    </w:div>
    <w:div w:id="125129996">
      <w:bodyDiv w:val="1"/>
      <w:marLeft w:val="0"/>
      <w:marRight w:val="0"/>
      <w:marTop w:val="0"/>
      <w:marBottom w:val="0"/>
      <w:divBdr>
        <w:top w:val="none" w:sz="0" w:space="0" w:color="auto"/>
        <w:left w:val="none" w:sz="0" w:space="0" w:color="auto"/>
        <w:bottom w:val="none" w:sz="0" w:space="0" w:color="auto"/>
        <w:right w:val="none" w:sz="0" w:space="0" w:color="auto"/>
      </w:divBdr>
    </w:div>
    <w:div w:id="143935667">
      <w:bodyDiv w:val="1"/>
      <w:marLeft w:val="0"/>
      <w:marRight w:val="0"/>
      <w:marTop w:val="0"/>
      <w:marBottom w:val="0"/>
      <w:divBdr>
        <w:top w:val="none" w:sz="0" w:space="0" w:color="auto"/>
        <w:left w:val="none" w:sz="0" w:space="0" w:color="auto"/>
        <w:bottom w:val="none" w:sz="0" w:space="0" w:color="auto"/>
        <w:right w:val="none" w:sz="0" w:space="0" w:color="auto"/>
      </w:divBdr>
    </w:div>
    <w:div w:id="153188434">
      <w:bodyDiv w:val="1"/>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450"/>
          <w:divBdr>
            <w:top w:val="none" w:sz="0" w:space="0" w:color="auto"/>
            <w:left w:val="none" w:sz="0" w:space="0" w:color="auto"/>
            <w:bottom w:val="none" w:sz="0" w:space="0" w:color="auto"/>
            <w:right w:val="none" w:sz="0" w:space="0" w:color="auto"/>
          </w:divBdr>
        </w:div>
      </w:divsChild>
    </w:div>
    <w:div w:id="179441830">
      <w:bodyDiv w:val="1"/>
      <w:marLeft w:val="0"/>
      <w:marRight w:val="0"/>
      <w:marTop w:val="0"/>
      <w:marBottom w:val="0"/>
      <w:divBdr>
        <w:top w:val="none" w:sz="0" w:space="0" w:color="auto"/>
        <w:left w:val="none" w:sz="0" w:space="0" w:color="auto"/>
        <w:bottom w:val="none" w:sz="0" w:space="0" w:color="auto"/>
        <w:right w:val="none" w:sz="0" w:space="0" w:color="auto"/>
      </w:divBdr>
    </w:div>
    <w:div w:id="186336982">
      <w:bodyDiv w:val="1"/>
      <w:marLeft w:val="0"/>
      <w:marRight w:val="0"/>
      <w:marTop w:val="0"/>
      <w:marBottom w:val="0"/>
      <w:divBdr>
        <w:top w:val="none" w:sz="0" w:space="0" w:color="auto"/>
        <w:left w:val="none" w:sz="0" w:space="0" w:color="auto"/>
        <w:bottom w:val="none" w:sz="0" w:space="0" w:color="auto"/>
        <w:right w:val="none" w:sz="0" w:space="0" w:color="auto"/>
      </w:divBdr>
    </w:div>
    <w:div w:id="187068225">
      <w:bodyDiv w:val="1"/>
      <w:marLeft w:val="0"/>
      <w:marRight w:val="0"/>
      <w:marTop w:val="0"/>
      <w:marBottom w:val="0"/>
      <w:divBdr>
        <w:top w:val="none" w:sz="0" w:space="0" w:color="auto"/>
        <w:left w:val="none" w:sz="0" w:space="0" w:color="auto"/>
        <w:bottom w:val="none" w:sz="0" w:space="0" w:color="auto"/>
        <w:right w:val="none" w:sz="0" w:space="0" w:color="auto"/>
      </w:divBdr>
      <w:divsChild>
        <w:div w:id="1563640180">
          <w:marLeft w:val="547"/>
          <w:marRight w:val="0"/>
          <w:marTop w:val="0"/>
          <w:marBottom w:val="0"/>
          <w:divBdr>
            <w:top w:val="none" w:sz="0" w:space="0" w:color="auto"/>
            <w:left w:val="none" w:sz="0" w:space="0" w:color="auto"/>
            <w:bottom w:val="none" w:sz="0" w:space="0" w:color="auto"/>
            <w:right w:val="none" w:sz="0" w:space="0" w:color="auto"/>
          </w:divBdr>
        </w:div>
      </w:divsChild>
    </w:div>
    <w:div w:id="194974523">
      <w:bodyDiv w:val="1"/>
      <w:marLeft w:val="0"/>
      <w:marRight w:val="0"/>
      <w:marTop w:val="0"/>
      <w:marBottom w:val="0"/>
      <w:divBdr>
        <w:top w:val="none" w:sz="0" w:space="0" w:color="auto"/>
        <w:left w:val="none" w:sz="0" w:space="0" w:color="auto"/>
        <w:bottom w:val="none" w:sz="0" w:space="0" w:color="auto"/>
        <w:right w:val="none" w:sz="0" w:space="0" w:color="auto"/>
      </w:divBdr>
    </w:div>
    <w:div w:id="201750289">
      <w:bodyDiv w:val="1"/>
      <w:marLeft w:val="0"/>
      <w:marRight w:val="0"/>
      <w:marTop w:val="0"/>
      <w:marBottom w:val="0"/>
      <w:divBdr>
        <w:top w:val="none" w:sz="0" w:space="0" w:color="auto"/>
        <w:left w:val="none" w:sz="0" w:space="0" w:color="auto"/>
        <w:bottom w:val="none" w:sz="0" w:space="0" w:color="auto"/>
        <w:right w:val="none" w:sz="0" w:space="0" w:color="auto"/>
      </w:divBdr>
    </w:div>
    <w:div w:id="203371230">
      <w:bodyDiv w:val="1"/>
      <w:marLeft w:val="0"/>
      <w:marRight w:val="0"/>
      <w:marTop w:val="0"/>
      <w:marBottom w:val="0"/>
      <w:divBdr>
        <w:top w:val="none" w:sz="0" w:space="0" w:color="auto"/>
        <w:left w:val="none" w:sz="0" w:space="0" w:color="auto"/>
        <w:bottom w:val="none" w:sz="0" w:space="0" w:color="auto"/>
        <w:right w:val="none" w:sz="0" w:space="0" w:color="auto"/>
      </w:divBdr>
    </w:div>
    <w:div w:id="210658523">
      <w:bodyDiv w:val="1"/>
      <w:marLeft w:val="0"/>
      <w:marRight w:val="0"/>
      <w:marTop w:val="0"/>
      <w:marBottom w:val="0"/>
      <w:divBdr>
        <w:top w:val="none" w:sz="0" w:space="0" w:color="auto"/>
        <w:left w:val="none" w:sz="0" w:space="0" w:color="auto"/>
        <w:bottom w:val="none" w:sz="0" w:space="0" w:color="auto"/>
        <w:right w:val="none" w:sz="0" w:space="0" w:color="auto"/>
      </w:divBdr>
    </w:div>
    <w:div w:id="226259060">
      <w:bodyDiv w:val="1"/>
      <w:marLeft w:val="0"/>
      <w:marRight w:val="0"/>
      <w:marTop w:val="0"/>
      <w:marBottom w:val="0"/>
      <w:divBdr>
        <w:top w:val="none" w:sz="0" w:space="0" w:color="auto"/>
        <w:left w:val="none" w:sz="0" w:space="0" w:color="auto"/>
        <w:bottom w:val="none" w:sz="0" w:space="0" w:color="auto"/>
        <w:right w:val="none" w:sz="0" w:space="0" w:color="auto"/>
      </w:divBdr>
    </w:div>
    <w:div w:id="231891992">
      <w:bodyDiv w:val="1"/>
      <w:marLeft w:val="0"/>
      <w:marRight w:val="0"/>
      <w:marTop w:val="0"/>
      <w:marBottom w:val="0"/>
      <w:divBdr>
        <w:top w:val="none" w:sz="0" w:space="0" w:color="auto"/>
        <w:left w:val="none" w:sz="0" w:space="0" w:color="auto"/>
        <w:bottom w:val="none" w:sz="0" w:space="0" w:color="auto"/>
        <w:right w:val="none" w:sz="0" w:space="0" w:color="auto"/>
      </w:divBdr>
    </w:div>
    <w:div w:id="241767150">
      <w:bodyDiv w:val="1"/>
      <w:marLeft w:val="0"/>
      <w:marRight w:val="0"/>
      <w:marTop w:val="0"/>
      <w:marBottom w:val="0"/>
      <w:divBdr>
        <w:top w:val="none" w:sz="0" w:space="0" w:color="auto"/>
        <w:left w:val="none" w:sz="0" w:space="0" w:color="auto"/>
        <w:bottom w:val="none" w:sz="0" w:space="0" w:color="auto"/>
        <w:right w:val="none" w:sz="0" w:space="0" w:color="auto"/>
      </w:divBdr>
    </w:div>
    <w:div w:id="242840548">
      <w:bodyDiv w:val="1"/>
      <w:marLeft w:val="0"/>
      <w:marRight w:val="0"/>
      <w:marTop w:val="0"/>
      <w:marBottom w:val="0"/>
      <w:divBdr>
        <w:top w:val="none" w:sz="0" w:space="0" w:color="auto"/>
        <w:left w:val="none" w:sz="0" w:space="0" w:color="auto"/>
        <w:bottom w:val="none" w:sz="0" w:space="0" w:color="auto"/>
        <w:right w:val="none" w:sz="0" w:space="0" w:color="auto"/>
      </w:divBdr>
    </w:div>
    <w:div w:id="245726629">
      <w:bodyDiv w:val="1"/>
      <w:marLeft w:val="0"/>
      <w:marRight w:val="0"/>
      <w:marTop w:val="0"/>
      <w:marBottom w:val="0"/>
      <w:divBdr>
        <w:top w:val="none" w:sz="0" w:space="0" w:color="auto"/>
        <w:left w:val="none" w:sz="0" w:space="0" w:color="auto"/>
        <w:bottom w:val="none" w:sz="0" w:space="0" w:color="auto"/>
        <w:right w:val="none" w:sz="0" w:space="0" w:color="auto"/>
      </w:divBdr>
    </w:div>
    <w:div w:id="248469339">
      <w:bodyDiv w:val="1"/>
      <w:marLeft w:val="0"/>
      <w:marRight w:val="0"/>
      <w:marTop w:val="0"/>
      <w:marBottom w:val="0"/>
      <w:divBdr>
        <w:top w:val="none" w:sz="0" w:space="0" w:color="auto"/>
        <w:left w:val="none" w:sz="0" w:space="0" w:color="auto"/>
        <w:bottom w:val="none" w:sz="0" w:space="0" w:color="auto"/>
        <w:right w:val="none" w:sz="0" w:space="0" w:color="auto"/>
      </w:divBdr>
    </w:div>
    <w:div w:id="250892626">
      <w:bodyDiv w:val="1"/>
      <w:marLeft w:val="0"/>
      <w:marRight w:val="0"/>
      <w:marTop w:val="0"/>
      <w:marBottom w:val="0"/>
      <w:divBdr>
        <w:top w:val="none" w:sz="0" w:space="0" w:color="auto"/>
        <w:left w:val="none" w:sz="0" w:space="0" w:color="auto"/>
        <w:bottom w:val="none" w:sz="0" w:space="0" w:color="auto"/>
        <w:right w:val="none" w:sz="0" w:space="0" w:color="auto"/>
      </w:divBdr>
    </w:div>
    <w:div w:id="259879392">
      <w:bodyDiv w:val="1"/>
      <w:marLeft w:val="0"/>
      <w:marRight w:val="0"/>
      <w:marTop w:val="0"/>
      <w:marBottom w:val="0"/>
      <w:divBdr>
        <w:top w:val="none" w:sz="0" w:space="0" w:color="auto"/>
        <w:left w:val="none" w:sz="0" w:space="0" w:color="auto"/>
        <w:bottom w:val="none" w:sz="0" w:space="0" w:color="auto"/>
        <w:right w:val="none" w:sz="0" w:space="0" w:color="auto"/>
      </w:divBdr>
    </w:div>
    <w:div w:id="263268368">
      <w:bodyDiv w:val="1"/>
      <w:marLeft w:val="0"/>
      <w:marRight w:val="0"/>
      <w:marTop w:val="0"/>
      <w:marBottom w:val="0"/>
      <w:divBdr>
        <w:top w:val="none" w:sz="0" w:space="0" w:color="auto"/>
        <w:left w:val="none" w:sz="0" w:space="0" w:color="auto"/>
        <w:bottom w:val="none" w:sz="0" w:space="0" w:color="auto"/>
        <w:right w:val="none" w:sz="0" w:space="0" w:color="auto"/>
      </w:divBdr>
    </w:div>
    <w:div w:id="304236045">
      <w:bodyDiv w:val="1"/>
      <w:marLeft w:val="0"/>
      <w:marRight w:val="0"/>
      <w:marTop w:val="0"/>
      <w:marBottom w:val="0"/>
      <w:divBdr>
        <w:top w:val="none" w:sz="0" w:space="0" w:color="auto"/>
        <w:left w:val="none" w:sz="0" w:space="0" w:color="auto"/>
        <w:bottom w:val="none" w:sz="0" w:space="0" w:color="auto"/>
        <w:right w:val="none" w:sz="0" w:space="0" w:color="auto"/>
      </w:divBdr>
    </w:div>
    <w:div w:id="305859749">
      <w:bodyDiv w:val="1"/>
      <w:marLeft w:val="0"/>
      <w:marRight w:val="0"/>
      <w:marTop w:val="0"/>
      <w:marBottom w:val="0"/>
      <w:divBdr>
        <w:top w:val="none" w:sz="0" w:space="0" w:color="auto"/>
        <w:left w:val="none" w:sz="0" w:space="0" w:color="auto"/>
        <w:bottom w:val="none" w:sz="0" w:space="0" w:color="auto"/>
        <w:right w:val="none" w:sz="0" w:space="0" w:color="auto"/>
      </w:divBdr>
    </w:div>
    <w:div w:id="309554443">
      <w:bodyDiv w:val="1"/>
      <w:marLeft w:val="0"/>
      <w:marRight w:val="0"/>
      <w:marTop w:val="0"/>
      <w:marBottom w:val="0"/>
      <w:divBdr>
        <w:top w:val="none" w:sz="0" w:space="0" w:color="auto"/>
        <w:left w:val="none" w:sz="0" w:space="0" w:color="auto"/>
        <w:bottom w:val="none" w:sz="0" w:space="0" w:color="auto"/>
        <w:right w:val="none" w:sz="0" w:space="0" w:color="auto"/>
      </w:divBdr>
    </w:div>
    <w:div w:id="313602855">
      <w:bodyDiv w:val="1"/>
      <w:marLeft w:val="0"/>
      <w:marRight w:val="0"/>
      <w:marTop w:val="0"/>
      <w:marBottom w:val="0"/>
      <w:divBdr>
        <w:top w:val="none" w:sz="0" w:space="0" w:color="auto"/>
        <w:left w:val="none" w:sz="0" w:space="0" w:color="auto"/>
        <w:bottom w:val="none" w:sz="0" w:space="0" w:color="auto"/>
        <w:right w:val="none" w:sz="0" w:space="0" w:color="auto"/>
      </w:divBdr>
    </w:div>
    <w:div w:id="325868274">
      <w:bodyDiv w:val="1"/>
      <w:marLeft w:val="0"/>
      <w:marRight w:val="0"/>
      <w:marTop w:val="0"/>
      <w:marBottom w:val="0"/>
      <w:divBdr>
        <w:top w:val="none" w:sz="0" w:space="0" w:color="auto"/>
        <w:left w:val="none" w:sz="0" w:space="0" w:color="auto"/>
        <w:bottom w:val="none" w:sz="0" w:space="0" w:color="auto"/>
        <w:right w:val="none" w:sz="0" w:space="0" w:color="auto"/>
      </w:divBdr>
    </w:div>
    <w:div w:id="325941689">
      <w:bodyDiv w:val="1"/>
      <w:marLeft w:val="0"/>
      <w:marRight w:val="0"/>
      <w:marTop w:val="0"/>
      <w:marBottom w:val="0"/>
      <w:divBdr>
        <w:top w:val="none" w:sz="0" w:space="0" w:color="auto"/>
        <w:left w:val="none" w:sz="0" w:space="0" w:color="auto"/>
        <w:bottom w:val="none" w:sz="0" w:space="0" w:color="auto"/>
        <w:right w:val="none" w:sz="0" w:space="0" w:color="auto"/>
      </w:divBdr>
    </w:div>
    <w:div w:id="336421093">
      <w:bodyDiv w:val="1"/>
      <w:marLeft w:val="0"/>
      <w:marRight w:val="0"/>
      <w:marTop w:val="0"/>
      <w:marBottom w:val="0"/>
      <w:divBdr>
        <w:top w:val="none" w:sz="0" w:space="0" w:color="auto"/>
        <w:left w:val="none" w:sz="0" w:space="0" w:color="auto"/>
        <w:bottom w:val="none" w:sz="0" w:space="0" w:color="auto"/>
        <w:right w:val="none" w:sz="0" w:space="0" w:color="auto"/>
      </w:divBdr>
    </w:div>
    <w:div w:id="339476536">
      <w:bodyDiv w:val="1"/>
      <w:marLeft w:val="0"/>
      <w:marRight w:val="0"/>
      <w:marTop w:val="0"/>
      <w:marBottom w:val="0"/>
      <w:divBdr>
        <w:top w:val="none" w:sz="0" w:space="0" w:color="auto"/>
        <w:left w:val="none" w:sz="0" w:space="0" w:color="auto"/>
        <w:bottom w:val="none" w:sz="0" w:space="0" w:color="auto"/>
        <w:right w:val="none" w:sz="0" w:space="0" w:color="auto"/>
      </w:divBdr>
    </w:div>
    <w:div w:id="345210858">
      <w:bodyDiv w:val="1"/>
      <w:marLeft w:val="0"/>
      <w:marRight w:val="0"/>
      <w:marTop w:val="0"/>
      <w:marBottom w:val="0"/>
      <w:divBdr>
        <w:top w:val="none" w:sz="0" w:space="0" w:color="auto"/>
        <w:left w:val="none" w:sz="0" w:space="0" w:color="auto"/>
        <w:bottom w:val="none" w:sz="0" w:space="0" w:color="auto"/>
        <w:right w:val="none" w:sz="0" w:space="0" w:color="auto"/>
      </w:divBdr>
    </w:div>
    <w:div w:id="346105538">
      <w:bodyDiv w:val="1"/>
      <w:marLeft w:val="0"/>
      <w:marRight w:val="0"/>
      <w:marTop w:val="0"/>
      <w:marBottom w:val="0"/>
      <w:divBdr>
        <w:top w:val="none" w:sz="0" w:space="0" w:color="auto"/>
        <w:left w:val="none" w:sz="0" w:space="0" w:color="auto"/>
        <w:bottom w:val="none" w:sz="0" w:space="0" w:color="auto"/>
        <w:right w:val="none" w:sz="0" w:space="0" w:color="auto"/>
      </w:divBdr>
    </w:div>
    <w:div w:id="348456208">
      <w:bodyDiv w:val="1"/>
      <w:marLeft w:val="0"/>
      <w:marRight w:val="0"/>
      <w:marTop w:val="0"/>
      <w:marBottom w:val="0"/>
      <w:divBdr>
        <w:top w:val="none" w:sz="0" w:space="0" w:color="auto"/>
        <w:left w:val="none" w:sz="0" w:space="0" w:color="auto"/>
        <w:bottom w:val="none" w:sz="0" w:space="0" w:color="auto"/>
        <w:right w:val="none" w:sz="0" w:space="0" w:color="auto"/>
      </w:divBdr>
    </w:div>
    <w:div w:id="351302545">
      <w:bodyDiv w:val="1"/>
      <w:marLeft w:val="0"/>
      <w:marRight w:val="0"/>
      <w:marTop w:val="0"/>
      <w:marBottom w:val="0"/>
      <w:divBdr>
        <w:top w:val="none" w:sz="0" w:space="0" w:color="auto"/>
        <w:left w:val="none" w:sz="0" w:space="0" w:color="auto"/>
        <w:bottom w:val="none" w:sz="0" w:space="0" w:color="auto"/>
        <w:right w:val="none" w:sz="0" w:space="0" w:color="auto"/>
      </w:divBdr>
    </w:div>
    <w:div w:id="365251739">
      <w:bodyDiv w:val="1"/>
      <w:marLeft w:val="0"/>
      <w:marRight w:val="0"/>
      <w:marTop w:val="0"/>
      <w:marBottom w:val="0"/>
      <w:divBdr>
        <w:top w:val="none" w:sz="0" w:space="0" w:color="auto"/>
        <w:left w:val="none" w:sz="0" w:space="0" w:color="auto"/>
        <w:bottom w:val="none" w:sz="0" w:space="0" w:color="auto"/>
        <w:right w:val="none" w:sz="0" w:space="0" w:color="auto"/>
      </w:divBdr>
    </w:div>
    <w:div w:id="375009886">
      <w:bodyDiv w:val="1"/>
      <w:marLeft w:val="0"/>
      <w:marRight w:val="0"/>
      <w:marTop w:val="0"/>
      <w:marBottom w:val="0"/>
      <w:divBdr>
        <w:top w:val="none" w:sz="0" w:space="0" w:color="auto"/>
        <w:left w:val="none" w:sz="0" w:space="0" w:color="auto"/>
        <w:bottom w:val="none" w:sz="0" w:space="0" w:color="auto"/>
        <w:right w:val="none" w:sz="0" w:space="0" w:color="auto"/>
      </w:divBdr>
    </w:div>
    <w:div w:id="388694434">
      <w:bodyDiv w:val="1"/>
      <w:marLeft w:val="0"/>
      <w:marRight w:val="0"/>
      <w:marTop w:val="0"/>
      <w:marBottom w:val="0"/>
      <w:divBdr>
        <w:top w:val="none" w:sz="0" w:space="0" w:color="auto"/>
        <w:left w:val="none" w:sz="0" w:space="0" w:color="auto"/>
        <w:bottom w:val="none" w:sz="0" w:space="0" w:color="auto"/>
        <w:right w:val="none" w:sz="0" w:space="0" w:color="auto"/>
      </w:divBdr>
    </w:div>
    <w:div w:id="408382796">
      <w:bodyDiv w:val="1"/>
      <w:marLeft w:val="0"/>
      <w:marRight w:val="0"/>
      <w:marTop w:val="0"/>
      <w:marBottom w:val="0"/>
      <w:divBdr>
        <w:top w:val="none" w:sz="0" w:space="0" w:color="auto"/>
        <w:left w:val="none" w:sz="0" w:space="0" w:color="auto"/>
        <w:bottom w:val="none" w:sz="0" w:space="0" w:color="auto"/>
        <w:right w:val="none" w:sz="0" w:space="0" w:color="auto"/>
      </w:divBdr>
    </w:div>
    <w:div w:id="437066224">
      <w:bodyDiv w:val="1"/>
      <w:marLeft w:val="0"/>
      <w:marRight w:val="0"/>
      <w:marTop w:val="0"/>
      <w:marBottom w:val="0"/>
      <w:divBdr>
        <w:top w:val="none" w:sz="0" w:space="0" w:color="auto"/>
        <w:left w:val="none" w:sz="0" w:space="0" w:color="auto"/>
        <w:bottom w:val="none" w:sz="0" w:space="0" w:color="auto"/>
        <w:right w:val="none" w:sz="0" w:space="0" w:color="auto"/>
      </w:divBdr>
    </w:div>
    <w:div w:id="444812350">
      <w:bodyDiv w:val="1"/>
      <w:marLeft w:val="0"/>
      <w:marRight w:val="0"/>
      <w:marTop w:val="0"/>
      <w:marBottom w:val="0"/>
      <w:divBdr>
        <w:top w:val="none" w:sz="0" w:space="0" w:color="auto"/>
        <w:left w:val="none" w:sz="0" w:space="0" w:color="auto"/>
        <w:bottom w:val="none" w:sz="0" w:space="0" w:color="auto"/>
        <w:right w:val="none" w:sz="0" w:space="0" w:color="auto"/>
      </w:divBdr>
    </w:div>
    <w:div w:id="449085255">
      <w:bodyDiv w:val="1"/>
      <w:marLeft w:val="0"/>
      <w:marRight w:val="0"/>
      <w:marTop w:val="0"/>
      <w:marBottom w:val="0"/>
      <w:divBdr>
        <w:top w:val="none" w:sz="0" w:space="0" w:color="auto"/>
        <w:left w:val="none" w:sz="0" w:space="0" w:color="auto"/>
        <w:bottom w:val="none" w:sz="0" w:space="0" w:color="auto"/>
        <w:right w:val="none" w:sz="0" w:space="0" w:color="auto"/>
      </w:divBdr>
    </w:div>
    <w:div w:id="451091794">
      <w:bodyDiv w:val="1"/>
      <w:marLeft w:val="0"/>
      <w:marRight w:val="0"/>
      <w:marTop w:val="0"/>
      <w:marBottom w:val="0"/>
      <w:divBdr>
        <w:top w:val="none" w:sz="0" w:space="0" w:color="auto"/>
        <w:left w:val="none" w:sz="0" w:space="0" w:color="auto"/>
        <w:bottom w:val="none" w:sz="0" w:space="0" w:color="auto"/>
        <w:right w:val="none" w:sz="0" w:space="0" w:color="auto"/>
      </w:divBdr>
    </w:div>
    <w:div w:id="457645731">
      <w:bodyDiv w:val="1"/>
      <w:marLeft w:val="0"/>
      <w:marRight w:val="0"/>
      <w:marTop w:val="0"/>
      <w:marBottom w:val="0"/>
      <w:divBdr>
        <w:top w:val="none" w:sz="0" w:space="0" w:color="auto"/>
        <w:left w:val="none" w:sz="0" w:space="0" w:color="auto"/>
        <w:bottom w:val="none" w:sz="0" w:space="0" w:color="auto"/>
        <w:right w:val="none" w:sz="0" w:space="0" w:color="auto"/>
      </w:divBdr>
    </w:div>
    <w:div w:id="470100735">
      <w:bodyDiv w:val="1"/>
      <w:marLeft w:val="0"/>
      <w:marRight w:val="0"/>
      <w:marTop w:val="0"/>
      <w:marBottom w:val="0"/>
      <w:divBdr>
        <w:top w:val="none" w:sz="0" w:space="0" w:color="auto"/>
        <w:left w:val="none" w:sz="0" w:space="0" w:color="auto"/>
        <w:bottom w:val="none" w:sz="0" w:space="0" w:color="auto"/>
        <w:right w:val="none" w:sz="0" w:space="0" w:color="auto"/>
      </w:divBdr>
    </w:div>
    <w:div w:id="497113110">
      <w:bodyDiv w:val="1"/>
      <w:marLeft w:val="0"/>
      <w:marRight w:val="0"/>
      <w:marTop w:val="0"/>
      <w:marBottom w:val="0"/>
      <w:divBdr>
        <w:top w:val="none" w:sz="0" w:space="0" w:color="auto"/>
        <w:left w:val="none" w:sz="0" w:space="0" w:color="auto"/>
        <w:bottom w:val="none" w:sz="0" w:space="0" w:color="auto"/>
        <w:right w:val="none" w:sz="0" w:space="0" w:color="auto"/>
      </w:divBdr>
    </w:div>
    <w:div w:id="499857937">
      <w:bodyDiv w:val="1"/>
      <w:marLeft w:val="0"/>
      <w:marRight w:val="0"/>
      <w:marTop w:val="0"/>
      <w:marBottom w:val="0"/>
      <w:divBdr>
        <w:top w:val="none" w:sz="0" w:space="0" w:color="auto"/>
        <w:left w:val="none" w:sz="0" w:space="0" w:color="auto"/>
        <w:bottom w:val="none" w:sz="0" w:space="0" w:color="auto"/>
        <w:right w:val="none" w:sz="0" w:space="0" w:color="auto"/>
      </w:divBdr>
    </w:div>
    <w:div w:id="502739977">
      <w:bodyDiv w:val="1"/>
      <w:marLeft w:val="0"/>
      <w:marRight w:val="0"/>
      <w:marTop w:val="0"/>
      <w:marBottom w:val="0"/>
      <w:divBdr>
        <w:top w:val="none" w:sz="0" w:space="0" w:color="auto"/>
        <w:left w:val="none" w:sz="0" w:space="0" w:color="auto"/>
        <w:bottom w:val="none" w:sz="0" w:space="0" w:color="auto"/>
        <w:right w:val="none" w:sz="0" w:space="0" w:color="auto"/>
      </w:divBdr>
    </w:div>
    <w:div w:id="506409526">
      <w:bodyDiv w:val="1"/>
      <w:marLeft w:val="0"/>
      <w:marRight w:val="0"/>
      <w:marTop w:val="0"/>
      <w:marBottom w:val="0"/>
      <w:divBdr>
        <w:top w:val="none" w:sz="0" w:space="0" w:color="auto"/>
        <w:left w:val="none" w:sz="0" w:space="0" w:color="auto"/>
        <w:bottom w:val="none" w:sz="0" w:space="0" w:color="auto"/>
        <w:right w:val="none" w:sz="0" w:space="0" w:color="auto"/>
      </w:divBdr>
    </w:div>
    <w:div w:id="507672581">
      <w:bodyDiv w:val="1"/>
      <w:marLeft w:val="0"/>
      <w:marRight w:val="0"/>
      <w:marTop w:val="0"/>
      <w:marBottom w:val="0"/>
      <w:divBdr>
        <w:top w:val="none" w:sz="0" w:space="0" w:color="auto"/>
        <w:left w:val="none" w:sz="0" w:space="0" w:color="auto"/>
        <w:bottom w:val="none" w:sz="0" w:space="0" w:color="auto"/>
        <w:right w:val="none" w:sz="0" w:space="0" w:color="auto"/>
      </w:divBdr>
    </w:div>
    <w:div w:id="511383036">
      <w:bodyDiv w:val="1"/>
      <w:marLeft w:val="0"/>
      <w:marRight w:val="0"/>
      <w:marTop w:val="0"/>
      <w:marBottom w:val="0"/>
      <w:divBdr>
        <w:top w:val="none" w:sz="0" w:space="0" w:color="auto"/>
        <w:left w:val="none" w:sz="0" w:space="0" w:color="auto"/>
        <w:bottom w:val="none" w:sz="0" w:space="0" w:color="auto"/>
        <w:right w:val="none" w:sz="0" w:space="0" w:color="auto"/>
      </w:divBdr>
    </w:div>
    <w:div w:id="538326234">
      <w:bodyDiv w:val="1"/>
      <w:marLeft w:val="0"/>
      <w:marRight w:val="0"/>
      <w:marTop w:val="0"/>
      <w:marBottom w:val="0"/>
      <w:divBdr>
        <w:top w:val="none" w:sz="0" w:space="0" w:color="auto"/>
        <w:left w:val="none" w:sz="0" w:space="0" w:color="auto"/>
        <w:bottom w:val="none" w:sz="0" w:space="0" w:color="auto"/>
        <w:right w:val="none" w:sz="0" w:space="0" w:color="auto"/>
      </w:divBdr>
    </w:div>
    <w:div w:id="539901333">
      <w:bodyDiv w:val="1"/>
      <w:marLeft w:val="0"/>
      <w:marRight w:val="0"/>
      <w:marTop w:val="0"/>
      <w:marBottom w:val="0"/>
      <w:divBdr>
        <w:top w:val="none" w:sz="0" w:space="0" w:color="auto"/>
        <w:left w:val="none" w:sz="0" w:space="0" w:color="auto"/>
        <w:bottom w:val="none" w:sz="0" w:space="0" w:color="auto"/>
        <w:right w:val="none" w:sz="0" w:space="0" w:color="auto"/>
      </w:divBdr>
      <w:divsChild>
        <w:div w:id="1281454361">
          <w:marLeft w:val="0"/>
          <w:marRight w:val="0"/>
          <w:marTop w:val="0"/>
          <w:marBottom w:val="0"/>
          <w:divBdr>
            <w:top w:val="none" w:sz="0" w:space="0" w:color="auto"/>
            <w:left w:val="none" w:sz="0" w:space="0" w:color="auto"/>
            <w:bottom w:val="none" w:sz="0" w:space="0" w:color="auto"/>
            <w:right w:val="none" w:sz="0" w:space="0" w:color="auto"/>
          </w:divBdr>
        </w:div>
        <w:div w:id="1892811087">
          <w:marLeft w:val="0"/>
          <w:marRight w:val="0"/>
          <w:marTop w:val="0"/>
          <w:marBottom w:val="0"/>
          <w:divBdr>
            <w:top w:val="none" w:sz="0" w:space="0" w:color="auto"/>
            <w:left w:val="none" w:sz="0" w:space="0" w:color="auto"/>
            <w:bottom w:val="none" w:sz="0" w:space="0" w:color="auto"/>
            <w:right w:val="none" w:sz="0" w:space="0" w:color="auto"/>
          </w:divBdr>
        </w:div>
        <w:div w:id="1148328364">
          <w:marLeft w:val="0"/>
          <w:marRight w:val="0"/>
          <w:marTop w:val="0"/>
          <w:marBottom w:val="0"/>
          <w:divBdr>
            <w:top w:val="none" w:sz="0" w:space="0" w:color="auto"/>
            <w:left w:val="none" w:sz="0" w:space="0" w:color="auto"/>
            <w:bottom w:val="none" w:sz="0" w:space="0" w:color="auto"/>
            <w:right w:val="none" w:sz="0" w:space="0" w:color="auto"/>
          </w:divBdr>
        </w:div>
        <w:div w:id="1599100514">
          <w:marLeft w:val="0"/>
          <w:marRight w:val="0"/>
          <w:marTop w:val="0"/>
          <w:marBottom w:val="0"/>
          <w:divBdr>
            <w:top w:val="none" w:sz="0" w:space="0" w:color="auto"/>
            <w:left w:val="none" w:sz="0" w:space="0" w:color="auto"/>
            <w:bottom w:val="none" w:sz="0" w:space="0" w:color="auto"/>
            <w:right w:val="none" w:sz="0" w:space="0" w:color="auto"/>
          </w:divBdr>
        </w:div>
      </w:divsChild>
    </w:div>
    <w:div w:id="541022729">
      <w:bodyDiv w:val="1"/>
      <w:marLeft w:val="0"/>
      <w:marRight w:val="0"/>
      <w:marTop w:val="0"/>
      <w:marBottom w:val="0"/>
      <w:divBdr>
        <w:top w:val="none" w:sz="0" w:space="0" w:color="auto"/>
        <w:left w:val="none" w:sz="0" w:space="0" w:color="auto"/>
        <w:bottom w:val="none" w:sz="0" w:space="0" w:color="auto"/>
        <w:right w:val="none" w:sz="0" w:space="0" w:color="auto"/>
      </w:divBdr>
    </w:div>
    <w:div w:id="546256428">
      <w:bodyDiv w:val="1"/>
      <w:marLeft w:val="0"/>
      <w:marRight w:val="0"/>
      <w:marTop w:val="0"/>
      <w:marBottom w:val="0"/>
      <w:divBdr>
        <w:top w:val="none" w:sz="0" w:space="0" w:color="auto"/>
        <w:left w:val="none" w:sz="0" w:space="0" w:color="auto"/>
        <w:bottom w:val="none" w:sz="0" w:space="0" w:color="auto"/>
        <w:right w:val="none" w:sz="0" w:space="0" w:color="auto"/>
      </w:divBdr>
    </w:div>
    <w:div w:id="599486053">
      <w:bodyDiv w:val="1"/>
      <w:marLeft w:val="0"/>
      <w:marRight w:val="0"/>
      <w:marTop w:val="0"/>
      <w:marBottom w:val="0"/>
      <w:divBdr>
        <w:top w:val="none" w:sz="0" w:space="0" w:color="auto"/>
        <w:left w:val="none" w:sz="0" w:space="0" w:color="auto"/>
        <w:bottom w:val="none" w:sz="0" w:space="0" w:color="auto"/>
        <w:right w:val="none" w:sz="0" w:space="0" w:color="auto"/>
      </w:divBdr>
    </w:div>
    <w:div w:id="607084522">
      <w:bodyDiv w:val="1"/>
      <w:marLeft w:val="0"/>
      <w:marRight w:val="0"/>
      <w:marTop w:val="0"/>
      <w:marBottom w:val="0"/>
      <w:divBdr>
        <w:top w:val="none" w:sz="0" w:space="0" w:color="auto"/>
        <w:left w:val="none" w:sz="0" w:space="0" w:color="auto"/>
        <w:bottom w:val="none" w:sz="0" w:space="0" w:color="auto"/>
        <w:right w:val="none" w:sz="0" w:space="0" w:color="auto"/>
      </w:divBdr>
    </w:div>
    <w:div w:id="612398192">
      <w:bodyDiv w:val="1"/>
      <w:marLeft w:val="0"/>
      <w:marRight w:val="0"/>
      <w:marTop w:val="0"/>
      <w:marBottom w:val="0"/>
      <w:divBdr>
        <w:top w:val="none" w:sz="0" w:space="0" w:color="auto"/>
        <w:left w:val="none" w:sz="0" w:space="0" w:color="auto"/>
        <w:bottom w:val="none" w:sz="0" w:space="0" w:color="auto"/>
        <w:right w:val="none" w:sz="0" w:space="0" w:color="auto"/>
      </w:divBdr>
    </w:div>
    <w:div w:id="615452947">
      <w:bodyDiv w:val="1"/>
      <w:marLeft w:val="0"/>
      <w:marRight w:val="0"/>
      <w:marTop w:val="0"/>
      <w:marBottom w:val="0"/>
      <w:divBdr>
        <w:top w:val="none" w:sz="0" w:space="0" w:color="auto"/>
        <w:left w:val="none" w:sz="0" w:space="0" w:color="auto"/>
        <w:bottom w:val="none" w:sz="0" w:space="0" w:color="auto"/>
        <w:right w:val="none" w:sz="0" w:space="0" w:color="auto"/>
      </w:divBdr>
    </w:div>
    <w:div w:id="631136009">
      <w:bodyDiv w:val="1"/>
      <w:marLeft w:val="0"/>
      <w:marRight w:val="0"/>
      <w:marTop w:val="0"/>
      <w:marBottom w:val="0"/>
      <w:divBdr>
        <w:top w:val="none" w:sz="0" w:space="0" w:color="auto"/>
        <w:left w:val="none" w:sz="0" w:space="0" w:color="auto"/>
        <w:bottom w:val="none" w:sz="0" w:space="0" w:color="auto"/>
        <w:right w:val="none" w:sz="0" w:space="0" w:color="auto"/>
      </w:divBdr>
    </w:div>
    <w:div w:id="634877026">
      <w:bodyDiv w:val="1"/>
      <w:marLeft w:val="0"/>
      <w:marRight w:val="0"/>
      <w:marTop w:val="0"/>
      <w:marBottom w:val="0"/>
      <w:divBdr>
        <w:top w:val="none" w:sz="0" w:space="0" w:color="auto"/>
        <w:left w:val="none" w:sz="0" w:space="0" w:color="auto"/>
        <w:bottom w:val="none" w:sz="0" w:space="0" w:color="auto"/>
        <w:right w:val="none" w:sz="0" w:space="0" w:color="auto"/>
      </w:divBdr>
    </w:div>
    <w:div w:id="642857785">
      <w:bodyDiv w:val="1"/>
      <w:marLeft w:val="0"/>
      <w:marRight w:val="0"/>
      <w:marTop w:val="0"/>
      <w:marBottom w:val="0"/>
      <w:divBdr>
        <w:top w:val="none" w:sz="0" w:space="0" w:color="auto"/>
        <w:left w:val="none" w:sz="0" w:space="0" w:color="auto"/>
        <w:bottom w:val="none" w:sz="0" w:space="0" w:color="auto"/>
        <w:right w:val="none" w:sz="0" w:space="0" w:color="auto"/>
      </w:divBdr>
    </w:div>
    <w:div w:id="646785242">
      <w:bodyDiv w:val="1"/>
      <w:marLeft w:val="0"/>
      <w:marRight w:val="0"/>
      <w:marTop w:val="0"/>
      <w:marBottom w:val="0"/>
      <w:divBdr>
        <w:top w:val="none" w:sz="0" w:space="0" w:color="auto"/>
        <w:left w:val="none" w:sz="0" w:space="0" w:color="auto"/>
        <w:bottom w:val="none" w:sz="0" w:space="0" w:color="auto"/>
        <w:right w:val="none" w:sz="0" w:space="0" w:color="auto"/>
      </w:divBdr>
    </w:div>
    <w:div w:id="649602587">
      <w:bodyDiv w:val="1"/>
      <w:marLeft w:val="0"/>
      <w:marRight w:val="0"/>
      <w:marTop w:val="0"/>
      <w:marBottom w:val="0"/>
      <w:divBdr>
        <w:top w:val="none" w:sz="0" w:space="0" w:color="auto"/>
        <w:left w:val="none" w:sz="0" w:space="0" w:color="auto"/>
        <w:bottom w:val="none" w:sz="0" w:space="0" w:color="auto"/>
        <w:right w:val="none" w:sz="0" w:space="0" w:color="auto"/>
      </w:divBdr>
    </w:div>
    <w:div w:id="657001238">
      <w:bodyDiv w:val="1"/>
      <w:marLeft w:val="0"/>
      <w:marRight w:val="0"/>
      <w:marTop w:val="0"/>
      <w:marBottom w:val="0"/>
      <w:divBdr>
        <w:top w:val="none" w:sz="0" w:space="0" w:color="auto"/>
        <w:left w:val="none" w:sz="0" w:space="0" w:color="auto"/>
        <w:bottom w:val="none" w:sz="0" w:space="0" w:color="auto"/>
        <w:right w:val="none" w:sz="0" w:space="0" w:color="auto"/>
      </w:divBdr>
    </w:div>
    <w:div w:id="683240540">
      <w:bodyDiv w:val="1"/>
      <w:marLeft w:val="0"/>
      <w:marRight w:val="0"/>
      <w:marTop w:val="0"/>
      <w:marBottom w:val="0"/>
      <w:divBdr>
        <w:top w:val="none" w:sz="0" w:space="0" w:color="auto"/>
        <w:left w:val="none" w:sz="0" w:space="0" w:color="auto"/>
        <w:bottom w:val="none" w:sz="0" w:space="0" w:color="auto"/>
        <w:right w:val="none" w:sz="0" w:space="0" w:color="auto"/>
      </w:divBdr>
    </w:div>
    <w:div w:id="685794350">
      <w:bodyDiv w:val="1"/>
      <w:marLeft w:val="0"/>
      <w:marRight w:val="0"/>
      <w:marTop w:val="0"/>
      <w:marBottom w:val="0"/>
      <w:divBdr>
        <w:top w:val="none" w:sz="0" w:space="0" w:color="auto"/>
        <w:left w:val="none" w:sz="0" w:space="0" w:color="auto"/>
        <w:bottom w:val="none" w:sz="0" w:space="0" w:color="auto"/>
        <w:right w:val="none" w:sz="0" w:space="0" w:color="auto"/>
      </w:divBdr>
    </w:div>
    <w:div w:id="698313624">
      <w:bodyDiv w:val="1"/>
      <w:marLeft w:val="0"/>
      <w:marRight w:val="0"/>
      <w:marTop w:val="0"/>
      <w:marBottom w:val="0"/>
      <w:divBdr>
        <w:top w:val="none" w:sz="0" w:space="0" w:color="auto"/>
        <w:left w:val="none" w:sz="0" w:space="0" w:color="auto"/>
        <w:bottom w:val="none" w:sz="0" w:space="0" w:color="auto"/>
        <w:right w:val="none" w:sz="0" w:space="0" w:color="auto"/>
      </w:divBdr>
    </w:div>
    <w:div w:id="699551171">
      <w:bodyDiv w:val="1"/>
      <w:marLeft w:val="0"/>
      <w:marRight w:val="0"/>
      <w:marTop w:val="0"/>
      <w:marBottom w:val="0"/>
      <w:divBdr>
        <w:top w:val="none" w:sz="0" w:space="0" w:color="auto"/>
        <w:left w:val="none" w:sz="0" w:space="0" w:color="auto"/>
        <w:bottom w:val="none" w:sz="0" w:space="0" w:color="auto"/>
        <w:right w:val="none" w:sz="0" w:space="0" w:color="auto"/>
      </w:divBdr>
    </w:div>
    <w:div w:id="718406306">
      <w:bodyDiv w:val="1"/>
      <w:marLeft w:val="0"/>
      <w:marRight w:val="0"/>
      <w:marTop w:val="0"/>
      <w:marBottom w:val="0"/>
      <w:divBdr>
        <w:top w:val="none" w:sz="0" w:space="0" w:color="auto"/>
        <w:left w:val="none" w:sz="0" w:space="0" w:color="auto"/>
        <w:bottom w:val="none" w:sz="0" w:space="0" w:color="auto"/>
        <w:right w:val="none" w:sz="0" w:space="0" w:color="auto"/>
      </w:divBdr>
    </w:div>
    <w:div w:id="733239685">
      <w:bodyDiv w:val="1"/>
      <w:marLeft w:val="0"/>
      <w:marRight w:val="0"/>
      <w:marTop w:val="0"/>
      <w:marBottom w:val="0"/>
      <w:divBdr>
        <w:top w:val="none" w:sz="0" w:space="0" w:color="auto"/>
        <w:left w:val="none" w:sz="0" w:space="0" w:color="auto"/>
        <w:bottom w:val="none" w:sz="0" w:space="0" w:color="auto"/>
        <w:right w:val="none" w:sz="0" w:space="0" w:color="auto"/>
      </w:divBdr>
    </w:div>
    <w:div w:id="736318929">
      <w:bodyDiv w:val="1"/>
      <w:marLeft w:val="0"/>
      <w:marRight w:val="0"/>
      <w:marTop w:val="0"/>
      <w:marBottom w:val="0"/>
      <w:divBdr>
        <w:top w:val="none" w:sz="0" w:space="0" w:color="auto"/>
        <w:left w:val="none" w:sz="0" w:space="0" w:color="auto"/>
        <w:bottom w:val="none" w:sz="0" w:space="0" w:color="auto"/>
        <w:right w:val="none" w:sz="0" w:space="0" w:color="auto"/>
      </w:divBdr>
      <w:divsChild>
        <w:div w:id="805658785">
          <w:marLeft w:val="446"/>
          <w:marRight w:val="0"/>
          <w:marTop w:val="0"/>
          <w:marBottom w:val="0"/>
          <w:divBdr>
            <w:top w:val="none" w:sz="0" w:space="0" w:color="auto"/>
            <w:left w:val="none" w:sz="0" w:space="0" w:color="auto"/>
            <w:bottom w:val="none" w:sz="0" w:space="0" w:color="auto"/>
            <w:right w:val="none" w:sz="0" w:space="0" w:color="auto"/>
          </w:divBdr>
        </w:div>
      </w:divsChild>
    </w:div>
    <w:div w:id="751271432">
      <w:bodyDiv w:val="1"/>
      <w:marLeft w:val="0"/>
      <w:marRight w:val="0"/>
      <w:marTop w:val="0"/>
      <w:marBottom w:val="0"/>
      <w:divBdr>
        <w:top w:val="none" w:sz="0" w:space="0" w:color="auto"/>
        <w:left w:val="none" w:sz="0" w:space="0" w:color="auto"/>
        <w:bottom w:val="none" w:sz="0" w:space="0" w:color="auto"/>
        <w:right w:val="none" w:sz="0" w:space="0" w:color="auto"/>
      </w:divBdr>
    </w:div>
    <w:div w:id="755711255">
      <w:bodyDiv w:val="1"/>
      <w:marLeft w:val="0"/>
      <w:marRight w:val="0"/>
      <w:marTop w:val="0"/>
      <w:marBottom w:val="0"/>
      <w:divBdr>
        <w:top w:val="none" w:sz="0" w:space="0" w:color="auto"/>
        <w:left w:val="none" w:sz="0" w:space="0" w:color="auto"/>
        <w:bottom w:val="none" w:sz="0" w:space="0" w:color="auto"/>
        <w:right w:val="none" w:sz="0" w:space="0" w:color="auto"/>
      </w:divBdr>
    </w:div>
    <w:div w:id="759109499">
      <w:bodyDiv w:val="1"/>
      <w:marLeft w:val="0"/>
      <w:marRight w:val="0"/>
      <w:marTop w:val="0"/>
      <w:marBottom w:val="0"/>
      <w:divBdr>
        <w:top w:val="none" w:sz="0" w:space="0" w:color="auto"/>
        <w:left w:val="none" w:sz="0" w:space="0" w:color="auto"/>
        <w:bottom w:val="none" w:sz="0" w:space="0" w:color="auto"/>
        <w:right w:val="none" w:sz="0" w:space="0" w:color="auto"/>
      </w:divBdr>
    </w:div>
    <w:div w:id="769814869">
      <w:bodyDiv w:val="1"/>
      <w:marLeft w:val="0"/>
      <w:marRight w:val="0"/>
      <w:marTop w:val="0"/>
      <w:marBottom w:val="0"/>
      <w:divBdr>
        <w:top w:val="none" w:sz="0" w:space="0" w:color="auto"/>
        <w:left w:val="none" w:sz="0" w:space="0" w:color="auto"/>
        <w:bottom w:val="none" w:sz="0" w:space="0" w:color="auto"/>
        <w:right w:val="none" w:sz="0" w:space="0" w:color="auto"/>
      </w:divBdr>
    </w:div>
    <w:div w:id="777213299">
      <w:bodyDiv w:val="1"/>
      <w:marLeft w:val="0"/>
      <w:marRight w:val="0"/>
      <w:marTop w:val="0"/>
      <w:marBottom w:val="0"/>
      <w:divBdr>
        <w:top w:val="none" w:sz="0" w:space="0" w:color="auto"/>
        <w:left w:val="none" w:sz="0" w:space="0" w:color="auto"/>
        <w:bottom w:val="none" w:sz="0" w:space="0" w:color="auto"/>
        <w:right w:val="none" w:sz="0" w:space="0" w:color="auto"/>
      </w:divBdr>
    </w:div>
    <w:div w:id="787629195">
      <w:bodyDiv w:val="1"/>
      <w:marLeft w:val="0"/>
      <w:marRight w:val="0"/>
      <w:marTop w:val="0"/>
      <w:marBottom w:val="0"/>
      <w:divBdr>
        <w:top w:val="none" w:sz="0" w:space="0" w:color="auto"/>
        <w:left w:val="none" w:sz="0" w:space="0" w:color="auto"/>
        <w:bottom w:val="none" w:sz="0" w:space="0" w:color="auto"/>
        <w:right w:val="none" w:sz="0" w:space="0" w:color="auto"/>
      </w:divBdr>
    </w:div>
    <w:div w:id="802776189">
      <w:bodyDiv w:val="1"/>
      <w:marLeft w:val="0"/>
      <w:marRight w:val="0"/>
      <w:marTop w:val="0"/>
      <w:marBottom w:val="0"/>
      <w:divBdr>
        <w:top w:val="none" w:sz="0" w:space="0" w:color="auto"/>
        <w:left w:val="none" w:sz="0" w:space="0" w:color="auto"/>
        <w:bottom w:val="none" w:sz="0" w:space="0" w:color="auto"/>
        <w:right w:val="none" w:sz="0" w:space="0" w:color="auto"/>
      </w:divBdr>
    </w:div>
    <w:div w:id="808936670">
      <w:bodyDiv w:val="1"/>
      <w:marLeft w:val="0"/>
      <w:marRight w:val="0"/>
      <w:marTop w:val="0"/>
      <w:marBottom w:val="0"/>
      <w:divBdr>
        <w:top w:val="none" w:sz="0" w:space="0" w:color="auto"/>
        <w:left w:val="none" w:sz="0" w:space="0" w:color="auto"/>
        <w:bottom w:val="none" w:sz="0" w:space="0" w:color="auto"/>
        <w:right w:val="none" w:sz="0" w:space="0" w:color="auto"/>
      </w:divBdr>
    </w:div>
    <w:div w:id="810292688">
      <w:bodyDiv w:val="1"/>
      <w:marLeft w:val="0"/>
      <w:marRight w:val="0"/>
      <w:marTop w:val="0"/>
      <w:marBottom w:val="0"/>
      <w:divBdr>
        <w:top w:val="none" w:sz="0" w:space="0" w:color="auto"/>
        <w:left w:val="none" w:sz="0" w:space="0" w:color="auto"/>
        <w:bottom w:val="none" w:sz="0" w:space="0" w:color="auto"/>
        <w:right w:val="none" w:sz="0" w:space="0" w:color="auto"/>
      </w:divBdr>
    </w:div>
    <w:div w:id="815033348">
      <w:bodyDiv w:val="1"/>
      <w:marLeft w:val="0"/>
      <w:marRight w:val="0"/>
      <w:marTop w:val="0"/>
      <w:marBottom w:val="0"/>
      <w:divBdr>
        <w:top w:val="none" w:sz="0" w:space="0" w:color="auto"/>
        <w:left w:val="none" w:sz="0" w:space="0" w:color="auto"/>
        <w:bottom w:val="none" w:sz="0" w:space="0" w:color="auto"/>
        <w:right w:val="none" w:sz="0" w:space="0" w:color="auto"/>
      </w:divBdr>
    </w:div>
    <w:div w:id="828791144">
      <w:bodyDiv w:val="1"/>
      <w:marLeft w:val="0"/>
      <w:marRight w:val="0"/>
      <w:marTop w:val="0"/>
      <w:marBottom w:val="0"/>
      <w:divBdr>
        <w:top w:val="none" w:sz="0" w:space="0" w:color="auto"/>
        <w:left w:val="none" w:sz="0" w:space="0" w:color="auto"/>
        <w:bottom w:val="none" w:sz="0" w:space="0" w:color="auto"/>
        <w:right w:val="none" w:sz="0" w:space="0" w:color="auto"/>
      </w:divBdr>
    </w:div>
    <w:div w:id="837843170">
      <w:bodyDiv w:val="1"/>
      <w:marLeft w:val="0"/>
      <w:marRight w:val="0"/>
      <w:marTop w:val="0"/>
      <w:marBottom w:val="0"/>
      <w:divBdr>
        <w:top w:val="none" w:sz="0" w:space="0" w:color="auto"/>
        <w:left w:val="none" w:sz="0" w:space="0" w:color="auto"/>
        <w:bottom w:val="none" w:sz="0" w:space="0" w:color="auto"/>
        <w:right w:val="none" w:sz="0" w:space="0" w:color="auto"/>
      </w:divBdr>
    </w:div>
    <w:div w:id="843478429">
      <w:bodyDiv w:val="1"/>
      <w:marLeft w:val="0"/>
      <w:marRight w:val="0"/>
      <w:marTop w:val="0"/>
      <w:marBottom w:val="0"/>
      <w:divBdr>
        <w:top w:val="none" w:sz="0" w:space="0" w:color="auto"/>
        <w:left w:val="none" w:sz="0" w:space="0" w:color="auto"/>
        <w:bottom w:val="none" w:sz="0" w:space="0" w:color="auto"/>
        <w:right w:val="none" w:sz="0" w:space="0" w:color="auto"/>
      </w:divBdr>
    </w:div>
    <w:div w:id="852300469">
      <w:bodyDiv w:val="1"/>
      <w:marLeft w:val="0"/>
      <w:marRight w:val="0"/>
      <w:marTop w:val="0"/>
      <w:marBottom w:val="0"/>
      <w:divBdr>
        <w:top w:val="none" w:sz="0" w:space="0" w:color="auto"/>
        <w:left w:val="none" w:sz="0" w:space="0" w:color="auto"/>
        <w:bottom w:val="none" w:sz="0" w:space="0" w:color="auto"/>
        <w:right w:val="none" w:sz="0" w:space="0" w:color="auto"/>
      </w:divBdr>
    </w:div>
    <w:div w:id="852456929">
      <w:bodyDiv w:val="1"/>
      <w:marLeft w:val="0"/>
      <w:marRight w:val="0"/>
      <w:marTop w:val="0"/>
      <w:marBottom w:val="0"/>
      <w:divBdr>
        <w:top w:val="none" w:sz="0" w:space="0" w:color="auto"/>
        <w:left w:val="none" w:sz="0" w:space="0" w:color="auto"/>
        <w:bottom w:val="none" w:sz="0" w:space="0" w:color="auto"/>
        <w:right w:val="none" w:sz="0" w:space="0" w:color="auto"/>
      </w:divBdr>
    </w:div>
    <w:div w:id="863399603">
      <w:bodyDiv w:val="1"/>
      <w:marLeft w:val="0"/>
      <w:marRight w:val="0"/>
      <w:marTop w:val="0"/>
      <w:marBottom w:val="0"/>
      <w:divBdr>
        <w:top w:val="none" w:sz="0" w:space="0" w:color="auto"/>
        <w:left w:val="none" w:sz="0" w:space="0" w:color="auto"/>
        <w:bottom w:val="none" w:sz="0" w:space="0" w:color="auto"/>
        <w:right w:val="none" w:sz="0" w:space="0" w:color="auto"/>
      </w:divBdr>
    </w:div>
    <w:div w:id="868104001">
      <w:bodyDiv w:val="1"/>
      <w:marLeft w:val="0"/>
      <w:marRight w:val="0"/>
      <w:marTop w:val="0"/>
      <w:marBottom w:val="0"/>
      <w:divBdr>
        <w:top w:val="none" w:sz="0" w:space="0" w:color="auto"/>
        <w:left w:val="none" w:sz="0" w:space="0" w:color="auto"/>
        <w:bottom w:val="none" w:sz="0" w:space="0" w:color="auto"/>
        <w:right w:val="none" w:sz="0" w:space="0" w:color="auto"/>
      </w:divBdr>
    </w:div>
    <w:div w:id="885264735">
      <w:bodyDiv w:val="1"/>
      <w:marLeft w:val="0"/>
      <w:marRight w:val="0"/>
      <w:marTop w:val="0"/>
      <w:marBottom w:val="0"/>
      <w:divBdr>
        <w:top w:val="none" w:sz="0" w:space="0" w:color="auto"/>
        <w:left w:val="none" w:sz="0" w:space="0" w:color="auto"/>
        <w:bottom w:val="none" w:sz="0" w:space="0" w:color="auto"/>
        <w:right w:val="none" w:sz="0" w:space="0" w:color="auto"/>
      </w:divBdr>
    </w:div>
    <w:div w:id="910969261">
      <w:bodyDiv w:val="1"/>
      <w:marLeft w:val="0"/>
      <w:marRight w:val="0"/>
      <w:marTop w:val="0"/>
      <w:marBottom w:val="0"/>
      <w:divBdr>
        <w:top w:val="none" w:sz="0" w:space="0" w:color="auto"/>
        <w:left w:val="none" w:sz="0" w:space="0" w:color="auto"/>
        <w:bottom w:val="none" w:sz="0" w:space="0" w:color="auto"/>
        <w:right w:val="none" w:sz="0" w:space="0" w:color="auto"/>
      </w:divBdr>
    </w:div>
    <w:div w:id="911622487">
      <w:bodyDiv w:val="1"/>
      <w:marLeft w:val="0"/>
      <w:marRight w:val="0"/>
      <w:marTop w:val="0"/>
      <w:marBottom w:val="0"/>
      <w:divBdr>
        <w:top w:val="none" w:sz="0" w:space="0" w:color="auto"/>
        <w:left w:val="none" w:sz="0" w:space="0" w:color="auto"/>
        <w:bottom w:val="none" w:sz="0" w:space="0" w:color="auto"/>
        <w:right w:val="none" w:sz="0" w:space="0" w:color="auto"/>
      </w:divBdr>
    </w:div>
    <w:div w:id="919489905">
      <w:bodyDiv w:val="1"/>
      <w:marLeft w:val="0"/>
      <w:marRight w:val="0"/>
      <w:marTop w:val="0"/>
      <w:marBottom w:val="0"/>
      <w:divBdr>
        <w:top w:val="none" w:sz="0" w:space="0" w:color="auto"/>
        <w:left w:val="none" w:sz="0" w:space="0" w:color="auto"/>
        <w:bottom w:val="none" w:sz="0" w:space="0" w:color="auto"/>
        <w:right w:val="none" w:sz="0" w:space="0" w:color="auto"/>
      </w:divBdr>
    </w:div>
    <w:div w:id="930821543">
      <w:bodyDiv w:val="1"/>
      <w:marLeft w:val="0"/>
      <w:marRight w:val="0"/>
      <w:marTop w:val="0"/>
      <w:marBottom w:val="0"/>
      <w:divBdr>
        <w:top w:val="none" w:sz="0" w:space="0" w:color="auto"/>
        <w:left w:val="none" w:sz="0" w:space="0" w:color="auto"/>
        <w:bottom w:val="none" w:sz="0" w:space="0" w:color="auto"/>
        <w:right w:val="none" w:sz="0" w:space="0" w:color="auto"/>
      </w:divBdr>
    </w:div>
    <w:div w:id="935871697">
      <w:bodyDiv w:val="1"/>
      <w:marLeft w:val="0"/>
      <w:marRight w:val="0"/>
      <w:marTop w:val="0"/>
      <w:marBottom w:val="0"/>
      <w:divBdr>
        <w:top w:val="none" w:sz="0" w:space="0" w:color="auto"/>
        <w:left w:val="none" w:sz="0" w:space="0" w:color="auto"/>
        <w:bottom w:val="none" w:sz="0" w:space="0" w:color="auto"/>
        <w:right w:val="none" w:sz="0" w:space="0" w:color="auto"/>
      </w:divBdr>
    </w:div>
    <w:div w:id="941642227">
      <w:bodyDiv w:val="1"/>
      <w:marLeft w:val="0"/>
      <w:marRight w:val="0"/>
      <w:marTop w:val="0"/>
      <w:marBottom w:val="0"/>
      <w:divBdr>
        <w:top w:val="none" w:sz="0" w:space="0" w:color="auto"/>
        <w:left w:val="none" w:sz="0" w:space="0" w:color="auto"/>
        <w:bottom w:val="none" w:sz="0" w:space="0" w:color="auto"/>
        <w:right w:val="none" w:sz="0" w:space="0" w:color="auto"/>
      </w:divBdr>
    </w:div>
    <w:div w:id="962077720">
      <w:bodyDiv w:val="1"/>
      <w:marLeft w:val="0"/>
      <w:marRight w:val="0"/>
      <w:marTop w:val="0"/>
      <w:marBottom w:val="0"/>
      <w:divBdr>
        <w:top w:val="none" w:sz="0" w:space="0" w:color="auto"/>
        <w:left w:val="none" w:sz="0" w:space="0" w:color="auto"/>
        <w:bottom w:val="none" w:sz="0" w:space="0" w:color="auto"/>
        <w:right w:val="none" w:sz="0" w:space="0" w:color="auto"/>
      </w:divBdr>
    </w:div>
    <w:div w:id="971056026">
      <w:bodyDiv w:val="1"/>
      <w:marLeft w:val="0"/>
      <w:marRight w:val="0"/>
      <w:marTop w:val="0"/>
      <w:marBottom w:val="0"/>
      <w:divBdr>
        <w:top w:val="none" w:sz="0" w:space="0" w:color="auto"/>
        <w:left w:val="none" w:sz="0" w:space="0" w:color="auto"/>
        <w:bottom w:val="none" w:sz="0" w:space="0" w:color="auto"/>
        <w:right w:val="none" w:sz="0" w:space="0" w:color="auto"/>
      </w:divBdr>
    </w:div>
    <w:div w:id="981420357">
      <w:bodyDiv w:val="1"/>
      <w:marLeft w:val="0"/>
      <w:marRight w:val="0"/>
      <w:marTop w:val="0"/>
      <w:marBottom w:val="0"/>
      <w:divBdr>
        <w:top w:val="none" w:sz="0" w:space="0" w:color="auto"/>
        <w:left w:val="none" w:sz="0" w:space="0" w:color="auto"/>
        <w:bottom w:val="none" w:sz="0" w:space="0" w:color="auto"/>
        <w:right w:val="none" w:sz="0" w:space="0" w:color="auto"/>
      </w:divBdr>
    </w:div>
    <w:div w:id="987174054">
      <w:bodyDiv w:val="1"/>
      <w:marLeft w:val="0"/>
      <w:marRight w:val="0"/>
      <w:marTop w:val="0"/>
      <w:marBottom w:val="0"/>
      <w:divBdr>
        <w:top w:val="none" w:sz="0" w:space="0" w:color="auto"/>
        <w:left w:val="none" w:sz="0" w:space="0" w:color="auto"/>
        <w:bottom w:val="none" w:sz="0" w:space="0" w:color="auto"/>
        <w:right w:val="none" w:sz="0" w:space="0" w:color="auto"/>
      </w:divBdr>
    </w:div>
    <w:div w:id="996155774">
      <w:bodyDiv w:val="1"/>
      <w:marLeft w:val="0"/>
      <w:marRight w:val="0"/>
      <w:marTop w:val="0"/>
      <w:marBottom w:val="0"/>
      <w:divBdr>
        <w:top w:val="none" w:sz="0" w:space="0" w:color="auto"/>
        <w:left w:val="none" w:sz="0" w:space="0" w:color="auto"/>
        <w:bottom w:val="none" w:sz="0" w:space="0" w:color="auto"/>
        <w:right w:val="none" w:sz="0" w:space="0" w:color="auto"/>
      </w:divBdr>
    </w:div>
    <w:div w:id="998969138">
      <w:bodyDiv w:val="1"/>
      <w:marLeft w:val="0"/>
      <w:marRight w:val="0"/>
      <w:marTop w:val="0"/>
      <w:marBottom w:val="0"/>
      <w:divBdr>
        <w:top w:val="none" w:sz="0" w:space="0" w:color="auto"/>
        <w:left w:val="none" w:sz="0" w:space="0" w:color="auto"/>
        <w:bottom w:val="none" w:sz="0" w:space="0" w:color="auto"/>
        <w:right w:val="none" w:sz="0" w:space="0" w:color="auto"/>
      </w:divBdr>
    </w:div>
    <w:div w:id="999774531">
      <w:bodyDiv w:val="1"/>
      <w:marLeft w:val="0"/>
      <w:marRight w:val="0"/>
      <w:marTop w:val="0"/>
      <w:marBottom w:val="0"/>
      <w:divBdr>
        <w:top w:val="none" w:sz="0" w:space="0" w:color="auto"/>
        <w:left w:val="none" w:sz="0" w:space="0" w:color="auto"/>
        <w:bottom w:val="none" w:sz="0" w:space="0" w:color="auto"/>
        <w:right w:val="none" w:sz="0" w:space="0" w:color="auto"/>
      </w:divBdr>
    </w:div>
    <w:div w:id="1003436713">
      <w:bodyDiv w:val="1"/>
      <w:marLeft w:val="0"/>
      <w:marRight w:val="0"/>
      <w:marTop w:val="0"/>
      <w:marBottom w:val="0"/>
      <w:divBdr>
        <w:top w:val="none" w:sz="0" w:space="0" w:color="auto"/>
        <w:left w:val="none" w:sz="0" w:space="0" w:color="auto"/>
        <w:bottom w:val="none" w:sz="0" w:space="0" w:color="auto"/>
        <w:right w:val="none" w:sz="0" w:space="0" w:color="auto"/>
      </w:divBdr>
    </w:div>
    <w:div w:id="1012685645">
      <w:bodyDiv w:val="1"/>
      <w:marLeft w:val="0"/>
      <w:marRight w:val="0"/>
      <w:marTop w:val="0"/>
      <w:marBottom w:val="0"/>
      <w:divBdr>
        <w:top w:val="none" w:sz="0" w:space="0" w:color="auto"/>
        <w:left w:val="none" w:sz="0" w:space="0" w:color="auto"/>
        <w:bottom w:val="none" w:sz="0" w:space="0" w:color="auto"/>
        <w:right w:val="none" w:sz="0" w:space="0" w:color="auto"/>
      </w:divBdr>
    </w:div>
    <w:div w:id="1019233623">
      <w:bodyDiv w:val="1"/>
      <w:marLeft w:val="0"/>
      <w:marRight w:val="0"/>
      <w:marTop w:val="0"/>
      <w:marBottom w:val="0"/>
      <w:divBdr>
        <w:top w:val="none" w:sz="0" w:space="0" w:color="auto"/>
        <w:left w:val="none" w:sz="0" w:space="0" w:color="auto"/>
        <w:bottom w:val="none" w:sz="0" w:space="0" w:color="auto"/>
        <w:right w:val="none" w:sz="0" w:space="0" w:color="auto"/>
      </w:divBdr>
    </w:div>
    <w:div w:id="1021050884">
      <w:bodyDiv w:val="1"/>
      <w:marLeft w:val="0"/>
      <w:marRight w:val="0"/>
      <w:marTop w:val="0"/>
      <w:marBottom w:val="0"/>
      <w:divBdr>
        <w:top w:val="none" w:sz="0" w:space="0" w:color="auto"/>
        <w:left w:val="none" w:sz="0" w:space="0" w:color="auto"/>
        <w:bottom w:val="none" w:sz="0" w:space="0" w:color="auto"/>
        <w:right w:val="none" w:sz="0" w:space="0" w:color="auto"/>
      </w:divBdr>
    </w:div>
    <w:div w:id="1021201648">
      <w:bodyDiv w:val="1"/>
      <w:marLeft w:val="0"/>
      <w:marRight w:val="0"/>
      <w:marTop w:val="0"/>
      <w:marBottom w:val="0"/>
      <w:divBdr>
        <w:top w:val="none" w:sz="0" w:space="0" w:color="auto"/>
        <w:left w:val="none" w:sz="0" w:space="0" w:color="auto"/>
        <w:bottom w:val="none" w:sz="0" w:space="0" w:color="auto"/>
        <w:right w:val="none" w:sz="0" w:space="0" w:color="auto"/>
      </w:divBdr>
    </w:div>
    <w:div w:id="1035038484">
      <w:bodyDiv w:val="1"/>
      <w:marLeft w:val="0"/>
      <w:marRight w:val="0"/>
      <w:marTop w:val="0"/>
      <w:marBottom w:val="0"/>
      <w:divBdr>
        <w:top w:val="none" w:sz="0" w:space="0" w:color="auto"/>
        <w:left w:val="none" w:sz="0" w:space="0" w:color="auto"/>
        <w:bottom w:val="none" w:sz="0" w:space="0" w:color="auto"/>
        <w:right w:val="none" w:sz="0" w:space="0" w:color="auto"/>
      </w:divBdr>
    </w:div>
    <w:div w:id="1051005859">
      <w:bodyDiv w:val="1"/>
      <w:marLeft w:val="0"/>
      <w:marRight w:val="0"/>
      <w:marTop w:val="0"/>
      <w:marBottom w:val="0"/>
      <w:divBdr>
        <w:top w:val="none" w:sz="0" w:space="0" w:color="auto"/>
        <w:left w:val="none" w:sz="0" w:space="0" w:color="auto"/>
        <w:bottom w:val="none" w:sz="0" w:space="0" w:color="auto"/>
        <w:right w:val="none" w:sz="0" w:space="0" w:color="auto"/>
      </w:divBdr>
      <w:divsChild>
        <w:div w:id="464011353">
          <w:marLeft w:val="0"/>
          <w:marRight w:val="0"/>
          <w:marTop w:val="0"/>
          <w:marBottom w:val="0"/>
          <w:divBdr>
            <w:top w:val="none" w:sz="0" w:space="0" w:color="auto"/>
            <w:left w:val="none" w:sz="0" w:space="0" w:color="auto"/>
            <w:bottom w:val="none" w:sz="0" w:space="0" w:color="auto"/>
            <w:right w:val="none" w:sz="0" w:space="0" w:color="auto"/>
          </w:divBdr>
          <w:divsChild>
            <w:div w:id="81805043">
              <w:marLeft w:val="0"/>
              <w:marRight w:val="0"/>
              <w:marTop w:val="0"/>
              <w:marBottom w:val="0"/>
              <w:divBdr>
                <w:top w:val="none" w:sz="0" w:space="0" w:color="auto"/>
                <w:left w:val="none" w:sz="0" w:space="0" w:color="auto"/>
                <w:bottom w:val="none" w:sz="0" w:space="0" w:color="auto"/>
                <w:right w:val="none" w:sz="0" w:space="0" w:color="auto"/>
              </w:divBdr>
              <w:divsChild>
                <w:div w:id="2081631822">
                  <w:marLeft w:val="0"/>
                  <w:marRight w:val="0"/>
                  <w:marTop w:val="0"/>
                  <w:marBottom w:val="0"/>
                  <w:divBdr>
                    <w:top w:val="none" w:sz="0" w:space="0" w:color="auto"/>
                    <w:left w:val="none" w:sz="0" w:space="0" w:color="auto"/>
                    <w:bottom w:val="none" w:sz="0" w:space="0" w:color="auto"/>
                    <w:right w:val="none" w:sz="0" w:space="0" w:color="auto"/>
                  </w:divBdr>
                  <w:divsChild>
                    <w:div w:id="10590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4276">
          <w:marLeft w:val="0"/>
          <w:marRight w:val="0"/>
          <w:marTop w:val="0"/>
          <w:marBottom w:val="0"/>
          <w:divBdr>
            <w:top w:val="none" w:sz="0" w:space="0" w:color="auto"/>
            <w:left w:val="none" w:sz="0" w:space="0" w:color="auto"/>
            <w:bottom w:val="none" w:sz="0" w:space="0" w:color="auto"/>
            <w:right w:val="none" w:sz="0" w:space="0" w:color="auto"/>
          </w:divBdr>
          <w:divsChild>
            <w:div w:id="1112869630">
              <w:marLeft w:val="0"/>
              <w:marRight w:val="0"/>
              <w:marTop w:val="0"/>
              <w:marBottom w:val="0"/>
              <w:divBdr>
                <w:top w:val="none" w:sz="0" w:space="0" w:color="auto"/>
                <w:left w:val="none" w:sz="0" w:space="0" w:color="auto"/>
                <w:bottom w:val="none" w:sz="0" w:space="0" w:color="auto"/>
                <w:right w:val="none" w:sz="0" w:space="0" w:color="auto"/>
              </w:divBdr>
              <w:divsChild>
                <w:div w:id="1611543754">
                  <w:marLeft w:val="0"/>
                  <w:marRight w:val="0"/>
                  <w:marTop w:val="0"/>
                  <w:marBottom w:val="0"/>
                  <w:divBdr>
                    <w:top w:val="none" w:sz="0" w:space="0" w:color="auto"/>
                    <w:left w:val="none" w:sz="0" w:space="0" w:color="auto"/>
                    <w:bottom w:val="none" w:sz="0" w:space="0" w:color="auto"/>
                    <w:right w:val="none" w:sz="0" w:space="0" w:color="auto"/>
                  </w:divBdr>
                  <w:divsChild>
                    <w:div w:id="1033774205">
                      <w:marLeft w:val="0"/>
                      <w:marRight w:val="0"/>
                      <w:marTop w:val="0"/>
                      <w:marBottom w:val="0"/>
                      <w:divBdr>
                        <w:top w:val="none" w:sz="0" w:space="0" w:color="auto"/>
                        <w:left w:val="none" w:sz="0" w:space="0" w:color="auto"/>
                        <w:bottom w:val="none" w:sz="0" w:space="0" w:color="auto"/>
                        <w:right w:val="none" w:sz="0" w:space="0" w:color="auto"/>
                      </w:divBdr>
                      <w:divsChild>
                        <w:div w:id="639767229">
                          <w:marLeft w:val="0"/>
                          <w:marRight w:val="0"/>
                          <w:marTop w:val="0"/>
                          <w:marBottom w:val="0"/>
                          <w:divBdr>
                            <w:top w:val="none" w:sz="0" w:space="0" w:color="auto"/>
                            <w:left w:val="none" w:sz="0" w:space="0" w:color="auto"/>
                            <w:bottom w:val="none" w:sz="0" w:space="0" w:color="auto"/>
                            <w:right w:val="none" w:sz="0" w:space="0" w:color="auto"/>
                          </w:divBdr>
                        </w:div>
                        <w:div w:id="1828669910">
                          <w:marLeft w:val="0"/>
                          <w:marRight w:val="0"/>
                          <w:marTop w:val="0"/>
                          <w:marBottom w:val="0"/>
                          <w:divBdr>
                            <w:top w:val="none" w:sz="0" w:space="0" w:color="auto"/>
                            <w:left w:val="none" w:sz="0" w:space="0" w:color="auto"/>
                            <w:bottom w:val="none" w:sz="0" w:space="0" w:color="auto"/>
                            <w:right w:val="none" w:sz="0" w:space="0" w:color="auto"/>
                          </w:divBdr>
                        </w:div>
                        <w:div w:id="19897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897485">
      <w:bodyDiv w:val="1"/>
      <w:marLeft w:val="0"/>
      <w:marRight w:val="0"/>
      <w:marTop w:val="0"/>
      <w:marBottom w:val="0"/>
      <w:divBdr>
        <w:top w:val="none" w:sz="0" w:space="0" w:color="auto"/>
        <w:left w:val="none" w:sz="0" w:space="0" w:color="auto"/>
        <w:bottom w:val="none" w:sz="0" w:space="0" w:color="auto"/>
        <w:right w:val="none" w:sz="0" w:space="0" w:color="auto"/>
      </w:divBdr>
    </w:div>
    <w:div w:id="1058675709">
      <w:bodyDiv w:val="1"/>
      <w:marLeft w:val="0"/>
      <w:marRight w:val="0"/>
      <w:marTop w:val="0"/>
      <w:marBottom w:val="0"/>
      <w:divBdr>
        <w:top w:val="none" w:sz="0" w:space="0" w:color="auto"/>
        <w:left w:val="none" w:sz="0" w:space="0" w:color="auto"/>
        <w:bottom w:val="none" w:sz="0" w:space="0" w:color="auto"/>
        <w:right w:val="none" w:sz="0" w:space="0" w:color="auto"/>
      </w:divBdr>
    </w:div>
    <w:div w:id="1061831029">
      <w:bodyDiv w:val="1"/>
      <w:marLeft w:val="0"/>
      <w:marRight w:val="0"/>
      <w:marTop w:val="0"/>
      <w:marBottom w:val="0"/>
      <w:divBdr>
        <w:top w:val="none" w:sz="0" w:space="0" w:color="auto"/>
        <w:left w:val="none" w:sz="0" w:space="0" w:color="auto"/>
        <w:bottom w:val="none" w:sz="0" w:space="0" w:color="auto"/>
        <w:right w:val="none" w:sz="0" w:space="0" w:color="auto"/>
      </w:divBdr>
    </w:div>
    <w:div w:id="1068111621">
      <w:bodyDiv w:val="1"/>
      <w:marLeft w:val="0"/>
      <w:marRight w:val="0"/>
      <w:marTop w:val="0"/>
      <w:marBottom w:val="0"/>
      <w:divBdr>
        <w:top w:val="none" w:sz="0" w:space="0" w:color="auto"/>
        <w:left w:val="none" w:sz="0" w:space="0" w:color="auto"/>
        <w:bottom w:val="none" w:sz="0" w:space="0" w:color="auto"/>
        <w:right w:val="none" w:sz="0" w:space="0" w:color="auto"/>
      </w:divBdr>
    </w:div>
    <w:div w:id="1091971130">
      <w:bodyDiv w:val="1"/>
      <w:marLeft w:val="0"/>
      <w:marRight w:val="0"/>
      <w:marTop w:val="0"/>
      <w:marBottom w:val="0"/>
      <w:divBdr>
        <w:top w:val="none" w:sz="0" w:space="0" w:color="auto"/>
        <w:left w:val="none" w:sz="0" w:space="0" w:color="auto"/>
        <w:bottom w:val="none" w:sz="0" w:space="0" w:color="auto"/>
        <w:right w:val="none" w:sz="0" w:space="0" w:color="auto"/>
      </w:divBdr>
    </w:div>
    <w:div w:id="1098912464">
      <w:bodyDiv w:val="1"/>
      <w:marLeft w:val="0"/>
      <w:marRight w:val="0"/>
      <w:marTop w:val="0"/>
      <w:marBottom w:val="0"/>
      <w:divBdr>
        <w:top w:val="none" w:sz="0" w:space="0" w:color="auto"/>
        <w:left w:val="none" w:sz="0" w:space="0" w:color="auto"/>
        <w:bottom w:val="none" w:sz="0" w:space="0" w:color="auto"/>
        <w:right w:val="none" w:sz="0" w:space="0" w:color="auto"/>
      </w:divBdr>
      <w:divsChild>
        <w:div w:id="81074593">
          <w:marLeft w:val="0"/>
          <w:marRight w:val="0"/>
          <w:marTop w:val="0"/>
          <w:marBottom w:val="0"/>
          <w:divBdr>
            <w:top w:val="none" w:sz="0" w:space="0" w:color="auto"/>
            <w:left w:val="none" w:sz="0" w:space="0" w:color="auto"/>
            <w:bottom w:val="none" w:sz="0" w:space="0" w:color="auto"/>
            <w:right w:val="none" w:sz="0" w:space="0" w:color="auto"/>
          </w:divBdr>
        </w:div>
        <w:div w:id="135609641">
          <w:marLeft w:val="0"/>
          <w:marRight w:val="0"/>
          <w:marTop w:val="0"/>
          <w:marBottom w:val="0"/>
          <w:divBdr>
            <w:top w:val="none" w:sz="0" w:space="0" w:color="auto"/>
            <w:left w:val="none" w:sz="0" w:space="0" w:color="auto"/>
            <w:bottom w:val="none" w:sz="0" w:space="0" w:color="auto"/>
            <w:right w:val="none" w:sz="0" w:space="0" w:color="auto"/>
          </w:divBdr>
        </w:div>
        <w:div w:id="180977556">
          <w:marLeft w:val="0"/>
          <w:marRight w:val="0"/>
          <w:marTop w:val="0"/>
          <w:marBottom w:val="0"/>
          <w:divBdr>
            <w:top w:val="none" w:sz="0" w:space="0" w:color="auto"/>
            <w:left w:val="none" w:sz="0" w:space="0" w:color="auto"/>
            <w:bottom w:val="none" w:sz="0" w:space="0" w:color="auto"/>
            <w:right w:val="none" w:sz="0" w:space="0" w:color="auto"/>
          </w:divBdr>
        </w:div>
        <w:div w:id="230703049">
          <w:marLeft w:val="0"/>
          <w:marRight w:val="0"/>
          <w:marTop w:val="0"/>
          <w:marBottom w:val="0"/>
          <w:divBdr>
            <w:top w:val="none" w:sz="0" w:space="0" w:color="auto"/>
            <w:left w:val="none" w:sz="0" w:space="0" w:color="auto"/>
            <w:bottom w:val="none" w:sz="0" w:space="0" w:color="auto"/>
            <w:right w:val="none" w:sz="0" w:space="0" w:color="auto"/>
          </w:divBdr>
        </w:div>
        <w:div w:id="682172645">
          <w:marLeft w:val="0"/>
          <w:marRight w:val="0"/>
          <w:marTop w:val="0"/>
          <w:marBottom w:val="0"/>
          <w:divBdr>
            <w:top w:val="none" w:sz="0" w:space="0" w:color="auto"/>
            <w:left w:val="none" w:sz="0" w:space="0" w:color="auto"/>
            <w:bottom w:val="none" w:sz="0" w:space="0" w:color="auto"/>
            <w:right w:val="none" w:sz="0" w:space="0" w:color="auto"/>
          </w:divBdr>
        </w:div>
        <w:div w:id="693766768">
          <w:marLeft w:val="0"/>
          <w:marRight w:val="0"/>
          <w:marTop w:val="0"/>
          <w:marBottom w:val="0"/>
          <w:divBdr>
            <w:top w:val="none" w:sz="0" w:space="0" w:color="auto"/>
            <w:left w:val="none" w:sz="0" w:space="0" w:color="auto"/>
            <w:bottom w:val="none" w:sz="0" w:space="0" w:color="auto"/>
            <w:right w:val="none" w:sz="0" w:space="0" w:color="auto"/>
          </w:divBdr>
        </w:div>
        <w:div w:id="972174961">
          <w:marLeft w:val="0"/>
          <w:marRight w:val="0"/>
          <w:marTop w:val="0"/>
          <w:marBottom w:val="0"/>
          <w:divBdr>
            <w:top w:val="none" w:sz="0" w:space="0" w:color="auto"/>
            <w:left w:val="none" w:sz="0" w:space="0" w:color="auto"/>
            <w:bottom w:val="none" w:sz="0" w:space="0" w:color="auto"/>
            <w:right w:val="none" w:sz="0" w:space="0" w:color="auto"/>
          </w:divBdr>
        </w:div>
        <w:div w:id="1108308715">
          <w:marLeft w:val="0"/>
          <w:marRight w:val="0"/>
          <w:marTop w:val="0"/>
          <w:marBottom w:val="0"/>
          <w:divBdr>
            <w:top w:val="none" w:sz="0" w:space="0" w:color="auto"/>
            <w:left w:val="none" w:sz="0" w:space="0" w:color="auto"/>
            <w:bottom w:val="none" w:sz="0" w:space="0" w:color="auto"/>
            <w:right w:val="none" w:sz="0" w:space="0" w:color="auto"/>
          </w:divBdr>
        </w:div>
        <w:div w:id="1159344493">
          <w:marLeft w:val="0"/>
          <w:marRight w:val="0"/>
          <w:marTop w:val="0"/>
          <w:marBottom w:val="0"/>
          <w:divBdr>
            <w:top w:val="none" w:sz="0" w:space="0" w:color="auto"/>
            <w:left w:val="none" w:sz="0" w:space="0" w:color="auto"/>
            <w:bottom w:val="none" w:sz="0" w:space="0" w:color="auto"/>
            <w:right w:val="none" w:sz="0" w:space="0" w:color="auto"/>
          </w:divBdr>
        </w:div>
        <w:div w:id="1395620596">
          <w:marLeft w:val="0"/>
          <w:marRight w:val="0"/>
          <w:marTop w:val="0"/>
          <w:marBottom w:val="0"/>
          <w:divBdr>
            <w:top w:val="none" w:sz="0" w:space="0" w:color="auto"/>
            <w:left w:val="none" w:sz="0" w:space="0" w:color="auto"/>
            <w:bottom w:val="none" w:sz="0" w:space="0" w:color="auto"/>
            <w:right w:val="none" w:sz="0" w:space="0" w:color="auto"/>
          </w:divBdr>
        </w:div>
        <w:div w:id="1400635534">
          <w:marLeft w:val="0"/>
          <w:marRight w:val="0"/>
          <w:marTop w:val="0"/>
          <w:marBottom w:val="0"/>
          <w:divBdr>
            <w:top w:val="none" w:sz="0" w:space="0" w:color="auto"/>
            <w:left w:val="none" w:sz="0" w:space="0" w:color="auto"/>
            <w:bottom w:val="none" w:sz="0" w:space="0" w:color="auto"/>
            <w:right w:val="none" w:sz="0" w:space="0" w:color="auto"/>
          </w:divBdr>
        </w:div>
        <w:div w:id="1475754779">
          <w:marLeft w:val="0"/>
          <w:marRight w:val="0"/>
          <w:marTop w:val="0"/>
          <w:marBottom w:val="0"/>
          <w:divBdr>
            <w:top w:val="none" w:sz="0" w:space="0" w:color="auto"/>
            <w:left w:val="none" w:sz="0" w:space="0" w:color="auto"/>
            <w:bottom w:val="none" w:sz="0" w:space="0" w:color="auto"/>
            <w:right w:val="none" w:sz="0" w:space="0" w:color="auto"/>
          </w:divBdr>
        </w:div>
        <w:div w:id="1777216163">
          <w:marLeft w:val="0"/>
          <w:marRight w:val="0"/>
          <w:marTop w:val="0"/>
          <w:marBottom w:val="0"/>
          <w:divBdr>
            <w:top w:val="none" w:sz="0" w:space="0" w:color="auto"/>
            <w:left w:val="none" w:sz="0" w:space="0" w:color="auto"/>
            <w:bottom w:val="none" w:sz="0" w:space="0" w:color="auto"/>
            <w:right w:val="none" w:sz="0" w:space="0" w:color="auto"/>
          </w:divBdr>
        </w:div>
        <w:div w:id="2031369745">
          <w:marLeft w:val="0"/>
          <w:marRight w:val="0"/>
          <w:marTop w:val="0"/>
          <w:marBottom w:val="0"/>
          <w:divBdr>
            <w:top w:val="none" w:sz="0" w:space="0" w:color="auto"/>
            <w:left w:val="none" w:sz="0" w:space="0" w:color="auto"/>
            <w:bottom w:val="none" w:sz="0" w:space="0" w:color="auto"/>
            <w:right w:val="none" w:sz="0" w:space="0" w:color="auto"/>
          </w:divBdr>
        </w:div>
      </w:divsChild>
    </w:div>
    <w:div w:id="1114908638">
      <w:bodyDiv w:val="1"/>
      <w:marLeft w:val="0"/>
      <w:marRight w:val="0"/>
      <w:marTop w:val="0"/>
      <w:marBottom w:val="0"/>
      <w:divBdr>
        <w:top w:val="none" w:sz="0" w:space="0" w:color="auto"/>
        <w:left w:val="none" w:sz="0" w:space="0" w:color="auto"/>
        <w:bottom w:val="none" w:sz="0" w:space="0" w:color="auto"/>
        <w:right w:val="none" w:sz="0" w:space="0" w:color="auto"/>
      </w:divBdr>
    </w:div>
    <w:div w:id="1130585400">
      <w:bodyDiv w:val="1"/>
      <w:marLeft w:val="0"/>
      <w:marRight w:val="0"/>
      <w:marTop w:val="0"/>
      <w:marBottom w:val="0"/>
      <w:divBdr>
        <w:top w:val="none" w:sz="0" w:space="0" w:color="auto"/>
        <w:left w:val="none" w:sz="0" w:space="0" w:color="auto"/>
        <w:bottom w:val="none" w:sz="0" w:space="0" w:color="auto"/>
        <w:right w:val="none" w:sz="0" w:space="0" w:color="auto"/>
      </w:divBdr>
    </w:div>
    <w:div w:id="1138448826">
      <w:bodyDiv w:val="1"/>
      <w:marLeft w:val="0"/>
      <w:marRight w:val="0"/>
      <w:marTop w:val="0"/>
      <w:marBottom w:val="0"/>
      <w:divBdr>
        <w:top w:val="none" w:sz="0" w:space="0" w:color="auto"/>
        <w:left w:val="none" w:sz="0" w:space="0" w:color="auto"/>
        <w:bottom w:val="none" w:sz="0" w:space="0" w:color="auto"/>
        <w:right w:val="none" w:sz="0" w:space="0" w:color="auto"/>
      </w:divBdr>
    </w:div>
    <w:div w:id="1149591133">
      <w:bodyDiv w:val="1"/>
      <w:marLeft w:val="0"/>
      <w:marRight w:val="0"/>
      <w:marTop w:val="0"/>
      <w:marBottom w:val="0"/>
      <w:divBdr>
        <w:top w:val="none" w:sz="0" w:space="0" w:color="auto"/>
        <w:left w:val="none" w:sz="0" w:space="0" w:color="auto"/>
        <w:bottom w:val="none" w:sz="0" w:space="0" w:color="auto"/>
        <w:right w:val="none" w:sz="0" w:space="0" w:color="auto"/>
      </w:divBdr>
    </w:div>
    <w:div w:id="1154221512">
      <w:bodyDiv w:val="1"/>
      <w:marLeft w:val="0"/>
      <w:marRight w:val="0"/>
      <w:marTop w:val="0"/>
      <w:marBottom w:val="0"/>
      <w:divBdr>
        <w:top w:val="none" w:sz="0" w:space="0" w:color="auto"/>
        <w:left w:val="none" w:sz="0" w:space="0" w:color="auto"/>
        <w:bottom w:val="none" w:sz="0" w:space="0" w:color="auto"/>
        <w:right w:val="none" w:sz="0" w:space="0" w:color="auto"/>
      </w:divBdr>
    </w:div>
    <w:div w:id="1157918712">
      <w:bodyDiv w:val="1"/>
      <w:marLeft w:val="0"/>
      <w:marRight w:val="0"/>
      <w:marTop w:val="0"/>
      <w:marBottom w:val="0"/>
      <w:divBdr>
        <w:top w:val="none" w:sz="0" w:space="0" w:color="auto"/>
        <w:left w:val="none" w:sz="0" w:space="0" w:color="auto"/>
        <w:bottom w:val="none" w:sz="0" w:space="0" w:color="auto"/>
        <w:right w:val="none" w:sz="0" w:space="0" w:color="auto"/>
      </w:divBdr>
    </w:div>
    <w:div w:id="1181121641">
      <w:bodyDiv w:val="1"/>
      <w:marLeft w:val="0"/>
      <w:marRight w:val="0"/>
      <w:marTop w:val="0"/>
      <w:marBottom w:val="0"/>
      <w:divBdr>
        <w:top w:val="none" w:sz="0" w:space="0" w:color="auto"/>
        <w:left w:val="none" w:sz="0" w:space="0" w:color="auto"/>
        <w:bottom w:val="none" w:sz="0" w:space="0" w:color="auto"/>
        <w:right w:val="none" w:sz="0" w:space="0" w:color="auto"/>
      </w:divBdr>
      <w:divsChild>
        <w:div w:id="397284692">
          <w:marLeft w:val="0"/>
          <w:marRight w:val="0"/>
          <w:marTop w:val="0"/>
          <w:marBottom w:val="0"/>
          <w:divBdr>
            <w:top w:val="none" w:sz="0" w:space="0" w:color="auto"/>
            <w:left w:val="none" w:sz="0" w:space="0" w:color="auto"/>
            <w:bottom w:val="none" w:sz="0" w:space="0" w:color="auto"/>
            <w:right w:val="none" w:sz="0" w:space="0" w:color="auto"/>
          </w:divBdr>
          <w:divsChild>
            <w:div w:id="67776169">
              <w:marLeft w:val="0"/>
              <w:marRight w:val="0"/>
              <w:marTop w:val="0"/>
              <w:marBottom w:val="0"/>
              <w:divBdr>
                <w:top w:val="none" w:sz="0" w:space="0" w:color="auto"/>
                <w:left w:val="none" w:sz="0" w:space="0" w:color="auto"/>
                <w:bottom w:val="none" w:sz="0" w:space="0" w:color="auto"/>
                <w:right w:val="none" w:sz="0" w:space="0" w:color="auto"/>
              </w:divBdr>
              <w:divsChild>
                <w:div w:id="802307623">
                  <w:marLeft w:val="0"/>
                  <w:marRight w:val="0"/>
                  <w:marTop w:val="0"/>
                  <w:marBottom w:val="0"/>
                  <w:divBdr>
                    <w:top w:val="none" w:sz="0" w:space="0" w:color="auto"/>
                    <w:left w:val="none" w:sz="0" w:space="0" w:color="auto"/>
                    <w:bottom w:val="none" w:sz="0" w:space="0" w:color="auto"/>
                    <w:right w:val="none" w:sz="0" w:space="0" w:color="auto"/>
                  </w:divBdr>
                  <w:divsChild>
                    <w:div w:id="7429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98498">
          <w:marLeft w:val="0"/>
          <w:marRight w:val="0"/>
          <w:marTop w:val="0"/>
          <w:marBottom w:val="0"/>
          <w:divBdr>
            <w:top w:val="none" w:sz="0" w:space="0" w:color="auto"/>
            <w:left w:val="none" w:sz="0" w:space="0" w:color="auto"/>
            <w:bottom w:val="none" w:sz="0" w:space="0" w:color="auto"/>
            <w:right w:val="none" w:sz="0" w:space="0" w:color="auto"/>
          </w:divBdr>
          <w:divsChild>
            <w:div w:id="816263241">
              <w:marLeft w:val="0"/>
              <w:marRight w:val="0"/>
              <w:marTop w:val="0"/>
              <w:marBottom w:val="0"/>
              <w:divBdr>
                <w:top w:val="none" w:sz="0" w:space="0" w:color="auto"/>
                <w:left w:val="none" w:sz="0" w:space="0" w:color="auto"/>
                <w:bottom w:val="none" w:sz="0" w:space="0" w:color="auto"/>
                <w:right w:val="none" w:sz="0" w:space="0" w:color="auto"/>
              </w:divBdr>
              <w:divsChild>
                <w:div w:id="177349042">
                  <w:marLeft w:val="0"/>
                  <w:marRight w:val="0"/>
                  <w:marTop w:val="0"/>
                  <w:marBottom w:val="0"/>
                  <w:divBdr>
                    <w:top w:val="none" w:sz="0" w:space="0" w:color="auto"/>
                    <w:left w:val="none" w:sz="0" w:space="0" w:color="auto"/>
                    <w:bottom w:val="none" w:sz="0" w:space="0" w:color="auto"/>
                    <w:right w:val="none" w:sz="0" w:space="0" w:color="auto"/>
                  </w:divBdr>
                  <w:divsChild>
                    <w:div w:id="130326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79817">
      <w:bodyDiv w:val="1"/>
      <w:marLeft w:val="0"/>
      <w:marRight w:val="0"/>
      <w:marTop w:val="0"/>
      <w:marBottom w:val="0"/>
      <w:divBdr>
        <w:top w:val="none" w:sz="0" w:space="0" w:color="auto"/>
        <w:left w:val="none" w:sz="0" w:space="0" w:color="auto"/>
        <w:bottom w:val="none" w:sz="0" w:space="0" w:color="auto"/>
        <w:right w:val="none" w:sz="0" w:space="0" w:color="auto"/>
      </w:divBdr>
    </w:div>
    <w:div w:id="1206521164">
      <w:bodyDiv w:val="1"/>
      <w:marLeft w:val="0"/>
      <w:marRight w:val="0"/>
      <w:marTop w:val="0"/>
      <w:marBottom w:val="0"/>
      <w:divBdr>
        <w:top w:val="none" w:sz="0" w:space="0" w:color="auto"/>
        <w:left w:val="none" w:sz="0" w:space="0" w:color="auto"/>
        <w:bottom w:val="none" w:sz="0" w:space="0" w:color="auto"/>
        <w:right w:val="none" w:sz="0" w:space="0" w:color="auto"/>
      </w:divBdr>
    </w:div>
    <w:div w:id="1210191785">
      <w:bodyDiv w:val="1"/>
      <w:marLeft w:val="0"/>
      <w:marRight w:val="0"/>
      <w:marTop w:val="0"/>
      <w:marBottom w:val="0"/>
      <w:divBdr>
        <w:top w:val="none" w:sz="0" w:space="0" w:color="auto"/>
        <w:left w:val="none" w:sz="0" w:space="0" w:color="auto"/>
        <w:bottom w:val="none" w:sz="0" w:space="0" w:color="auto"/>
        <w:right w:val="none" w:sz="0" w:space="0" w:color="auto"/>
      </w:divBdr>
    </w:div>
    <w:div w:id="1222716109">
      <w:bodyDiv w:val="1"/>
      <w:marLeft w:val="0"/>
      <w:marRight w:val="0"/>
      <w:marTop w:val="0"/>
      <w:marBottom w:val="0"/>
      <w:divBdr>
        <w:top w:val="none" w:sz="0" w:space="0" w:color="auto"/>
        <w:left w:val="none" w:sz="0" w:space="0" w:color="auto"/>
        <w:bottom w:val="none" w:sz="0" w:space="0" w:color="auto"/>
        <w:right w:val="none" w:sz="0" w:space="0" w:color="auto"/>
      </w:divBdr>
    </w:div>
    <w:div w:id="1233076685">
      <w:bodyDiv w:val="1"/>
      <w:marLeft w:val="0"/>
      <w:marRight w:val="0"/>
      <w:marTop w:val="0"/>
      <w:marBottom w:val="0"/>
      <w:divBdr>
        <w:top w:val="none" w:sz="0" w:space="0" w:color="auto"/>
        <w:left w:val="none" w:sz="0" w:space="0" w:color="auto"/>
        <w:bottom w:val="none" w:sz="0" w:space="0" w:color="auto"/>
        <w:right w:val="none" w:sz="0" w:space="0" w:color="auto"/>
      </w:divBdr>
    </w:div>
    <w:div w:id="1233388680">
      <w:bodyDiv w:val="1"/>
      <w:marLeft w:val="0"/>
      <w:marRight w:val="0"/>
      <w:marTop w:val="0"/>
      <w:marBottom w:val="0"/>
      <w:divBdr>
        <w:top w:val="none" w:sz="0" w:space="0" w:color="auto"/>
        <w:left w:val="none" w:sz="0" w:space="0" w:color="auto"/>
        <w:bottom w:val="none" w:sz="0" w:space="0" w:color="auto"/>
        <w:right w:val="none" w:sz="0" w:space="0" w:color="auto"/>
      </w:divBdr>
    </w:div>
    <w:div w:id="1248882527">
      <w:bodyDiv w:val="1"/>
      <w:marLeft w:val="0"/>
      <w:marRight w:val="0"/>
      <w:marTop w:val="0"/>
      <w:marBottom w:val="0"/>
      <w:divBdr>
        <w:top w:val="none" w:sz="0" w:space="0" w:color="auto"/>
        <w:left w:val="none" w:sz="0" w:space="0" w:color="auto"/>
        <w:bottom w:val="none" w:sz="0" w:space="0" w:color="auto"/>
        <w:right w:val="none" w:sz="0" w:space="0" w:color="auto"/>
      </w:divBdr>
    </w:div>
    <w:div w:id="1256018731">
      <w:bodyDiv w:val="1"/>
      <w:marLeft w:val="0"/>
      <w:marRight w:val="0"/>
      <w:marTop w:val="0"/>
      <w:marBottom w:val="0"/>
      <w:divBdr>
        <w:top w:val="none" w:sz="0" w:space="0" w:color="auto"/>
        <w:left w:val="none" w:sz="0" w:space="0" w:color="auto"/>
        <w:bottom w:val="none" w:sz="0" w:space="0" w:color="auto"/>
        <w:right w:val="none" w:sz="0" w:space="0" w:color="auto"/>
      </w:divBdr>
    </w:div>
    <w:div w:id="1266309094">
      <w:bodyDiv w:val="1"/>
      <w:marLeft w:val="0"/>
      <w:marRight w:val="0"/>
      <w:marTop w:val="0"/>
      <w:marBottom w:val="0"/>
      <w:divBdr>
        <w:top w:val="none" w:sz="0" w:space="0" w:color="auto"/>
        <w:left w:val="none" w:sz="0" w:space="0" w:color="auto"/>
        <w:bottom w:val="none" w:sz="0" w:space="0" w:color="auto"/>
        <w:right w:val="none" w:sz="0" w:space="0" w:color="auto"/>
      </w:divBdr>
      <w:divsChild>
        <w:div w:id="84421319">
          <w:marLeft w:val="480"/>
          <w:marRight w:val="0"/>
          <w:marTop w:val="0"/>
          <w:marBottom w:val="0"/>
          <w:divBdr>
            <w:top w:val="none" w:sz="0" w:space="0" w:color="auto"/>
            <w:left w:val="none" w:sz="0" w:space="0" w:color="auto"/>
            <w:bottom w:val="none" w:sz="0" w:space="0" w:color="auto"/>
            <w:right w:val="none" w:sz="0" w:space="0" w:color="auto"/>
          </w:divBdr>
        </w:div>
        <w:div w:id="453868298">
          <w:marLeft w:val="480"/>
          <w:marRight w:val="0"/>
          <w:marTop w:val="0"/>
          <w:marBottom w:val="0"/>
          <w:divBdr>
            <w:top w:val="none" w:sz="0" w:space="0" w:color="auto"/>
            <w:left w:val="none" w:sz="0" w:space="0" w:color="auto"/>
            <w:bottom w:val="none" w:sz="0" w:space="0" w:color="auto"/>
            <w:right w:val="none" w:sz="0" w:space="0" w:color="auto"/>
          </w:divBdr>
        </w:div>
      </w:divsChild>
    </w:div>
    <w:div w:id="1275794572">
      <w:bodyDiv w:val="1"/>
      <w:marLeft w:val="0"/>
      <w:marRight w:val="0"/>
      <w:marTop w:val="0"/>
      <w:marBottom w:val="0"/>
      <w:divBdr>
        <w:top w:val="none" w:sz="0" w:space="0" w:color="auto"/>
        <w:left w:val="none" w:sz="0" w:space="0" w:color="auto"/>
        <w:bottom w:val="none" w:sz="0" w:space="0" w:color="auto"/>
        <w:right w:val="none" w:sz="0" w:space="0" w:color="auto"/>
      </w:divBdr>
    </w:div>
    <w:div w:id="1276520378">
      <w:bodyDiv w:val="1"/>
      <w:marLeft w:val="0"/>
      <w:marRight w:val="0"/>
      <w:marTop w:val="0"/>
      <w:marBottom w:val="0"/>
      <w:divBdr>
        <w:top w:val="none" w:sz="0" w:space="0" w:color="auto"/>
        <w:left w:val="none" w:sz="0" w:space="0" w:color="auto"/>
        <w:bottom w:val="none" w:sz="0" w:space="0" w:color="auto"/>
        <w:right w:val="none" w:sz="0" w:space="0" w:color="auto"/>
      </w:divBdr>
      <w:divsChild>
        <w:div w:id="366486452">
          <w:marLeft w:val="0"/>
          <w:marRight w:val="0"/>
          <w:marTop w:val="0"/>
          <w:marBottom w:val="0"/>
          <w:divBdr>
            <w:top w:val="none" w:sz="0" w:space="0" w:color="auto"/>
            <w:left w:val="none" w:sz="0" w:space="0" w:color="auto"/>
            <w:bottom w:val="none" w:sz="0" w:space="0" w:color="auto"/>
            <w:right w:val="none" w:sz="0" w:space="0" w:color="auto"/>
          </w:divBdr>
          <w:divsChild>
            <w:div w:id="884870185">
              <w:marLeft w:val="0"/>
              <w:marRight w:val="0"/>
              <w:marTop w:val="0"/>
              <w:marBottom w:val="0"/>
              <w:divBdr>
                <w:top w:val="none" w:sz="0" w:space="0" w:color="auto"/>
                <w:left w:val="none" w:sz="0" w:space="0" w:color="auto"/>
                <w:bottom w:val="none" w:sz="0" w:space="0" w:color="auto"/>
                <w:right w:val="none" w:sz="0" w:space="0" w:color="auto"/>
              </w:divBdr>
              <w:divsChild>
                <w:div w:id="80150793">
                  <w:marLeft w:val="0"/>
                  <w:marRight w:val="0"/>
                  <w:marTop w:val="0"/>
                  <w:marBottom w:val="0"/>
                  <w:divBdr>
                    <w:top w:val="none" w:sz="0" w:space="0" w:color="auto"/>
                    <w:left w:val="none" w:sz="0" w:space="0" w:color="auto"/>
                    <w:bottom w:val="none" w:sz="0" w:space="0" w:color="auto"/>
                    <w:right w:val="none" w:sz="0" w:space="0" w:color="auto"/>
                  </w:divBdr>
                  <w:divsChild>
                    <w:div w:id="4277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7035">
          <w:marLeft w:val="0"/>
          <w:marRight w:val="0"/>
          <w:marTop w:val="0"/>
          <w:marBottom w:val="0"/>
          <w:divBdr>
            <w:top w:val="none" w:sz="0" w:space="0" w:color="auto"/>
            <w:left w:val="none" w:sz="0" w:space="0" w:color="auto"/>
            <w:bottom w:val="none" w:sz="0" w:space="0" w:color="auto"/>
            <w:right w:val="none" w:sz="0" w:space="0" w:color="auto"/>
          </w:divBdr>
          <w:divsChild>
            <w:div w:id="729040296">
              <w:marLeft w:val="0"/>
              <w:marRight w:val="0"/>
              <w:marTop w:val="0"/>
              <w:marBottom w:val="0"/>
              <w:divBdr>
                <w:top w:val="none" w:sz="0" w:space="0" w:color="auto"/>
                <w:left w:val="none" w:sz="0" w:space="0" w:color="auto"/>
                <w:bottom w:val="none" w:sz="0" w:space="0" w:color="auto"/>
                <w:right w:val="none" w:sz="0" w:space="0" w:color="auto"/>
              </w:divBdr>
              <w:divsChild>
                <w:div w:id="1522430601">
                  <w:marLeft w:val="0"/>
                  <w:marRight w:val="0"/>
                  <w:marTop w:val="0"/>
                  <w:marBottom w:val="0"/>
                  <w:divBdr>
                    <w:top w:val="none" w:sz="0" w:space="0" w:color="auto"/>
                    <w:left w:val="none" w:sz="0" w:space="0" w:color="auto"/>
                    <w:bottom w:val="none" w:sz="0" w:space="0" w:color="auto"/>
                    <w:right w:val="none" w:sz="0" w:space="0" w:color="auto"/>
                  </w:divBdr>
                  <w:divsChild>
                    <w:div w:id="1911578720">
                      <w:marLeft w:val="0"/>
                      <w:marRight w:val="0"/>
                      <w:marTop w:val="0"/>
                      <w:marBottom w:val="0"/>
                      <w:divBdr>
                        <w:top w:val="none" w:sz="0" w:space="0" w:color="auto"/>
                        <w:left w:val="none" w:sz="0" w:space="0" w:color="auto"/>
                        <w:bottom w:val="none" w:sz="0" w:space="0" w:color="auto"/>
                        <w:right w:val="none" w:sz="0" w:space="0" w:color="auto"/>
                      </w:divBdr>
                      <w:divsChild>
                        <w:div w:id="360981746">
                          <w:marLeft w:val="0"/>
                          <w:marRight w:val="0"/>
                          <w:marTop w:val="0"/>
                          <w:marBottom w:val="0"/>
                          <w:divBdr>
                            <w:top w:val="none" w:sz="0" w:space="0" w:color="auto"/>
                            <w:left w:val="none" w:sz="0" w:space="0" w:color="auto"/>
                            <w:bottom w:val="none" w:sz="0" w:space="0" w:color="auto"/>
                            <w:right w:val="none" w:sz="0" w:space="0" w:color="auto"/>
                          </w:divBdr>
                        </w:div>
                        <w:div w:id="710804701">
                          <w:marLeft w:val="0"/>
                          <w:marRight w:val="0"/>
                          <w:marTop w:val="0"/>
                          <w:marBottom w:val="0"/>
                          <w:divBdr>
                            <w:top w:val="none" w:sz="0" w:space="0" w:color="auto"/>
                            <w:left w:val="none" w:sz="0" w:space="0" w:color="auto"/>
                            <w:bottom w:val="none" w:sz="0" w:space="0" w:color="auto"/>
                            <w:right w:val="none" w:sz="0" w:space="0" w:color="auto"/>
                          </w:divBdr>
                        </w:div>
                        <w:div w:id="16071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030584">
      <w:bodyDiv w:val="1"/>
      <w:marLeft w:val="0"/>
      <w:marRight w:val="0"/>
      <w:marTop w:val="0"/>
      <w:marBottom w:val="0"/>
      <w:divBdr>
        <w:top w:val="none" w:sz="0" w:space="0" w:color="auto"/>
        <w:left w:val="none" w:sz="0" w:space="0" w:color="auto"/>
        <w:bottom w:val="none" w:sz="0" w:space="0" w:color="auto"/>
        <w:right w:val="none" w:sz="0" w:space="0" w:color="auto"/>
      </w:divBdr>
    </w:div>
    <w:div w:id="1290207854">
      <w:bodyDiv w:val="1"/>
      <w:marLeft w:val="0"/>
      <w:marRight w:val="0"/>
      <w:marTop w:val="0"/>
      <w:marBottom w:val="0"/>
      <w:divBdr>
        <w:top w:val="none" w:sz="0" w:space="0" w:color="auto"/>
        <w:left w:val="none" w:sz="0" w:space="0" w:color="auto"/>
        <w:bottom w:val="none" w:sz="0" w:space="0" w:color="auto"/>
        <w:right w:val="none" w:sz="0" w:space="0" w:color="auto"/>
      </w:divBdr>
    </w:div>
    <w:div w:id="1294796798">
      <w:bodyDiv w:val="1"/>
      <w:marLeft w:val="0"/>
      <w:marRight w:val="0"/>
      <w:marTop w:val="0"/>
      <w:marBottom w:val="0"/>
      <w:divBdr>
        <w:top w:val="none" w:sz="0" w:space="0" w:color="auto"/>
        <w:left w:val="none" w:sz="0" w:space="0" w:color="auto"/>
        <w:bottom w:val="none" w:sz="0" w:space="0" w:color="auto"/>
        <w:right w:val="none" w:sz="0" w:space="0" w:color="auto"/>
      </w:divBdr>
    </w:div>
    <w:div w:id="1299991587">
      <w:bodyDiv w:val="1"/>
      <w:marLeft w:val="0"/>
      <w:marRight w:val="0"/>
      <w:marTop w:val="0"/>
      <w:marBottom w:val="0"/>
      <w:divBdr>
        <w:top w:val="none" w:sz="0" w:space="0" w:color="auto"/>
        <w:left w:val="none" w:sz="0" w:space="0" w:color="auto"/>
        <w:bottom w:val="none" w:sz="0" w:space="0" w:color="auto"/>
        <w:right w:val="none" w:sz="0" w:space="0" w:color="auto"/>
      </w:divBdr>
    </w:div>
    <w:div w:id="1307473838">
      <w:bodyDiv w:val="1"/>
      <w:marLeft w:val="0"/>
      <w:marRight w:val="0"/>
      <w:marTop w:val="0"/>
      <w:marBottom w:val="0"/>
      <w:divBdr>
        <w:top w:val="none" w:sz="0" w:space="0" w:color="auto"/>
        <w:left w:val="none" w:sz="0" w:space="0" w:color="auto"/>
        <w:bottom w:val="none" w:sz="0" w:space="0" w:color="auto"/>
        <w:right w:val="none" w:sz="0" w:space="0" w:color="auto"/>
      </w:divBdr>
    </w:div>
    <w:div w:id="1313607938">
      <w:bodyDiv w:val="1"/>
      <w:marLeft w:val="0"/>
      <w:marRight w:val="0"/>
      <w:marTop w:val="0"/>
      <w:marBottom w:val="0"/>
      <w:divBdr>
        <w:top w:val="none" w:sz="0" w:space="0" w:color="auto"/>
        <w:left w:val="none" w:sz="0" w:space="0" w:color="auto"/>
        <w:bottom w:val="none" w:sz="0" w:space="0" w:color="auto"/>
        <w:right w:val="none" w:sz="0" w:space="0" w:color="auto"/>
      </w:divBdr>
    </w:div>
    <w:div w:id="1319260112">
      <w:bodyDiv w:val="1"/>
      <w:marLeft w:val="0"/>
      <w:marRight w:val="0"/>
      <w:marTop w:val="0"/>
      <w:marBottom w:val="0"/>
      <w:divBdr>
        <w:top w:val="none" w:sz="0" w:space="0" w:color="auto"/>
        <w:left w:val="none" w:sz="0" w:space="0" w:color="auto"/>
        <w:bottom w:val="none" w:sz="0" w:space="0" w:color="auto"/>
        <w:right w:val="none" w:sz="0" w:space="0" w:color="auto"/>
      </w:divBdr>
    </w:div>
    <w:div w:id="1320503733">
      <w:bodyDiv w:val="1"/>
      <w:marLeft w:val="0"/>
      <w:marRight w:val="0"/>
      <w:marTop w:val="0"/>
      <w:marBottom w:val="0"/>
      <w:divBdr>
        <w:top w:val="none" w:sz="0" w:space="0" w:color="auto"/>
        <w:left w:val="none" w:sz="0" w:space="0" w:color="auto"/>
        <w:bottom w:val="none" w:sz="0" w:space="0" w:color="auto"/>
        <w:right w:val="none" w:sz="0" w:space="0" w:color="auto"/>
      </w:divBdr>
    </w:div>
    <w:div w:id="1325546647">
      <w:bodyDiv w:val="1"/>
      <w:marLeft w:val="0"/>
      <w:marRight w:val="0"/>
      <w:marTop w:val="0"/>
      <w:marBottom w:val="0"/>
      <w:divBdr>
        <w:top w:val="none" w:sz="0" w:space="0" w:color="auto"/>
        <w:left w:val="none" w:sz="0" w:space="0" w:color="auto"/>
        <w:bottom w:val="none" w:sz="0" w:space="0" w:color="auto"/>
        <w:right w:val="none" w:sz="0" w:space="0" w:color="auto"/>
      </w:divBdr>
    </w:div>
    <w:div w:id="1327243598">
      <w:bodyDiv w:val="1"/>
      <w:marLeft w:val="0"/>
      <w:marRight w:val="0"/>
      <w:marTop w:val="0"/>
      <w:marBottom w:val="0"/>
      <w:divBdr>
        <w:top w:val="none" w:sz="0" w:space="0" w:color="auto"/>
        <w:left w:val="none" w:sz="0" w:space="0" w:color="auto"/>
        <w:bottom w:val="none" w:sz="0" w:space="0" w:color="auto"/>
        <w:right w:val="none" w:sz="0" w:space="0" w:color="auto"/>
      </w:divBdr>
    </w:div>
    <w:div w:id="1342195640">
      <w:bodyDiv w:val="1"/>
      <w:marLeft w:val="0"/>
      <w:marRight w:val="0"/>
      <w:marTop w:val="0"/>
      <w:marBottom w:val="0"/>
      <w:divBdr>
        <w:top w:val="none" w:sz="0" w:space="0" w:color="auto"/>
        <w:left w:val="none" w:sz="0" w:space="0" w:color="auto"/>
        <w:bottom w:val="none" w:sz="0" w:space="0" w:color="auto"/>
        <w:right w:val="none" w:sz="0" w:space="0" w:color="auto"/>
      </w:divBdr>
    </w:div>
    <w:div w:id="1343241246">
      <w:bodyDiv w:val="1"/>
      <w:marLeft w:val="0"/>
      <w:marRight w:val="0"/>
      <w:marTop w:val="0"/>
      <w:marBottom w:val="0"/>
      <w:divBdr>
        <w:top w:val="none" w:sz="0" w:space="0" w:color="auto"/>
        <w:left w:val="none" w:sz="0" w:space="0" w:color="auto"/>
        <w:bottom w:val="none" w:sz="0" w:space="0" w:color="auto"/>
        <w:right w:val="none" w:sz="0" w:space="0" w:color="auto"/>
      </w:divBdr>
    </w:div>
    <w:div w:id="1345208619">
      <w:bodyDiv w:val="1"/>
      <w:marLeft w:val="0"/>
      <w:marRight w:val="0"/>
      <w:marTop w:val="0"/>
      <w:marBottom w:val="0"/>
      <w:divBdr>
        <w:top w:val="none" w:sz="0" w:space="0" w:color="auto"/>
        <w:left w:val="none" w:sz="0" w:space="0" w:color="auto"/>
        <w:bottom w:val="none" w:sz="0" w:space="0" w:color="auto"/>
        <w:right w:val="none" w:sz="0" w:space="0" w:color="auto"/>
      </w:divBdr>
    </w:div>
    <w:div w:id="1354528358">
      <w:bodyDiv w:val="1"/>
      <w:marLeft w:val="0"/>
      <w:marRight w:val="0"/>
      <w:marTop w:val="0"/>
      <w:marBottom w:val="0"/>
      <w:divBdr>
        <w:top w:val="none" w:sz="0" w:space="0" w:color="auto"/>
        <w:left w:val="none" w:sz="0" w:space="0" w:color="auto"/>
        <w:bottom w:val="none" w:sz="0" w:space="0" w:color="auto"/>
        <w:right w:val="none" w:sz="0" w:space="0" w:color="auto"/>
      </w:divBdr>
    </w:div>
    <w:div w:id="1389643184">
      <w:bodyDiv w:val="1"/>
      <w:marLeft w:val="0"/>
      <w:marRight w:val="0"/>
      <w:marTop w:val="0"/>
      <w:marBottom w:val="0"/>
      <w:divBdr>
        <w:top w:val="none" w:sz="0" w:space="0" w:color="auto"/>
        <w:left w:val="none" w:sz="0" w:space="0" w:color="auto"/>
        <w:bottom w:val="none" w:sz="0" w:space="0" w:color="auto"/>
        <w:right w:val="none" w:sz="0" w:space="0" w:color="auto"/>
      </w:divBdr>
    </w:div>
    <w:div w:id="1394892139">
      <w:bodyDiv w:val="1"/>
      <w:marLeft w:val="0"/>
      <w:marRight w:val="0"/>
      <w:marTop w:val="0"/>
      <w:marBottom w:val="0"/>
      <w:divBdr>
        <w:top w:val="none" w:sz="0" w:space="0" w:color="auto"/>
        <w:left w:val="none" w:sz="0" w:space="0" w:color="auto"/>
        <w:bottom w:val="none" w:sz="0" w:space="0" w:color="auto"/>
        <w:right w:val="none" w:sz="0" w:space="0" w:color="auto"/>
      </w:divBdr>
    </w:div>
    <w:div w:id="1405180143">
      <w:bodyDiv w:val="1"/>
      <w:marLeft w:val="0"/>
      <w:marRight w:val="0"/>
      <w:marTop w:val="0"/>
      <w:marBottom w:val="0"/>
      <w:divBdr>
        <w:top w:val="none" w:sz="0" w:space="0" w:color="auto"/>
        <w:left w:val="none" w:sz="0" w:space="0" w:color="auto"/>
        <w:bottom w:val="none" w:sz="0" w:space="0" w:color="auto"/>
        <w:right w:val="none" w:sz="0" w:space="0" w:color="auto"/>
      </w:divBdr>
    </w:div>
    <w:div w:id="1415971786">
      <w:bodyDiv w:val="1"/>
      <w:marLeft w:val="0"/>
      <w:marRight w:val="0"/>
      <w:marTop w:val="0"/>
      <w:marBottom w:val="0"/>
      <w:divBdr>
        <w:top w:val="none" w:sz="0" w:space="0" w:color="auto"/>
        <w:left w:val="none" w:sz="0" w:space="0" w:color="auto"/>
        <w:bottom w:val="none" w:sz="0" w:space="0" w:color="auto"/>
        <w:right w:val="none" w:sz="0" w:space="0" w:color="auto"/>
      </w:divBdr>
    </w:div>
    <w:div w:id="1439377038">
      <w:bodyDiv w:val="1"/>
      <w:marLeft w:val="0"/>
      <w:marRight w:val="0"/>
      <w:marTop w:val="0"/>
      <w:marBottom w:val="0"/>
      <w:divBdr>
        <w:top w:val="none" w:sz="0" w:space="0" w:color="auto"/>
        <w:left w:val="none" w:sz="0" w:space="0" w:color="auto"/>
        <w:bottom w:val="none" w:sz="0" w:space="0" w:color="auto"/>
        <w:right w:val="none" w:sz="0" w:space="0" w:color="auto"/>
      </w:divBdr>
    </w:div>
    <w:div w:id="1449422952">
      <w:bodyDiv w:val="1"/>
      <w:marLeft w:val="0"/>
      <w:marRight w:val="0"/>
      <w:marTop w:val="0"/>
      <w:marBottom w:val="0"/>
      <w:divBdr>
        <w:top w:val="none" w:sz="0" w:space="0" w:color="auto"/>
        <w:left w:val="none" w:sz="0" w:space="0" w:color="auto"/>
        <w:bottom w:val="none" w:sz="0" w:space="0" w:color="auto"/>
        <w:right w:val="none" w:sz="0" w:space="0" w:color="auto"/>
      </w:divBdr>
    </w:div>
    <w:div w:id="1457526684">
      <w:bodyDiv w:val="1"/>
      <w:marLeft w:val="0"/>
      <w:marRight w:val="0"/>
      <w:marTop w:val="0"/>
      <w:marBottom w:val="0"/>
      <w:divBdr>
        <w:top w:val="none" w:sz="0" w:space="0" w:color="auto"/>
        <w:left w:val="none" w:sz="0" w:space="0" w:color="auto"/>
        <w:bottom w:val="none" w:sz="0" w:space="0" w:color="auto"/>
        <w:right w:val="none" w:sz="0" w:space="0" w:color="auto"/>
      </w:divBdr>
    </w:div>
    <w:div w:id="1460563375">
      <w:bodyDiv w:val="1"/>
      <w:marLeft w:val="0"/>
      <w:marRight w:val="0"/>
      <w:marTop w:val="0"/>
      <w:marBottom w:val="0"/>
      <w:divBdr>
        <w:top w:val="none" w:sz="0" w:space="0" w:color="auto"/>
        <w:left w:val="none" w:sz="0" w:space="0" w:color="auto"/>
        <w:bottom w:val="none" w:sz="0" w:space="0" w:color="auto"/>
        <w:right w:val="none" w:sz="0" w:space="0" w:color="auto"/>
      </w:divBdr>
      <w:divsChild>
        <w:div w:id="605967031">
          <w:marLeft w:val="547"/>
          <w:marRight w:val="0"/>
          <w:marTop w:val="0"/>
          <w:marBottom w:val="0"/>
          <w:divBdr>
            <w:top w:val="none" w:sz="0" w:space="0" w:color="auto"/>
            <w:left w:val="none" w:sz="0" w:space="0" w:color="auto"/>
            <w:bottom w:val="none" w:sz="0" w:space="0" w:color="auto"/>
            <w:right w:val="none" w:sz="0" w:space="0" w:color="auto"/>
          </w:divBdr>
        </w:div>
      </w:divsChild>
    </w:div>
    <w:div w:id="1466773896">
      <w:bodyDiv w:val="1"/>
      <w:marLeft w:val="0"/>
      <w:marRight w:val="0"/>
      <w:marTop w:val="0"/>
      <w:marBottom w:val="0"/>
      <w:divBdr>
        <w:top w:val="none" w:sz="0" w:space="0" w:color="auto"/>
        <w:left w:val="none" w:sz="0" w:space="0" w:color="auto"/>
        <w:bottom w:val="none" w:sz="0" w:space="0" w:color="auto"/>
        <w:right w:val="none" w:sz="0" w:space="0" w:color="auto"/>
      </w:divBdr>
    </w:div>
    <w:div w:id="1475290009">
      <w:bodyDiv w:val="1"/>
      <w:marLeft w:val="0"/>
      <w:marRight w:val="0"/>
      <w:marTop w:val="0"/>
      <w:marBottom w:val="0"/>
      <w:divBdr>
        <w:top w:val="none" w:sz="0" w:space="0" w:color="auto"/>
        <w:left w:val="none" w:sz="0" w:space="0" w:color="auto"/>
        <w:bottom w:val="none" w:sz="0" w:space="0" w:color="auto"/>
        <w:right w:val="none" w:sz="0" w:space="0" w:color="auto"/>
      </w:divBdr>
    </w:div>
    <w:div w:id="1478179607">
      <w:bodyDiv w:val="1"/>
      <w:marLeft w:val="0"/>
      <w:marRight w:val="0"/>
      <w:marTop w:val="0"/>
      <w:marBottom w:val="0"/>
      <w:divBdr>
        <w:top w:val="none" w:sz="0" w:space="0" w:color="auto"/>
        <w:left w:val="none" w:sz="0" w:space="0" w:color="auto"/>
        <w:bottom w:val="none" w:sz="0" w:space="0" w:color="auto"/>
        <w:right w:val="none" w:sz="0" w:space="0" w:color="auto"/>
      </w:divBdr>
    </w:div>
    <w:div w:id="1479685902">
      <w:bodyDiv w:val="1"/>
      <w:marLeft w:val="0"/>
      <w:marRight w:val="0"/>
      <w:marTop w:val="0"/>
      <w:marBottom w:val="0"/>
      <w:divBdr>
        <w:top w:val="none" w:sz="0" w:space="0" w:color="auto"/>
        <w:left w:val="none" w:sz="0" w:space="0" w:color="auto"/>
        <w:bottom w:val="none" w:sz="0" w:space="0" w:color="auto"/>
        <w:right w:val="none" w:sz="0" w:space="0" w:color="auto"/>
      </w:divBdr>
    </w:div>
    <w:div w:id="1493369554">
      <w:bodyDiv w:val="1"/>
      <w:marLeft w:val="0"/>
      <w:marRight w:val="0"/>
      <w:marTop w:val="0"/>
      <w:marBottom w:val="0"/>
      <w:divBdr>
        <w:top w:val="none" w:sz="0" w:space="0" w:color="auto"/>
        <w:left w:val="none" w:sz="0" w:space="0" w:color="auto"/>
        <w:bottom w:val="none" w:sz="0" w:space="0" w:color="auto"/>
        <w:right w:val="none" w:sz="0" w:space="0" w:color="auto"/>
      </w:divBdr>
    </w:div>
    <w:div w:id="1504126449">
      <w:bodyDiv w:val="1"/>
      <w:marLeft w:val="0"/>
      <w:marRight w:val="0"/>
      <w:marTop w:val="0"/>
      <w:marBottom w:val="0"/>
      <w:divBdr>
        <w:top w:val="none" w:sz="0" w:space="0" w:color="auto"/>
        <w:left w:val="none" w:sz="0" w:space="0" w:color="auto"/>
        <w:bottom w:val="none" w:sz="0" w:space="0" w:color="auto"/>
        <w:right w:val="none" w:sz="0" w:space="0" w:color="auto"/>
      </w:divBdr>
    </w:div>
    <w:div w:id="1505510917">
      <w:bodyDiv w:val="1"/>
      <w:marLeft w:val="0"/>
      <w:marRight w:val="0"/>
      <w:marTop w:val="0"/>
      <w:marBottom w:val="0"/>
      <w:divBdr>
        <w:top w:val="none" w:sz="0" w:space="0" w:color="auto"/>
        <w:left w:val="none" w:sz="0" w:space="0" w:color="auto"/>
        <w:bottom w:val="none" w:sz="0" w:space="0" w:color="auto"/>
        <w:right w:val="none" w:sz="0" w:space="0" w:color="auto"/>
      </w:divBdr>
    </w:div>
    <w:div w:id="1517040382">
      <w:bodyDiv w:val="1"/>
      <w:marLeft w:val="0"/>
      <w:marRight w:val="0"/>
      <w:marTop w:val="0"/>
      <w:marBottom w:val="0"/>
      <w:divBdr>
        <w:top w:val="none" w:sz="0" w:space="0" w:color="auto"/>
        <w:left w:val="none" w:sz="0" w:space="0" w:color="auto"/>
        <w:bottom w:val="none" w:sz="0" w:space="0" w:color="auto"/>
        <w:right w:val="none" w:sz="0" w:space="0" w:color="auto"/>
      </w:divBdr>
    </w:div>
    <w:div w:id="1517381975">
      <w:bodyDiv w:val="1"/>
      <w:marLeft w:val="0"/>
      <w:marRight w:val="0"/>
      <w:marTop w:val="0"/>
      <w:marBottom w:val="0"/>
      <w:divBdr>
        <w:top w:val="none" w:sz="0" w:space="0" w:color="auto"/>
        <w:left w:val="none" w:sz="0" w:space="0" w:color="auto"/>
        <w:bottom w:val="none" w:sz="0" w:space="0" w:color="auto"/>
        <w:right w:val="none" w:sz="0" w:space="0" w:color="auto"/>
      </w:divBdr>
    </w:div>
    <w:div w:id="1536429299">
      <w:bodyDiv w:val="1"/>
      <w:marLeft w:val="0"/>
      <w:marRight w:val="0"/>
      <w:marTop w:val="0"/>
      <w:marBottom w:val="0"/>
      <w:divBdr>
        <w:top w:val="none" w:sz="0" w:space="0" w:color="auto"/>
        <w:left w:val="none" w:sz="0" w:space="0" w:color="auto"/>
        <w:bottom w:val="none" w:sz="0" w:space="0" w:color="auto"/>
        <w:right w:val="none" w:sz="0" w:space="0" w:color="auto"/>
      </w:divBdr>
    </w:div>
    <w:div w:id="1545673675">
      <w:bodyDiv w:val="1"/>
      <w:marLeft w:val="0"/>
      <w:marRight w:val="0"/>
      <w:marTop w:val="0"/>
      <w:marBottom w:val="0"/>
      <w:divBdr>
        <w:top w:val="none" w:sz="0" w:space="0" w:color="auto"/>
        <w:left w:val="none" w:sz="0" w:space="0" w:color="auto"/>
        <w:bottom w:val="none" w:sz="0" w:space="0" w:color="auto"/>
        <w:right w:val="none" w:sz="0" w:space="0" w:color="auto"/>
      </w:divBdr>
    </w:div>
    <w:div w:id="1548640953">
      <w:bodyDiv w:val="1"/>
      <w:marLeft w:val="0"/>
      <w:marRight w:val="0"/>
      <w:marTop w:val="0"/>
      <w:marBottom w:val="0"/>
      <w:divBdr>
        <w:top w:val="none" w:sz="0" w:space="0" w:color="auto"/>
        <w:left w:val="none" w:sz="0" w:space="0" w:color="auto"/>
        <w:bottom w:val="none" w:sz="0" w:space="0" w:color="auto"/>
        <w:right w:val="none" w:sz="0" w:space="0" w:color="auto"/>
      </w:divBdr>
    </w:div>
    <w:div w:id="1574004245">
      <w:bodyDiv w:val="1"/>
      <w:marLeft w:val="0"/>
      <w:marRight w:val="0"/>
      <w:marTop w:val="0"/>
      <w:marBottom w:val="0"/>
      <w:divBdr>
        <w:top w:val="none" w:sz="0" w:space="0" w:color="auto"/>
        <w:left w:val="none" w:sz="0" w:space="0" w:color="auto"/>
        <w:bottom w:val="none" w:sz="0" w:space="0" w:color="auto"/>
        <w:right w:val="none" w:sz="0" w:space="0" w:color="auto"/>
      </w:divBdr>
    </w:div>
    <w:div w:id="1599413197">
      <w:bodyDiv w:val="1"/>
      <w:marLeft w:val="0"/>
      <w:marRight w:val="0"/>
      <w:marTop w:val="0"/>
      <w:marBottom w:val="0"/>
      <w:divBdr>
        <w:top w:val="none" w:sz="0" w:space="0" w:color="auto"/>
        <w:left w:val="none" w:sz="0" w:space="0" w:color="auto"/>
        <w:bottom w:val="none" w:sz="0" w:space="0" w:color="auto"/>
        <w:right w:val="none" w:sz="0" w:space="0" w:color="auto"/>
      </w:divBdr>
    </w:div>
    <w:div w:id="1607930085">
      <w:bodyDiv w:val="1"/>
      <w:marLeft w:val="0"/>
      <w:marRight w:val="0"/>
      <w:marTop w:val="0"/>
      <w:marBottom w:val="0"/>
      <w:divBdr>
        <w:top w:val="none" w:sz="0" w:space="0" w:color="auto"/>
        <w:left w:val="none" w:sz="0" w:space="0" w:color="auto"/>
        <w:bottom w:val="none" w:sz="0" w:space="0" w:color="auto"/>
        <w:right w:val="none" w:sz="0" w:space="0" w:color="auto"/>
      </w:divBdr>
    </w:div>
    <w:div w:id="1615014879">
      <w:bodyDiv w:val="1"/>
      <w:marLeft w:val="0"/>
      <w:marRight w:val="0"/>
      <w:marTop w:val="0"/>
      <w:marBottom w:val="0"/>
      <w:divBdr>
        <w:top w:val="none" w:sz="0" w:space="0" w:color="auto"/>
        <w:left w:val="none" w:sz="0" w:space="0" w:color="auto"/>
        <w:bottom w:val="none" w:sz="0" w:space="0" w:color="auto"/>
        <w:right w:val="none" w:sz="0" w:space="0" w:color="auto"/>
      </w:divBdr>
    </w:div>
    <w:div w:id="1671636971">
      <w:bodyDiv w:val="1"/>
      <w:marLeft w:val="0"/>
      <w:marRight w:val="0"/>
      <w:marTop w:val="0"/>
      <w:marBottom w:val="0"/>
      <w:divBdr>
        <w:top w:val="none" w:sz="0" w:space="0" w:color="auto"/>
        <w:left w:val="none" w:sz="0" w:space="0" w:color="auto"/>
        <w:bottom w:val="none" w:sz="0" w:space="0" w:color="auto"/>
        <w:right w:val="none" w:sz="0" w:space="0" w:color="auto"/>
      </w:divBdr>
    </w:div>
    <w:div w:id="1680811611">
      <w:bodyDiv w:val="1"/>
      <w:marLeft w:val="0"/>
      <w:marRight w:val="0"/>
      <w:marTop w:val="0"/>
      <w:marBottom w:val="0"/>
      <w:divBdr>
        <w:top w:val="none" w:sz="0" w:space="0" w:color="auto"/>
        <w:left w:val="none" w:sz="0" w:space="0" w:color="auto"/>
        <w:bottom w:val="none" w:sz="0" w:space="0" w:color="auto"/>
        <w:right w:val="none" w:sz="0" w:space="0" w:color="auto"/>
      </w:divBdr>
    </w:div>
    <w:div w:id="1683165806">
      <w:bodyDiv w:val="1"/>
      <w:marLeft w:val="0"/>
      <w:marRight w:val="0"/>
      <w:marTop w:val="0"/>
      <w:marBottom w:val="0"/>
      <w:divBdr>
        <w:top w:val="none" w:sz="0" w:space="0" w:color="auto"/>
        <w:left w:val="none" w:sz="0" w:space="0" w:color="auto"/>
        <w:bottom w:val="none" w:sz="0" w:space="0" w:color="auto"/>
        <w:right w:val="none" w:sz="0" w:space="0" w:color="auto"/>
      </w:divBdr>
    </w:div>
    <w:div w:id="1690718871">
      <w:bodyDiv w:val="1"/>
      <w:marLeft w:val="0"/>
      <w:marRight w:val="0"/>
      <w:marTop w:val="0"/>
      <w:marBottom w:val="0"/>
      <w:divBdr>
        <w:top w:val="none" w:sz="0" w:space="0" w:color="auto"/>
        <w:left w:val="none" w:sz="0" w:space="0" w:color="auto"/>
        <w:bottom w:val="none" w:sz="0" w:space="0" w:color="auto"/>
        <w:right w:val="none" w:sz="0" w:space="0" w:color="auto"/>
      </w:divBdr>
    </w:div>
    <w:div w:id="1691761518">
      <w:bodyDiv w:val="1"/>
      <w:marLeft w:val="0"/>
      <w:marRight w:val="0"/>
      <w:marTop w:val="0"/>
      <w:marBottom w:val="0"/>
      <w:divBdr>
        <w:top w:val="none" w:sz="0" w:space="0" w:color="auto"/>
        <w:left w:val="none" w:sz="0" w:space="0" w:color="auto"/>
        <w:bottom w:val="none" w:sz="0" w:space="0" w:color="auto"/>
        <w:right w:val="none" w:sz="0" w:space="0" w:color="auto"/>
      </w:divBdr>
    </w:div>
    <w:div w:id="1693605039">
      <w:bodyDiv w:val="1"/>
      <w:marLeft w:val="0"/>
      <w:marRight w:val="0"/>
      <w:marTop w:val="0"/>
      <w:marBottom w:val="0"/>
      <w:divBdr>
        <w:top w:val="none" w:sz="0" w:space="0" w:color="auto"/>
        <w:left w:val="none" w:sz="0" w:space="0" w:color="auto"/>
        <w:bottom w:val="none" w:sz="0" w:space="0" w:color="auto"/>
        <w:right w:val="none" w:sz="0" w:space="0" w:color="auto"/>
      </w:divBdr>
    </w:div>
    <w:div w:id="1711497486">
      <w:bodyDiv w:val="1"/>
      <w:marLeft w:val="0"/>
      <w:marRight w:val="0"/>
      <w:marTop w:val="0"/>
      <w:marBottom w:val="0"/>
      <w:divBdr>
        <w:top w:val="none" w:sz="0" w:space="0" w:color="auto"/>
        <w:left w:val="none" w:sz="0" w:space="0" w:color="auto"/>
        <w:bottom w:val="none" w:sz="0" w:space="0" w:color="auto"/>
        <w:right w:val="none" w:sz="0" w:space="0" w:color="auto"/>
      </w:divBdr>
    </w:div>
    <w:div w:id="1712879250">
      <w:bodyDiv w:val="1"/>
      <w:marLeft w:val="0"/>
      <w:marRight w:val="0"/>
      <w:marTop w:val="0"/>
      <w:marBottom w:val="0"/>
      <w:divBdr>
        <w:top w:val="none" w:sz="0" w:space="0" w:color="auto"/>
        <w:left w:val="none" w:sz="0" w:space="0" w:color="auto"/>
        <w:bottom w:val="none" w:sz="0" w:space="0" w:color="auto"/>
        <w:right w:val="none" w:sz="0" w:space="0" w:color="auto"/>
      </w:divBdr>
    </w:div>
    <w:div w:id="1713963131">
      <w:bodyDiv w:val="1"/>
      <w:marLeft w:val="0"/>
      <w:marRight w:val="0"/>
      <w:marTop w:val="0"/>
      <w:marBottom w:val="0"/>
      <w:divBdr>
        <w:top w:val="none" w:sz="0" w:space="0" w:color="auto"/>
        <w:left w:val="none" w:sz="0" w:space="0" w:color="auto"/>
        <w:bottom w:val="none" w:sz="0" w:space="0" w:color="auto"/>
        <w:right w:val="none" w:sz="0" w:space="0" w:color="auto"/>
      </w:divBdr>
    </w:div>
    <w:div w:id="1755545321">
      <w:bodyDiv w:val="1"/>
      <w:marLeft w:val="0"/>
      <w:marRight w:val="0"/>
      <w:marTop w:val="0"/>
      <w:marBottom w:val="0"/>
      <w:divBdr>
        <w:top w:val="none" w:sz="0" w:space="0" w:color="auto"/>
        <w:left w:val="none" w:sz="0" w:space="0" w:color="auto"/>
        <w:bottom w:val="none" w:sz="0" w:space="0" w:color="auto"/>
        <w:right w:val="none" w:sz="0" w:space="0" w:color="auto"/>
      </w:divBdr>
    </w:div>
    <w:div w:id="1767454413">
      <w:bodyDiv w:val="1"/>
      <w:marLeft w:val="0"/>
      <w:marRight w:val="0"/>
      <w:marTop w:val="0"/>
      <w:marBottom w:val="0"/>
      <w:divBdr>
        <w:top w:val="none" w:sz="0" w:space="0" w:color="auto"/>
        <w:left w:val="none" w:sz="0" w:space="0" w:color="auto"/>
        <w:bottom w:val="none" w:sz="0" w:space="0" w:color="auto"/>
        <w:right w:val="none" w:sz="0" w:space="0" w:color="auto"/>
      </w:divBdr>
    </w:div>
    <w:div w:id="1784571703">
      <w:bodyDiv w:val="1"/>
      <w:marLeft w:val="0"/>
      <w:marRight w:val="0"/>
      <w:marTop w:val="0"/>
      <w:marBottom w:val="0"/>
      <w:divBdr>
        <w:top w:val="none" w:sz="0" w:space="0" w:color="auto"/>
        <w:left w:val="none" w:sz="0" w:space="0" w:color="auto"/>
        <w:bottom w:val="none" w:sz="0" w:space="0" w:color="auto"/>
        <w:right w:val="none" w:sz="0" w:space="0" w:color="auto"/>
      </w:divBdr>
    </w:div>
    <w:div w:id="1788619893">
      <w:bodyDiv w:val="1"/>
      <w:marLeft w:val="0"/>
      <w:marRight w:val="0"/>
      <w:marTop w:val="0"/>
      <w:marBottom w:val="0"/>
      <w:divBdr>
        <w:top w:val="none" w:sz="0" w:space="0" w:color="auto"/>
        <w:left w:val="none" w:sz="0" w:space="0" w:color="auto"/>
        <w:bottom w:val="none" w:sz="0" w:space="0" w:color="auto"/>
        <w:right w:val="none" w:sz="0" w:space="0" w:color="auto"/>
      </w:divBdr>
    </w:div>
    <w:div w:id="1790969560">
      <w:bodyDiv w:val="1"/>
      <w:marLeft w:val="0"/>
      <w:marRight w:val="0"/>
      <w:marTop w:val="0"/>
      <w:marBottom w:val="0"/>
      <w:divBdr>
        <w:top w:val="none" w:sz="0" w:space="0" w:color="auto"/>
        <w:left w:val="none" w:sz="0" w:space="0" w:color="auto"/>
        <w:bottom w:val="none" w:sz="0" w:space="0" w:color="auto"/>
        <w:right w:val="none" w:sz="0" w:space="0" w:color="auto"/>
      </w:divBdr>
    </w:div>
    <w:div w:id="1798067384">
      <w:bodyDiv w:val="1"/>
      <w:marLeft w:val="0"/>
      <w:marRight w:val="0"/>
      <w:marTop w:val="0"/>
      <w:marBottom w:val="0"/>
      <w:divBdr>
        <w:top w:val="none" w:sz="0" w:space="0" w:color="auto"/>
        <w:left w:val="none" w:sz="0" w:space="0" w:color="auto"/>
        <w:bottom w:val="none" w:sz="0" w:space="0" w:color="auto"/>
        <w:right w:val="none" w:sz="0" w:space="0" w:color="auto"/>
      </w:divBdr>
    </w:div>
    <w:div w:id="1809975816">
      <w:bodyDiv w:val="1"/>
      <w:marLeft w:val="0"/>
      <w:marRight w:val="0"/>
      <w:marTop w:val="0"/>
      <w:marBottom w:val="0"/>
      <w:divBdr>
        <w:top w:val="none" w:sz="0" w:space="0" w:color="auto"/>
        <w:left w:val="none" w:sz="0" w:space="0" w:color="auto"/>
        <w:bottom w:val="none" w:sz="0" w:space="0" w:color="auto"/>
        <w:right w:val="none" w:sz="0" w:space="0" w:color="auto"/>
      </w:divBdr>
    </w:div>
    <w:div w:id="1824738648">
      <w:bodyDiv w:val="1"/>
      <w:marLeft w:val="0"/>
      <w:marRight w:val="0"/>
      <w:marTop w:val="0"/>
      <w:marBottom w:val="0"/>
      <w:divBdr>
        <w:top w:val="none" w:sz="0" w:space="0" w:color="auto"/>
        <w:left w:val="none" w:sz="0" w:space="0" w:color="auto"/>
        <w:bottom w:val="none" w:sz="0" w:space="0" w:color="auto"/>
        <w:right w:val="none" w:sz="0" w:space="0" w:color="auto"/>
      </w:divBdr>
      <w:divsChild>
        <w:div w:id="1465351953">
          <w:marLeft w:val="547"/>
          <w:marRight w:val="0"/>
          <w:marTop w:val="0"/>
          <w:marBottom w:val="0"/>
          <w:divBdr>
            <w:top w:val="none" w:sz="0" w:space="0" w:color="auto"/>
            <w:left w:val="none" w:sz="0" w:space="0" w:color="auto"/>
            <w:bottom w:val="none" w:sz="0" w:space="0" w:color="auto"/>
            <w:right w:val="none" w:sz="0" w:space="0" w:color="auto"/>
          </w:divBdr>
        </w:div>
      </w:divsChild>
    </w:div>
    <w:div w:id="1832940767">
      <w:bodyDiv w:val="1"/>
      <w:marLeft w:val="0"/>
      <w:marRight w:val="0"/>
      <w:marTop w:val="0"/>
      <w:marBottom w:val="0"/>
      <w:divBdr>
        <w:top w:val="none" w:sz="0" w:space="0" w:color="auto"/>
        <w:left w:val="none" w:sz="0" w:space="0" w:color="auto"/>
        <w:bottom w:val="none" w:sz="0" w:space="0" w:color="auto"/>
        <w:right w:val="none" w:sz="0" w:space="0" w:color="auto"/>
      </w:divBdr>
    </w:div>
    <w:div w:id="1840802275">
      <w:bodyDiv w:val="1"/>
      <w:marLeft w:val="0"/>
      <w:marRight w:val="0"/>
      <w:marTop w:val="0"/>
      <w:marBottom w:val="0"/>
      <w:divBdr>
        <w:top w:val="none" w:sz="0" w:space="0" w:color="auto"/>
        <w:left w:val="none" w:sz="0" w:space="0" w:color="auto"/>
        <w:bottom w:val="none" w:sz="0" w:space="0" w:color="auto"/>
        <w:right w:val="none" w:sz="0" w:space="0" w:color="auto"/>
      </w:divBdr>
    </w:div>
    <w:div w:id="1848590962">
      <w:bodyDiv w:val="1"/>
      <w:marLeft w:val="0"/>
      <w:marRight w:val="0"/>
      <w:marTop w:val="0"/>
      <w:marBottom w:val="0"/>
      <w:divBdr>
        <w:top w:val="none" w:sz="0" w:space="0" w:color="auto"/>
        <w:left w:val="none" w:sz="0" w:space="0" w:color="auto"/>
        <w:bottom w:val="none" w:sz="0" w:space="0" w:color="auto"/>
        <w:right w:val="none" w:sz="0" w:space="0" w:color="auto"/>
      </w:divBdr>
    </w:div>
    <w:div w:id="1864705099">
      <w:bodyDiv w:val="1"/>
      <w:marLeft w:val="0"/>
      <w:marRight w:val="0"/>
      <w:marTop w:val="0"/>
      <w:marBottom w:val="0"/>
      <w:divBdr>
        <w:top w:val="none" w:sz="0" w:space="0" w:color="auto"/>
        <w:left w:val="none" w:sz="0" w:space="0" w:color="auto"/>
        <w:bottom w:val="none" w:sz="0" w:space="0" w:color="auto"/>
        <w:right w:val="none" w:sz="0" w:space="0" w:color="auto"/>
      </w:divBdr>
    </w:div>
    <w:div w:id="1874228627">
      <w:bodyDiv w:val="1"/>
      <w:marLeft w:val="0"/>
      <w:marRight w:val="0"/>
      <w:marTop w:val="0"/>
      <w:marBottom w:val="0"/>
      <w:divBdr>
        <w:top w:val="none" w:sz="0" w:space="0" w:color="auto"/>
        <w:left w:val="none" w:sz="0" w:space="0" w:color="auto"/>
        <w:bottom w:val="none" w:sz="0" w:space="0" w:color="auto"/>
        <w:right w:val="none" w:sz="0" w:space="0" w:color="auto"/>
      </w:divBdr>
    </w:div>
    <w:div w:id="1881699849">
      <w:bodyDiv w:val="1"/>
      <w:marLeft w:val="0"/>
      <w:marRight w:val="0"/>
      <w:marTop w:val="0"/>
      <w:marBottom w:val="0"/>
      <w:divBdr>
        <w:top w:val="none" w:sz="0" w:space="0" w:color="auto"/>
        <w:left w:val="none" w:sz="0" w:space="0" w:color="auto"/>
        <w:bottom w:val="none" w:sz="0" w:space="0" w:color="auto"/>
        <w:right w:val="none" w:sz="0" w:space="0" w:color="auto"/>
      </w:divBdr>
    </w:div>
    <w:div w:id="1883446508">
      <w:bodyDiv w:val="1"/>
      <w:marLeft w:val="0"/>
      <w:marRight w:val="0"/>
      <w:marTop w:val="0"/>
      <w:marBottom w:val="0"/>
      <w:divBdr>
        <w:top w:val="none" w:sz="0" w:space="0" w:color="auto"/>
        <w:left w:val="none" w:sz="0" w:space="0" w:color="auto"/>
        <w:bottom w:val="none" w:sz="0" w:space="0" w:color="auto"/>
        <w:right w:val="none" w:sz="0" w:space="0" w:color="auto"/>
      </w:divBdr>
    </w:div>
    <w:div w:id="1885825992">
      <w:bodyDiv w:val="1"/>
      <w:marLeft w:val="0"/>
      <w:marRight w:val="0"/>
      <w:marTop w:val="0"/>
      <w:marBottom w:val="0"/>
      <w:divBdr>
        <w:top w:val="none" w:sz="0" w:space="0" w:color="auto"/>
        <w:left w:val="none" w:sz="0" w:space="0" w:color="auto"/>
        <w:bottom w:val="none" w:sz="0" w:space="0" w:color="auto"/>
        <w:right w:val="none" w:sz="0" w:space="0" w:color="auto"/>
      </w:divBdr>
    </w:div>
    <w:div w:id="1895582413">
      <w:bodyDiv w:val="1"/>
      <w:marLeft w:val="0"/>
      <w:marRight w:val="0"/>
      <w:marTop w:val="0"/>
      <w:marBottom w:val="0"/>
      <w:divBdr>
        <w:top w:val="none" w:sz="0" w:space="0" w:color="auto"/>
        <w:left w:val="none" w:sz="0" w:space="0" w:color="auto"/>
        <w:bottom w:val="none" w:sz="0" w:space="0" w:color="auto"/>
        <w:right w:val="none" w:sz="0" w:space="0" w:color="auto"/>
      </w:divBdr>
    </w:div>
    <w:div w:id="1896157050">
      <w:bodyDiv w:val="1"/>
      <w:marLeft w:val="0"/>
      <w:marRight w:val="0"/>
      <w:marTop w:val="0"/>
      <w:marBottom w:val="0"/>
      <w:divBdr>
        <w:top w:val="none" w:sz="0" w:space="0" w:color="auto"/>
        <w:left w:val="none" w:sz="0" w:space="0" w:color="auto"/>
        <w:bottom w:val="none" w:sz="0" w:space="0" w:color="auto"/>
        <w:right w:val="none" w:sz="0" w:space="0" w:color="auto"/>
      </w:divBdr>
    </w:div>
    <w:div w:id="1909339312">
      <w:bodyDiv w:val="1"/>
      <w:marLeft w:val="0"/>
      <w:marRight w:val="0"/>
      <w:marTop w:val="0"/>
      <w:marBottom w:val="0"/>
      <w:divBdr>
        <w:top w:val="none" w:sz="0" w:space="0" w:color="auto"/>
        <w:left w:val="none" w:sz="0" w:space="0" w:color="auto"/>
        <w:bottom w:val="none" w:sz="0" w:space="0" w:color="auto"/>
        <w:right w:val="none" w:sz="0" w:space="0" w:color="auto"/>
      </w:divBdr>
    </w:div>
    <w:div w:id="1909923536">
      <w:bodyDiv w:val="1"/>
      <w:marLeft w:val="0"/>
      <w:marRight w:val="0"/>
      <w:marTop w:val="0"/>
      <w:marBottom w:val="0"/>
      <w:divBdr>
        <w:top w:val="none" w:sz="0" w:space="0" w:color="auto"/>
        <w:left w:val="none" w:sz="0" w:space="0" w:color="auto"/>
        <w:bottom w:val="none" w:sz="0" w:space="0" w:color="auto"/>
        <w:right w:val="none" w:sz="0" w:space="0" w:color="auto"/>
      </w:divBdr>
    </w:div>
    <w:div w:id="1910995834">
      <w:bodyDiv w:val="1"/>
      <w:marLeft w:val="0"/>
      <w:marRight w:val="0"/>
      <w:marTop w:val="0"/>
      <w:marBottom w:val="0"/>
      <w:divBdr>
        <w:top w:val="none" w:sz="0" w:space="0" w:color="auto"/>
        <w:left w:val="none" w:sz="0" w:space="0" w:color="auto"/>
        <w:bottom w:val="none" w:sz="0" w:space="0" w:color="auto"/>
        <w:right w:val="none" w:sz="0" w:space="0" w:color="auto"/>
      </w:divBdr>
    </w:div>
    <w:div w:id="1936283047">
      <w:bodyDiv w:val="1"/>
      <w:marLeft w:val="0"/>
      <w:marRight w:val="0"/>
      <w:marTop w:val="0"/>
      <w:marBottom w:val="0"/>
      <w:divBdr>
        <w:top w:val="none" w:sz="0" w:space="0" w:color="auto"/>
        <w:left w:val="none" w:sz="0" w:space="0" w:color="auto"/>
        <w:bottom w:val="none" w:sz="0" w:space="0" w:color="auto"/>
        <w:right w:val="none" w:sz="0" w:space="0" w:color="auto"/>
      </w:divBdr>
    </w:div>
    <w:div w:id="1974091373">
      <w:bodyDiv w:val="1"/>
      <w:marLeft w:val="0"/>
      <w:marRight w:val="0"/>
      <w:marTop w:val="0"/>
      <w:marBottom w:val="0"/>
      <w:divBdr>
        <w:top w:val="none" w:sz="0" w:space="0" w:color="auto"/>
        <w:left w:val="none" w:sz="0" w:space="0" w:color="auto"/>
        <w:bottom w:val="none" w:sz="0" w:space="0" w:color="auto"/>
        <w:right w:val="none" w:sz="0" w:space="0" w:color="auto"/>
      </w:divBdr>
    </w:div>
    <w:div w:id="1995446089">
      <w:bodyDiv w:val="1"/>
      <w:marLeft w:val="0"/>
      <w:marRight w:val="0"/>
      <w:marTop w:val="0"/>
      <w:marBottom w:val="0"/>
      <w:divBdr>
        <w:top w:val="none" w:sz="0" w:space="0" w:color="auto"/>
        <w:left w:val="none" w:sz="0" w:space="0" w:color="auto"/>
        <w:bottom w:val="none" w:sz="0" w:space="0" w:color="auto"/>
        <w:right w:val="none" w:sz="0" w:space="0" w:color="auto"/>
      </w:divBdr>
    </w:div>
    <w:div w:id="2015106828">
      <w:bodyDiv w:val="1"/>
      <w:marLeft w:val="0"/>
      <w:marRight w:val="0"/>
      <w:marTop w:val="0"/>
      <w:marBottom w:val="0"/>
      <w:divBdr>
        <w:top w:val="none" w:sz="0" w:space="0" w:color="auto"/>
        <w:left w:val="none" w:sz="0" w:space="0" w:color="auto"/>
        <w:bottom w:val="none" w:sz="0" w:space="0" w:color="auto"/>
        <w:right w:val="none" w:sz="0" w:space="0" w:color="auto"/>
      </w:divBdr>
    </w:div>
    <w:div w:id="2031450929">
      <w:bodyDiv w:val="1"/>
      <w:marLeft w:val="0"/>
      <w:marRight w:val="0"/>
      <w:marTop w:val="0"/>
      <w:marBottom w:val="0"/>
      <w:divBdr>
        <w:top w:val="none" w:sz="0" w:space="0" w:color="auto"/>
        <w:left w:val="none" w:sz="0" w:space="0" w:color="auto"/>
        <w:bottom w:val="none" w:sz="0" w:space="0" w:color="auto"/>
        <w:right w:val="none" w:sz="0" w:space="0" w:color="auto"/>
      </w:divBdr>
    </w:div>
    <w:div w:id="2043089917">
      <w:bodyDiv w:val="1"/>
      <w:marLeft w:val="0"/>
      <w:marRight w:val="0"/>
      <w:marTop w:val="0"/>
      <w:marBottom w:val="0"/>
      <w:divBdr>
        <w:top w:val="none" w:sz="0" w:space="0" w:color="auto"/>
        <w:left w:val="none" w:sz="0" w:space="0" w:color="auto"/>
        <w:bottom w:val="none" w:sz="0" w:space="0" w:color="auto"/>
        <w:right w:val="none" w:sz="0" w:space="0" w:color="auto"/>
      </w:divBdr>
    </w:div>
    <w:div w:id="2045052653">
      <w:bodyDiv w:val="1"/>
      <w:marLeft w:val="0"/>
      <w:marRight w:val="0"/>
      <w:marTop w:val="0"/>
      <w:marBottom w:val="0"/>
      <w:divBdr>
        <w:top w:val="none" w:sz="0" w:space="0" w:color="auto"/>
        <w:left w:val="none" w:sz="0" w:space="0" w:color="auto"/>
        <w:bottom w:val="none" w:sz="0" w:space="0" w:color="auto"/>
        <w:right w:val="none" w:sz="0" w:space="0" w:color="auto"/>
      </w:divBdr>
      <w:divsChild>
        <w:div w:id="1087116638">
          <w:marLeft w:val="0"/>
          <w:marRight w:val="0"/>
          <w:marTop w:val="0"/>
          <w:marBottom w:val="0"/>
          <w:divBdr>
            <w:top w:val="single" w:sz="6" w:space="0" w:color="38454D"/>
            <w:left w:val="none" w:sz="0" w:space="0" w:color="auto"/>
            <w:bottom w:val="none" w:sz="0" w:space="0" w:color="auto"/>
            <w:right w:val="none" w:sz="0" w:space="0" w:color="auto"/>
          </w:divBdr>
        </w:div>
      </w:divsChild>
    </w:div>
    <w:div w:id="2049521370">
      <w:bodyDiv w:val="1"/>
      <w:marLeft w:val="0"/>
      <w:marRight w:val="0"/>
      <w:marTop w:val="0"/>
      <w:marBottom w:val="0"/>
      <w:divBdr>
        <w:top w:val="none" w:sz="0" w:space="0" w:color="auto"/>
        <w:left w:val="none" w:sz="0" w:space="0" w:color="auto"/>
        <w:bottom w:val="none" w:sz="0" w:space="0" w:color="auto"/>
        <w:right w:val="none" w:sz="0" w:space="0" w:color="auto"/>
      </w:divBdr>
    </w:div>
    <w:div w:id="2064674471">
      <w:bodyDiv w:val="1"/>
      <w:marLeft w:val="0"/>
      <w:marRight w:val="0"/>
      <w:marTop w:val="0"/>
      <w:marBottom w:val="0"/>
      <w:divBdr>
        <w:top w:val="none" w:sz="0" w:space="0" w:color="auto"/>
        <w:left w:val="none" w:sz="0" w:space="0" w:color="auto"/>
        <w:bottom w:val="none" w:sz="0" w:space="0" w:color="auto"/>
        <w:right w:val="none" w:sz="0" w:space="0" w:color="auto"/>
      </w:divBdr>
    </w:div>
    <w:div w:id="2067558863">
      <w:bodyDiv w:val="1"/>
      <w:marLeft w:val="0"/>
      <w:marRight w:val="0"/>
      <w:marTop w:val="0"/>
      <w:marBottom w:val="0"/>
      <w:divBdr>
        <w:top w:val="none" w:sz="0" w:space="0" w:color="auto"/>
        <w:left w:val="none" w:sz="0" w:space="0" w:color="auto"/>
        <w:bottom w:val="none" w:sz="0" w:space="0" w:color="auto"/>
        <w:right w:val="none" w:sz="0" w:space="0" w:color="auto"/>
      </w:divBdr>
    </w:div>
    <w:div w:id="2076514616">
      <w:bodyDiv w:val="1"/>
      <w:marLeft w:val="0"/>
      <w:marRight w:val="0"/>
      <w:marTop w:val="0"/>
      <w:marBottom w:val="0"/>
      <w:divBdr>
        <w:top w:val="none" w:sz="0" w:space="0" w:color="auto"/>
        <w:left w:val="none" w:sz="0" w:space="0" w:color="auto"/>
        <w:bottom w:val="none" w:sz="0" w:space="0" w:color="auto"/>
        <w:right w:val="none" w:sz="0" w:space="0" w:color="auto"/>
      </w:divBdr>
    </w:div>
    <w:div w:id="2077048563">
      <w:bodyDiv w:val="1"/>
      <w:marLeft w:val="0"/>
      <w:marRight w:val="0"/>
      <w:marTop w:val="0"/>
      <w:marBottom w:val="0"/>
      <w:divBdr>
        <w:top w:val="none" w:sz="0" w:space="0" w:color="auto"/>
        <w:left w:val="none" w:sz="0" w:space="0" w:color="auto"/>
        <w:bottom w:val="none" w:sz="0" w:space="0" w:color="auto"/>
        <w:right w:val="none" w:sz="0" w:space="0" w:color="auto"/>
      </w:divBdr>
    </w:div>
    <w:div w:id="2081098229">
      <w:bodyDiv w:val="1"/>
      <w:marLeft w:val="0"/>
      <w:marRight w:val="0"/>
      <w:marTop w:val="0"/>
      <w:marBottom w:val="0"/>
      <w:divBdr>
        <w:top w:val="none" w:sz="0" w:space="0" w:color="auto"/>
        <w:left w:val="none" w:sz="0" w:space="0" w:color="auto"/>
        <w:bottom w:val="none" w:sz="0" w:space="0" w:color="auto"/>
        <w:right w:val="none" w:sz="0" w:space="0" w:color="auto"/>
      </w:divBdr>
    </w:div>
    <w:div w:id="2093427370">
      <w:bodyDiv w:val="1"/>
      <w:marLeft w:val="0"/>
      <w:marRight w:val="0"/>
      <w:marTop w:val="0"/>
      <w:marBottom w:val="0"/>
      <w:divBdr>
        <w:top w:val="none" w:sz="0" w:space="0" w:color="auto"/>
        <w:left w:val="none" w:sz="0" w:space="0" w:color="auto"/>
        <w:bottom w:val="none" w:sz="0" w:space="0" w:color="auto"/>
        <w:right w:val="none" w:sz="0" w:space="0" w:color="auto"/>
      </w:divBdr>
    </w:div>
    <w:div w:id="2094544256">
      <w:bodyDiv w:val="1"/>
      <w:marLeft w:val="0"/>
      <w:marRight w:val="0"/>
      <w:marTop w:val="0"/>
      <w:marBottom w:val="0"/>
      <w:divBdr>
        <w:top w:val="none" w:sz="0" w:space="0" w:color="auto"/>
        <w:left w:val="none" w:sz="0" w:space="0" w:color="auto"/>
        <w:bottom w:val="none" w:sz="0" w:space="0" w:color="auto"/>
        <w:right w:val="none" w:sz="0" w:space="0" w:color="auto"/>
      </w:divBdr>
    </w:div>
    <w:div w:id="2106146187">
      <w:bodyDiv w:val="1"/>
      <w:marLeft w:val="0"/>
      <w:marRight w:val="0"/>
      <w:marTop w:val="0"/>
      <w:marBottom w:val="0"/>
      <w:divBdr>
        <w:top w:val="none" w:sz="0" w:space="0" w:color="auto"/>
        <w:left w:val="none" w:sz="0" w:space="0" w:color="auto"/>
        <w:bottom w:val="none" w:sz="0" w:space="0" w:color="auto"/>
        <w:right w:val="none" w:sz="0" w:space="0" w:color="auto"/>
      </w:divBdr>
    </w:div>
    <w:div w:id="2111048068">
      <w:bodyDiv w:val="1"/>
      <w:marLeft w:val="0"/>
      <w:marRight w:val="0"/>
      <w:marTop w:val="0"/>
      <w:marBottom w:val="0"/>
      <w:divBdr>
        <w:top w:val="none" w:sz="0" w:space="0" w:color="auto"/>
        <w:left w:val="none" w:sz="0" w:space="0" w:color="auto"/>
        <w:bottom w:val="none" w:sz="0" w:space="0" w:color="auto"/>
        <w:right w:val="none" w:sz="0" w:space="0" w:color="auto"/>
      </w:divBdr>
    </w:div>
    <w:div w:id="2112698823">
      <w:bodyDiv w:val="1"/>
      <w:marLeft w:val="0"/>
      <w:marRight w:val="0"/>
      <w:marTop w:val="0"/>
      <w:marBottom w:val="0"/>
      <w:divBdr>
        <w:top w:val="none" w:sz="0" w:space="0" w:color="auto"/>
        <w:left w:val="none" w:sz="0" w:space="0" w:color="auto"/>
        <w:bottom w:val="none" w:sz="0" w:space="0" w:color="auto"/>
        <w:right w:val="none" w:sz="0" w:space="0" w:color="auto"/>
      </w:divBdr>
    </w:div>
    <w:div w:id="2113864640">
      <w:bodyDiv w:val="1"/>
      <w:marLeft w:val="0"/>
      <w:marRight w:val="0"/>
      <w:marTop w:val="0"/>
      <w:marBottom w:val="0"/>
      <w:divBdr>
        <w:top w:val="none" w:sz="0" w:space="0" w:color="auto"/>
        <w:left w:val="none" w:sz="0" w:space="0" w:color="auto"/>
        <w:bottom w:val="none" w:sz="0" w:space="0" w:color="auto"/>
        <w:right w:val="none" w:sz="0" w:space="0" w:color="auto"/>
      </w:divBdr>
    </w:div>
    <w:div w:id="2135052432">
      <w:bodyDiv w:val="1"/>
      <w:marLeft w:val="0"/>
      <w:marRight w:val="0"/>
      <w:marTop w:val="0"/>
      <w:marBottom w:val="0"/>
      <w:divBdr>
        <w:top w:val="none" w:sz="0" w:space="0" w:color="auto"/>
        <w:left w:val="none" w:sz="0" w:space="0" w:color="auto"/>
        <w:bottom w:val="none" w:sz="0" w:space="0" w:color="auto"/>
        <w:right w:val="none" w:sz="0" w:space="0" w:color="auto"/>
      </w:divBdr>
    </w:div>
    <w:div w:id="214191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zzettaufficiale.it/eli/id/2018/01/31/18G00013/sg" TargetMode="External"/><Relationship Id="rId21" Type="http://schemas.openxmlformats.org/officeDocument/2006/relationships/footer" Target="footer4.xml"/><Relationship Id="rId42" Type="http://schemas.openxmlformats.org/officeDocument/2006/relationships/image" Target="media/image21.emf"/><Relationship Id="rId47" Type="http://schemas.openxmlformats.org/officeDocument/2006/relationships/image" Target="media/image26.emf"/><Relationship Id="rId63" Type="http://schemas.openxmlformats.org/officeDocument/2006/relationships/image" Target="media/image40.emf"/><Relationship Id="rId68" Type="http://schemas.openxmlformats.org/officeDocument/2006/relationships/image" Target="media/image44.png"/><Relationship Id="rId84" Type="http://schemas.openxmlformats.org/officeDocument/2006/relationships/image" Target="media/image50.png"/><Relationship Id="rId89" Type="http://schemas.openxmlformats.org/officeDocument/2006/relationships/image" Target="media/image55.emf"/><Relationship Id="rId16" Type="http://schemas.openxmlformats.org/officeDocument/2006/relationships/image" Target="media/image4.emf"/><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chart" Target="charts/chart1.xml"/><Relationship Id="rId58" Type="http://schemas.openxmlformats.org/officeDocument/2006/relationships/image" Target="media/image35.png"/><Relationship Id="rId74" Type="http://schemas.openxmlformats.org/officeDocument/2006/relationships/hyperlink" Target="https://servizi.comune.noviligure.al.it/cmsnoviligure/portale/delibere/getfile.aspx?SOURCE=PATH&amp;KEY=FileTestoDelib_1" TargetMode="External"/><Relationship Id="rId79" Type="http://schemas.openxmlformats.org/officeDocument/2006/relationships/hyperlink" Target="https://servizi.comune.noviligure.al.it/cmsnoviligure/portale/delibere/getfile.aspx?SOURCE=PATH&amp;KEY=FileTestoDelib_1" TargetMode="External"/><Relationship Id="rId102" Type="http://schemas.openxmlformats.org/officeDocument/2006/relationships/image" Target="media/image65.png"/><Relationship Id="rId5" Type="http://schemas.openxmlformats.org/officeDocument/2006/relationships/settings" Target="settings.xml"/><Relationship Id="rId90" Type="http://schemas.openxmlformats.org/officeDocument/2006/relationships/image" Target="media/image56.emf"/><Relationship Id="rId95" Type="http://schemas.openxmlformats.org/officeDocument/2006/relationships/image" Target="media/image60.png"/><Relationship Id="rId22" Type="http://schemas.openxmlformats.org/officeDocument/2006/relationships/header" Target="header4.xml"/><Relationship Id="rId27" Type="http://schemas.openxmlformats.org/officeDocument/2006/relationships/footer" Target="footer6.xml"/><Relationship Id="rId43" Type="http://schemas.openxmlformats.org/officeDocument/2006/relationships/image" Target="media/image22.emf"/><Relationship Id="rId48" Type="http://schemas.openxmlformats.org/officeDocument/2006/relationships/image" Target="media/image27.emf"/><Relationship Id="rId64" Type="http://schemas.openxmlformats.org/officeDocument/2006/relationships/image" Target="media/image41.jpeg"/><Relationship Id="rId69" Type="http://schemas.openxmlformats.org/officeDocument/2006/relationships/image" Target="media/image45.svg"/><Relationship Id="rId80" Type="http://schemas.openxmlformats.org/officeDocument/2006/relationships/image" Target="media/image47.png"/><Relationship Id="rId85" Type="http://schemas.openxmlformats.org/officeDocument/2006/relationships/image" Target="media/image51.emf"/><Relationship Id="rId12" Type="http://schemas.openxmlformats.org/officeDocument/2006/relationships/footer" Target="footer1.xml"/><Relationship Id="rId17"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6.png"/><Relationship Id="rId103" Type="http://schemas.openxmlformats.org/officeDocument/2006/relationships/header" Target="header5.xml"/><Relationship Id="rId20" Type="http://schemas.openxmlformats.org/officeDocument/2006/relationships/header" Target="header3.xml"/><Relationship Id="rId41" Type="http://schemas.openxmlformats.org/officeDocument/2006/relationships/image" Target="media/image20.emf"/><Relationship Id="rId54" Type="http://schemas.openxmlformats.org/officeDocument/2006/relationships/image" Target="media/image32.emf"/><Relationship Id="rId62" Type="http://schemas.openxmlformats.org/officeDocument/2006/relationships/image" Target="media/image39.emf"/><Relationship Id="rId70" Type="http://schemas.openxmlformats.org/officeDocument/2006/relationships/footer" Target="footer10.xml"/><Relationship Id="rId75" Type="http://schemas.openxmlformats.org/officeDocument/2006/relationships/hyperlink" Target="https://www.servizipubblicaamministrazione.it/venere_storico_3/cqtrm1590/Data/Delibere/dt-2024-00262-00079.pdf" TargetMode="External"/><Relationship Id="rId83" Type="http://schemas.openxmlformats.org/officeDocument/2006/relationships/image" Target="media/image49.png"/><Relationship Id="rId88" Type="http://schemas.openxmlformats.org/officeDocument/2006/relationships/image" Target="media/image54.png"/><Relationship Id="rId91" Type="http://schemas.openxmlformats.org/officeDocument/2006/relationships/hyperlink" Target="https://ampartecipa.mtm.torino.it/" TargetMode="External"/><Relationship Id="rId96" Type="http://schemas.openxmlformats.org/officeDocument/2006/relationships/image" Target="media/image61.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image" Target="media/image15.png"/><Relationship Id="rId49" Type="http://schemas.openxmlformats.org/officeDocument/2006/relationships/image" Target="media/image29.png"/><Relationship Id="rId57" Type="http://schemas.openxmlformats.org/officeDocument/2006/relationships/image" Target="media/image34.png"/><Relationship Id="rId106"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0.png"/><Relationship Id="rId44" Type="http://schemas.openxmlformats.org/officeDocument/2006/relationships/image" Target="media/image23.emf"/><Relationship Id="rId52" Type="http://schemas.openxmlformats.org/officeDocument/2006/relationships/hyperlink" Target="https://ampartecipa.mtm.torino.it/processes/bacino-nordest/f/19/meetings/16" TargetMode="External"/><Relationship Id="rId60" Type="http://schemas.openxmlformats.org/officeDocument/2006/relationships/image" Target="media/image37.png"/><Relationship Id="rId65" Type="http://schemas.openxmlformats.org/officeDocument/2006/relationships/footer" Target="footer9.xml"/><Relationship Id="rId73" Type="http://schemas.openxmlformats.org/officeDocument/2006/relationships/hyperlink" Target="https://casalemonferrato.trasparenza-valutazione-merito.it/web/trasparenza/papca-ap?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508256&amp;_jcitygovalbopubblicazioni_WAR_jcitygovalbiportlet_action=mostraDettaglio&amp;_jcitygovalbopubblicazioni_WAR_jcitygovalbiportlet_fromAction=recuperaDettaglio" TargetMode="External"/><Relationship Id="rId78" Type="http://schemas.openxmlformats.org/officeDocument/2006/relationships/hyperlink" Target="https://casalemonferrato.trasparenza-valutazione-merito.it/web/trasparenza/papca-ap?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508256&amp;_jcitygovalbopubblicazioni_WAR_jcitygovalbiportlet_action=mostraDettaglio&amp;_jcitygovalbopubblicazioni_WAR_jcitygovalbiportlet_fromAction=recuperaDettaglio" TargetMode="External"/><Relationship Id="rId81" Type="http://schemas.openxmlformats.org/officeDocument/2006/relationships/footer" Target="footer11.xml"/><Relationship Id="rId86" Type="http://schemas.openxmlformats.org/officeDocument/2006/relationships/image" Target="media/image52.emf"/><Relationship Id="rId94" Type="http://schemas.openxmlformats.org/officeDocument/2006/relationships/image" Target="media/image59.png"/><Relationship Id="rId99" Type="http://schemas.openxmlformats.org/officeDocument/2006/relationships/image" Target="media/image64.png"/><Relationship Id="rId101" Type="http://schemas.openxmlformats.org/officeDocument/2006/relationships/footer" Target="footer1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9" Type="http://schemas.openxmlformats.org/officeDocument/2006/relationships/image" Target="media/image18.png"/><Relationship Id="rId34" Type="http://schemas.openxmlformats.org/officeDocument/2006/relationships/image" Target="media/image13.png"/><Relationship Id="rId50" Type="http://schemas.openxmlformats.org/officeDocument/2006/relationships/image" Target="media/image30.emf"/><Relationship Id="rId55" Type="http://schemas.openxmlformats.org/officeDocument/2006/relationships/image" Target="media/image33.emf"/><Relationship Id="rId76" Type="http://schemas.openxmlformats.org/officeDocument/2006/relationships/hyperlink" Target="https://servizionline.comune.alessandria.it/cmsalessandria/portale/delibere/getfile.aspx?SOURCE=PATH&amp;KEY=FileTestoDete_1" TargetMode="External"/><Relationship Id="rId97" Type="http://schemas.openxmlformats.org/officeDocument/2006/relationships/image" Target="media/image62.emf"/><Relationship Id="rId104" Type="http://schemas.openxmlformats.org/officeDocument/2006/relationships/footer" Target="footer14.xml"/><Relationship Id="rId7" Type="http://schemas.openxmlformats.org/officeDocument/2006/relationships/footnotes" Target="footnotes.xml"/><Relationship Id="rId71" Type="http://schemas.openxmlformats.org/officeDocument/2006/relationships/image" Target="media/image46.emf"/><Relationship Id="rId92" Type="http://schemas.openxmlformats.org/officeDocument/2006/relationships/image" Target="media/image57.png"/><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yperlink" Target="http://arianna.cr.piemonte.it/iterlegcoordweb/dettaglioLegge.do?urnLegge=urn:nir:regione.piemonte:legge:2000;1@2018-10-29" TargetMode="External"/><Relationship Id="rId40" Type="http://schemas.openxmlformats.org/officeDocument/2006/relationships/image" Target="media/image19.png"/><Relationship Id="rId45" Type="http://schemas.openxmlformats.org/officeDocument/2006/relationships/image" Target="media/image24.emf"/><Relationship Id="rId66" Type="http://schemas.openxmlformats.org/officeDocument/2006/relationships/image" Target="media/image42.png"/><Relationship Id="rId87" Type="http://schemas.openxmlformats.org/officeDocument/2006/relationships/image" Target="media/image53.png"/><Relationship Id="rId61" Type="http://schemas.openxmlformats.org/officeDocument/2006/relationships/image" Target="media/image38.png"/><Relationship Id="rId82" Type="http://schemas.openxmlformats.org/officeDocument/2006/relationships/image" Target="media/image48.png"/><Relationship Id="rId19" Type="http://schemas.openxmlformats.org/officeDocument/2006/relationships/image" Target="media/image7.png"/><Relationship Id="rId14" Type="http://schemas.openxmlformats.org/officeDocument/2006/relationships/footer" Target="footer2.xm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footer" Target="footer8.xml"/><Relationship Id="rId77" Type="http://schemas.openxmlformats.org/officeDocument/2006/relationships/hyperlink" Target="https://net.comune.asti.it/cmsasti/portale/delibere/getfile.aspx?SOURCE=PATH&amp;KEY=FileTestoDelib_1" TargetMode="External"/><Relationship Id="rId100" Type="http://schemas.openxmlformats.org/officeDocument/2006/relationships/footer" Target="footer12.xm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hyperlink" Target="https://net.comune.asti.it/cmsasti/portale/delibere/getfile.aspx?SOURCE=PATH&amp;KEY=FileTestoDelib_1" TargetMode="External"/><Relationship Id="rId93" Type="http://schemas.openxmlformats.org/officeDocument/2006/relationships/image" Target="media/image58.png"/><Relationship Id="rId98" Type="http://schemas.openxmlformats.org/officeDocument/2006/relationships/image" Target="media/image63.emf"/><Relationship Id="rId3" Type="http://schemas.openxmlformats.org/officeDocument/2006/relationships/numbering" Target="numbering.xml"/><Relationship Id="rId25" Type="http://schemas.openxmlformats.org/officeDocument/2006/relationships/hyperlink" Target="http://www.regione.piemonte.it/governo/bollettino/abbonati/2018/05/suppo1/00000003.htm" TargetMode="External"/><Relationship Id="rId46" Type="http://schemas.openxmlformats.org/officeDocument/2006/relationships/image" Target="media/image25.emf"/><Relationship Id="rId67" Type="http://schemas.openxmlformats.org/officeDocument/2006/relationships/image" Target="media/image43.svg"/></Relationships>
</file>

<file path=word/_rels/footnotes.xml.rels><?xml version="1.0" encoding="UTF-8" standalone="yes"?>
<Relationships xmlns="http://schemas.openxmlformats.org/package/2006/relationships"><Relationship Id="rId8" Type="http://schemas.openxmlformats.org/officeDocument/2006/relationships/hyperlink" Target="https://mtm.torino.it/it/servizi-e-contratti/servizi-tpl/" TargetMode="External"/><Relationship Id="rId13" Type="http://schemas.openxmlformats.org/officeDocument/2006/relationships/hyperlink" Target="https://ampartecipa.mtm.torino.it/processes/bacino-sud/f/43/posts/52" TargetMode="External"/><Relationship Id="rId3" Type="http://schemas.openxmlformats.org/officeDocument/2006/relationships/image" Target="media/image28.wmf"/><Relationship Id="rId7" Type="http://schemas.openxmlformats.org/officeDocument/2006/relationships/hyperlink" Target="https://mtm.torino.it/it/piani-progetti/progetti-a-scala-regionale/studi-su-linee-ferroviarie-sospese/" TargetMode="External"/><Relationship Id="rId12" Type="http://schemas.openxmlformats.org/officeDocument/2006/relationships/hyperlink" Target="https://ampartecipa.mtm.torino.it/processes/bacino-sud/f/43/posts/67" TargetMode="External"/><Relationship Id="rId17" Type="http://schemas.openxmlformats.org/officeDocument/2006/relationships/hyperlink" Target="https://ampartecipa.mtm.torino.it/processes/bacino-sud/f/43/posts/49" TargetMode="External"/><Relationship Id="rId2" Type="http://schemas.openxmlformats.org/officeDocument/2006/relationships/hyperlink" Target="https://mtm.torino.it/wp-content/uploads/2023/06/Relazione_Affidamenti_2022_pubbl_15-06-2023.pdf" TargetMode="External"/><Relationship Id="rId16" Type="http://schemas.openxmlformats.org/officeDocument/2006/relationships/hyperlink" Target="https://ampartecipa.mtm.torino.it/processes/bacino-sud/f/43/posts/30" TargetMode="External"/><Relationship Id="rId1" Type="http://schemas.openxmlformats.org/officeDocument/2006/relationships/hyperlink" Target="https://mtm.torino.it/it/aggiornamento-avvisi-pre-informazione-delle-procedure-di-affidamento-delle-concessioni-dei-servizi-di-tpl/" TargetMode="External"/><Relationship Id="rId6" Type="http://schemas.openxmlformats.org/officeDocument/2006/relationships/hyperlink" Target="https://www.istat.it/statistica-sperimentale/previsioni-demografiche-comunali-statistica-sperimentale/" TargetMode="External"/><Relationship Id="rId11" Type="http://schemas.openxmlformats.org/officeDocument/2006/relationships/hyperlink" Target="https://mtm.torino.it/wp-content/uploads/amministrazione-trasparente/bandi-gara-contratti/sistema-di-qualificazione-concessionari-tpl/sistema-di-qualificazione-normativa-3.00.pdf" TargetMode="External"/><Relationship Id="rId5" Type="http://schemas.openxmlformats.org/officeDocument/2006/relationships/hyperlink" Target="https://datamobility.it/magazine/ok-boomer-una-prospettiva-generazionale-sui-comportamenti-di-mobilita/" TargetMode="External"/><Relationship Id="rId15" Type="http://schemas.openxmlformats.org/officeDocument/2006/relationships/hyperlink" Target="https://ampartecipa.mtm.torino.it/processes/bacino-sud/f/43/posts/64" TargetMode="External"/><Relationship Id="rId10" Type="http://schemas.openxmlformats.org/officeDocument/2006/relationships/hyperlink" Target="https://www.dt.mef.gov.it/it/attivita_istituzionali/analisi_programmazione_economico_finanziaria/inflaz_programmata/" TargetMode="External"/><Relationship Id="rId4" Type="http://schemas.openxmlformats.org/officeDocument/2006/relationships/hyperlink" Target="https://www.muoversinpiemonte.it/piattaforma-digitale-regionale-emma" TargetMode="External"/><Relationship Id="rId9" Type="http://schemas.openxmlformats.org/officeDocument/2006/relationships/hyperlink" Target="https://www.emta.com/wp-content/uploads/2021/12/rebelgroup_report.pdf" TargetMode="External"/><Relationship Id="rId14" Type="http://schemas.openxmlformats.org/officeDocument/2006/relationships/hyperlink" Target="https://ampartecipa.mtm.torino.it/processes/bacino-sud/f/43/posts/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192.168.0.40\open%20mtmCloud\RELAZIONI%20LOTTI\materiale%20lavoro\BACINO%20NORD-EST\turismo_piemonte_2016-2024_VISIT%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sz="1400" b="0" i="0" u="none" strike="noStrike" kern="1200" spc="0" baseline="0">
                <a:solidFill>
                  <a:sysClr val="windowText" lastClr="000000">
                    <a:lumMod val="65000"/>
                    <a:lumOff val="35000"/>
                  </a:sysClr>
                </a:solidFill>
                <a:latin typeface="+mn-lt"/>
                <a:ea typeface="+mn-ea"/>
                <a:cs typeface="+mn-cs"/>
              </a:rPr>
              <a:t>SUD EST</a:t>
            </a:r>
            <a:endParaRPr lang="it-I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stacked"/>
        <c:varyColors val="0"/>
        <c:ser>
          <c:idx val="0"/>
          <c:order val="0"/>
          <c:tx>
            <c:strRef>
              <c:f>Foglio1!$P$21</c:f>
              <c:strCache>
                <c:ptCount val="1"/>
                <c:pt idx="0">
                  <c:v>Presenze Italia</c:v>
                </c:pt>
              </c:strCache>
            </c:strRef>
          </c:tx>
          <c:spPr>
            <a:solidFill>
              <a:schemeClr val="accent6">
                <a:lumMod val="75000"/>
              </a:schemeClr>
            </a:solidFill>
            <a:ln>
              <a:noFill/>
            </a:ln>
            <a:effectLst/>
          </c:spPr>
          <c:invertIfNegative val="0"/>
          <c:cat>
            <c:numRef>
              <c:f>Foglio1!$O$22:$O$30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Foglio1!$P$22:$P$30</c:f>
              <c:numCache>
                <c:formatCode>#,##0</c:formatCode>
                <c:ptCount val="9"/>
                <c:pt idx="0">
                  <c:v>601903</c:v>
                </c:pt>
                <c:pt idx="1">
                  <c:v>605879</c:v>
                </c:pt>
                <c:pt idx="2">
                  <c:v>552921</c:v>
                </c:pt>
                <c:pt idx="3">
                  <c:v>537919</c:v>
                </c:pt>
                <c:pt idx="4">
                  <c:v>322289</c:v>
                </c:pt>
                <c:pt idx="5">
                  <c:v>507674</c:v>
                </c:pt>
                <c:pt idx="6">
                  <c:v>557531</c:v>
                </c:pt>
                <c:pt idx="7">
                  <c:v>594015</c:v>
                </c:pt>
                <c:pt idx="8">
                  <c:v>615965</c:v>
                </c:pt>
              </c:numCache>
            </c:numRef>
          </c:val>
          <c:extLst>
            <c:ext xmlns:c16="http://schemas.microsoft.com/office/drawing/2014/chart" uri="{C3380CC4-5D6E-409C-BE32-E72D297353CC}">
              <c16:uniqueId val="{00000000-6F36-4AAE-8FB4-11A539E9EF44}"/>
            </c:ext>
          </c:extLst>
        </c:ser>
        <c:ser>
          <c:idx val="1"/>
          <c:order val="1"/>
          <c:tx>
            <c:strRef>
              <c:f>Foglio1!$Q$21</c:f>
              <c:strCache>
                <c:ptCount val="1"/>
                <c:pt idx="0">
                  <c:v>Presenze Estero</c:v>
                </c:pt>
              </c:strCache>
            </c:strRef>
          </c:tx>
          <c:spPr>
            <a:solidFill>
              <a:schemeClr val="accent6">
                <a:lumMod val="60000"/>
                <a:lumOff val="40000"/>
              </a:schemeClr>
            </a:solidFill>
            <a:ln>
              <a:noFill/>
            </a:ln>
            <a:effectLst/>
          </c:spPr>
          <c:invertIfNegative val="0"/>
          <c:cat>
            <c:numRef>
              <c:f>Foglio1!$O$22:$O$30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Foglio1!$Q$22:$Q$30</c:f>
              <c:numCache>
                <c:formatCode>#,##0</c:formatCode>
                <c:ptCount val="9"/>
                <c:pt idx="0">
                  <c:v>456527</c:v>
                </c:pt>
                <c:pt idx="1">
                  <c:v>521981</c:v>
                </c:pt>
                <c:pt idx="2">
                  <c:v>505958</c:v>
                </c:pt>
                <c:pt idx="3">
                  <c:v>464879</c:v>
                </c:pt>
                <c:pt idx="4">
                  <c:v>143268</c:v>
                </c:pt>
                <c:pt idx="5">
                  <c:v>333339</c:v>
                </c:pt>
                <c:pt idx="6">
                  <c:v>544387</c:v>
                </c:pt>
                <c:pt idx="7">
                  <c:v>648197</c:v>
                </c:pt>
                <c:pt idx="8">
                  <c:v>719788</c:v>
                </c:pt>
              </c:numCache>
            </c:numRef>
          </c:val>
          <c:extLst>
            <c:ext xmlns:c16="http://schemas.microsoft.com/office/drawing/2014/chart" uri="{C3380CC4-5D6E-409C-BE32-E72D297353CC}">
              <c16:uniqueId val="{00000001-6F36-4AAE-8FB4-11A539E9EF44}"/>
            </c:ext>
          </c:extLst>
        </c:ser>
        <c:dLbls>
          <c:showLegendKey val="0"/>
          <c:showVal val="0"/>
          <c:showCatName val="0"/>
          <c:showSerName val="0"/>
          <c:showPercent val="0"/>
          <c:showBubbleSize val="0"/>
        </c:dLbls>
        <c:gapWidth val="219"/>
        <c:overlap val="100"/>
        <c:axId val="1200695279"/>
        <c:axId val="1200699599"/>
      </c:barChart>
      <c:lineChart>
        <c:grouping val="standard"/>
        <c:varyColors val="0"/>
        <c:ser>
          <c:idx val="2"/>
          <c:order val="2"/>
          <c:tx>
            <c:strRef>
              <c:f>Foglio1!$R$21</c:f>
              <c:strCache>
                <c:ptCount val="1"/>
                <c:pt idx="0">
                  <c:v>% su Piemonte</c:v>
                </c:pt>
              </c:strCache>
            </c:strRef>
          </c:tx>
          <c:spPr>
            <a:ln w="28575" cap="rnd">
              <a:solidFill>
                <a:schemeClr val="accent6">
                  <a:lumMod val="50000"/>
                </a:schemeClr>
              </a:solidFill>
              <a:round/>
            </a:ln>
            <a:effectLst/>
          </c:spPr>
          <c:marker>
            <c:symbol val="none"/>
          </c:marker>
          <c:cat>
            <c:numRef>
              <c:f>Foglio1!$O$22:$O$30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Foglio1!$R$22:$R$30</c:f>
              <c:numCache>
                <c:formatCode>0.0%</c:formatCode>
                <c:ptCount val="9"/>
                <c:pt idx="0">
                  <c:v>7.554187662713939E-2</c:v>
                </c:pt>
                <c:pt idx="1">
                  <c:v>7.5692777227497843E-2</c:v>
                </c:pt>
                <c:pt idx="2">
                  <c:v>7.0119236189103859E-2</c:v>
                </c:pt>
                <c:pt idx="3">
                  <c:v>6.7347300202666882E-2</c:v>
                </c:pt>
                <c:pt idx="4">
                  <c:v>7.0156141972015723E-2</c:v>
                </c:pt>
                <c:pt idx="5">
                  <c:v>8.5187491630787524E-2</c:v>
                </c:pt>
                <c:pt idx="6">
                  <c:v>7.3727089375122443E-2</c:v>
                </c:pt>
                <c:pt idx="7">
                  <c:v>7.6504661307245217E-2</c:v>
                </c:pt>
                <c:pt idx="8">
                  <c:v>7.9048396151146227E-2</c:v>
                </c:pt>
              </c:numCache>
            </c:numRef>
          </c:val>
          <c:smooth val="0"/>
          <c:extLst>
            <c:ext xmlns:c16="http://schemas.microsoft.com/office/drawing/2014/chart" uri="{C3380CC4-5D6E-409C-BE32-E72D297353CC}">
              <c16:uniqueId val="{00000002-6F36-4AAE-8FB4-11A539E9EF44}"/>
            </c:ext>
          </c:extLst>
        </c:ser>
        <c:dLbls>
          <c:showLegendKey val="0"/>
          <c:showVal val="0"/>
          <c:showCatName val="0"/>
          <c:showSerName val="0"/>
          <c:showPercent val="0"/>
          <c:showBubbleSize val="0"/>
        </c:dLbls>
        <c:marker val="1"/>
        <c:smooth val="0"/>
        <c:axId val="1200703439"/>
        <c:axId val="1200698639"/>
      </c:lineChart>
      <c:catAx>
        <c:axId val="1200695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200699599"/>
        <c:crosses val="autoZero"/>
        <c:auto val="1"/>
        <c:lblAlgn val="ctr"/>
        <c:lblOffset val="100"/>
        <c:noMultiLvlLbl val="0"/>
      </c:catAx>
      <c:valAx>
        <c:axId val="120069959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200695279"/>
        <c:crosses val="autoZero"/>
        <c:crossBetween val="between"/>
        <c:majorUnit val="200000"/>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t-IT"/>
              </a:p>
            </c:txPr>
          </c:dispUnitsLbl>
        </c:dispUnits>
      </c:valAx>
      <c:valAx>
        <c:axId val="1200698639"/>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200703439"/>
        <c:crosses val="max"/>
        <c:crossBetween val="between"/>
      </c:valAx>
      <c:catAx>
        <c:axId val="1200703439"/>
        <c:scaling>
          <c:orientation val="minMax"/>
        </c:scaling>
        <c:delete val="1"/>
        <c:axPos val="b"/>
        <c:numFmt formatCode="General" sourceLinked="1"/>
        <c:majorTickMark val="out"/>
        <c:minorTickMark val="none"/>
        <c:tickLblPos val="nextTo"/>
        <c:crossAx val="120069863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1">
  <a:themeElements>
    <a:clrScheme name="Personalizzato 1">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C8DA91"/>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i">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Affidamento dei servizi di Trasporto Pubblico Locale   Ex Misure 4 e 6 dell’allegato A                                        alla Delibera ART 48/2017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CA5BCA-6C60-4B3A-A6C2-0D0C38579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144</Pages>
  <Words>46149</Words>
  <Characters>286302</Characters>
  <Application>Microsoft Office Word</Application>
  <DocSecurity>0</DocSecurity>
  <Lines>2385</Lines>
  <Paragraphs>663</Paragraphs>
  <ScaleCrop>false</ScaleCrop>
  <HeadingPairs>
    <vt:vector size="2" baseType="variant">
      <vt:variant>
        <vt:lpstr>Titolo</vt:lpstr>
      </vt:variant>
      <vt:variant>
        <vt:i4>1</vt:i4>
      </vt:variant>
    </vt:vector>
  </HeadingPairs>
  <TitlesOfParts>
    <vt:vector size="1" baseType="lpstr">
      <vt:lpstr>Relazione sui lotti di gara</vt:lpstr>
    </vt:vector>
  </TitlesOfParts>
  <Company>Agenzia della mobilità piemontese</Company>
  <LinksUpToDate>false</LinksUpToDate>
  <CharactersWithSpaces>331788</CharactersWithSpaces>
  <SharedDoc>false</SharedDoc>
  <HLinks>
    <vt:vector size="636" baseType="variant">
      <vt:variant>
        <vt:i4>1507407</vt:i4>
      </vt:variant>
      <vt:variant>
        <vt:i4>876</vt:i4>
      </vt:variant>
      <vt:variant>
        <vt:i4>0</vt:i4>
      </vt:variant>
      <vt:variant>
        <vt:i4>5</vt:i4>
      </vt:variant>
      <vt:variant>
        <vt:lpwstr>http://www.ampartecipa.mtm.torino.it/</vt:lpwstr>
      </vt:variant>
      <vt:variant>
        <vt:lpwstr/>
      </vt:variant>
      <vt:variant>
        <vt:i4>5439502</vt:i4>
      </vt:variant>
      <vt:variant>
        <vt:i4>870</vt:i4>
      </vt:variant>
      <vt:variant>
        <vt:i4>0</vt:i4>
      </vt:variant>
      <vt:variant>
        <vt:i4>5</vt:i4>
      </vt:variant>
      <vt:variant>
        <vt:lpwstr>https://mtm.torino.it/it/amministrazione-trasparente/bandi-di-gara-e-contratti/sistema-di-qualificazione-dei-concessionari-di-tpl/?download=11634</vt:lpwstr>
      </vt:variant>
      <vt:variant>
        <vt:lpwstr/>
      </vt:variant>
      <vt:variant>
        <vt:i4>5701733</vt:i4>
      </vt:variant>
      <vt:variant>
        <vt:i4>771</vt:i4>
      </vt:variant>
      <vt:variant>
        <vt:i4>0</vt:i4>
      </vt:variant>
      <vt:variant>
        <vt:i4>5</vt:i4>
      </vt:variant>
      <vt:variant>
        <vt:lpwstr>https://www.comune.fossano.cn.it/upload/Fossano_ecm10/delibere/14_225_44443.pdf</vt:lpwstr>
      </vt:variant>
      <vt:variant>
        <vt:lpwstr/>
      </vt:variant>
      <vt:variant>
        <vt:i4>1507445</vt:i4>
      </vt:variant>
      <vt:variant>
        <vt:i4>768</vt:i4>
      </vt:variant>
      <vt:variant>
        <vt:i4>0</vt:i4>
      </vt:variant>
      <vt:variant>
        <vt:i4>5</vt:i4>
      </vt:variant>
      <vt:variant>
        <vt:lpwstr>https://cuneo.soluzionipa.it/openweb/portal/getDoc.php?f=documenti/88610_DeliberadiGiunta_Original_1716372061.pdf.p7m&amp;CSRF=7b539fe68e950bce7fa64ae3a389db87</vt:lpwstr>
      </vt:variant>
      <vt:variant>
        <vt:lpwstr/>
      </vt:variant>
      <vt:variant>
        <vt:i4>6619172</vt:i4>
      </vt:variant>
      <vt:variant>
        <vt:i4>765</vt:i4>
      </vt:variant>
      <vt:variant>
        <vt:i4>0</vt:i4>
      </vt:variant>
      <vt:variant>
        <vt:i4>5</vt:i4>
      </vt:variant>
      <vt:variant>
        <vt:lpwstr>https://www.comune.savigliano.cn.it/webDELIBERE/GetFile.aspx?ID=KejQei1Da60HxdhXDbRRXF0G809fDhDSl_e4VGHkh_bSHZ-m2pa7uA</vt:lpwstr>
      </vt:variant>
      <vt:variant>
        <vt:lpwstr/>
      </vt:variant>
      <vt:variant>
        <vt:i4>1835108</vt:i4>
      </vt:variant>
      <vt:variant>
        <vt:i4>762</vt:i4>
      </vt:variant>
      <vt:variant>
        <vt:i4>0</vt:i4>
      </vt:variant>
      <vt:variant>
        <vt:i4>5</vt:i4>
      </vt:variant>
      <vt:variant>
        <vt:lpwstr>https://saluzzo.sipalinformatica.it/atti/GetFile.aspx?ID_ALLE=KejQei1Da60HxdhXDbRRXDvW3vP23dXjfVyjzOnRRpHsBj9vglphvg</vt:lpwstr>
      </vt:variant>
      <vt:variant>
        <vt:lpwstr/>
      </vt:variant>
      <vt:variant>
        <vt:i4>6160481</vt:i4>
      </vt:variant>
      <vt:variant>
        <vt:i4>759</vt:i4>
      </vt:variant>
      <vt:variant>
        <vt:i4>0</vt:i4>
      </vt:variant>
      <vt:variant>
        <vt:i4>5</vt:i4>
      </vt:variant>
      <vt:variant>
        <vt:lpwstr>https://www.comune.fossano.cn.it/servizi/delibere/ricerca_fase03.aspx?ID=37003</vt:lpwstr>
      </vt:variant>
      <vt:variant>
        <vt:lpwstr/>
      </vt:variant>
      <vt:variant>
        <vt:i4>3473519</vt:i4>
      </vt:variant>
      <vt:variant>
        <vt:i4>756</vt:i4>
      </vt:variant>
      <vt:variant>
        <vt:i4>0</vt:i4>
      </vt:variant>
      <vt:variant>
        <vt:i4>5</vt:i4>
      </vt:variant>
      <vt:variant>
        <vt:lpwstr>https://cuneo.soluzionipa.it/openweb/pratiche/dett_registri.php?id=88964&amp;codEstr=P_OP&amp;CSRF=7baf3f1c98ca71120bc7628f4dad3e95</vt:lpwstr>
      </vt:variant>
      <vt:variant>
        <vt:lpwstr/>
      </vt:variant>
      <vt:variant>
        <vt:i4>7012402</vt:i4>
      </vt:variant>
      <vt:variant>
        <vt:i4>753</vt:i4>
      </vt:variant>
      <vt:variant>
        <vt:i4>0</vt:i4>
      </vt:variant>
      <vt:variant>
        <vt:i4>5</vt:i4>
      </vt:variant>
      <vt:variant>
        <vt:lpwstr>https://bra.trasparenza-valutazione-merito.it/web/trasparenza/papca-ap/-/papca/display/7357156</vt:lpwstr>
      </vt:variant>
      <vt:variant>
        <vt:lpwstr/>
      </vt:variant>
      <vt:variant>
        <vt:i4>7274574</vt:i4>
      </vt:variant>
      <vt:variant>
        <vt:i4>750</vt:i4>
      </vt:variant>
      <vt:variant>
        <vt:i4>0</vt:i4>
      </vt:variant>
      <vt:variant>
        <vt:i4>5</vt:i4>
      </vt:variant>
      <vt:variant>
        <vt:lpwstr>https://trasparenzaalba.maggiolicloud.it/atti/GetFile.aspx?ID_ALLE=KejQei1Da60HxdhXDbRRXOztKUwH84NuRsPLtDfdnDVyubKIpjT-Xg</vt:lpwstr>
      </vt:variant>
      <vt:variant>
        <vt:lpwstr/>
      </vt:variant>
      <vt:variant>
        <vt:i4>2490412</vt:i4>
      </vt:variant>
      <vt:variant>
        <vt:i4>678</vt:i4>
      </vt:variant>
      <vt:variant>
        <vt:i4>0</vt:i4>
      </vt:variant>
      <vt:variant>
        <vt:i4>5</vt:i4>
      </vt:variant>
      <vt:variant>
        <vt:lpwstr>https://ampartecipa.mtm.torino.it/processes/bacino-nordest/f/19/meetings/16</vt:lpwstr>
      </vt:variant>
      <vt:variant>
        <vt:lpwstr/>
      </vt:variant>
      <vt:variant>
        <vt:i4>6619168</vt:i4>
      </vt:variant>
      <vt:variant>
        <vt:i4>504</vt:i4>
      </vt:variant>
      <vt:variant>
        <vt:i4>0</vt:i4>
      </vt:variant>
      <vt:variant>
        <vt:i4>5</vt:i4>
      </vt:variant>
      <vt:variant>
        <vt:lpwstr>https://www.gazzettaufficiale.it/eli/id/2018/01/31/18G00013/sg</vt:lpwstr>
      </vt:variant>
      <vt:variant>
        <vt:lpwstr/>
      </vt:variant>
      <vt:variant>
        <vt:i4>7012384</vt:i4>
      </vt:variant>
      <vt:variant>
        <vt:i4>501</vt:i4>
      </vt:variant>
      <vt:variant>
        <vt:i4>0</vt:i4>
      </vt:variant>
      <vt:variant>
        <vt:i4>5</vt:i4>
      </vt:variant>
      <vt:variant>
        <vt:lpwstr>http://www.regione.piemonte.it/governo/bollettino/abbonati/2018/05/suppo1/00000003.htm</vt:lpwstr>
      </vt:variant>
      <vt:variant>
        <vt:lpwstr/>
      </vt:variant>
      <vt:variant>
        <vt:i4>6684695</vt:i4>
      </vt:variant>
      <vt:variant>
        <vt:i4>498</vt:i4>
      </vt:variant>
      <vt:variant>
        <vt:i4>0</vt:i4>
      </vt:variant>
      <vt:variant>
        <vt:i4>5</vt:i4>
      </vt:variant>
      <vt:variant>
        <vt:lpwstr>http://arianna.cr.piemonte.it/iterlegcoordweb/dettaglioLegge.do?urnLegge=urn:nir:regione.piemonte:legge:2000;1@2018-10-29</vt:lpwstr>
      </vt:variant>
      <vt:variant>
        <vt:lpwstr>art11-com1</vt:lpwstr>
      </vt:variant>
      <vt:variant>
        <vt:i4>1441841</vt:i4>
      </vt:variant>
      <vt:variant>
        <vt:i4>482</vt:i4>
      </vt:variant>
      <vt:variant>
        <vt:i4>0</vt:i4>
      </vt:variant>
      <vt:variant>
        <vt:i4>5</vt:i4>
      </vt:variant>
      <vt:variant>
        <vt:lpwstr/>
      </vt:variant>
      <vt:variant>
        <vt:lpwstr>_Toc193902330</vt:lpwstr>
      </vt:variant>
      <vt:variant>
        <vt:i4>1507377</vt:i4>
      </vt:variant>
      <vt:variant>
        <vt:i4>476</vt:i4>
      </vt:variant>
      <vt:variant>
        <vt:i4>0</vt:i4>
      </vt:variant>
      <vt:variant>
        <vt:i4>5</vt:i4>
      </vt:variant>
      <vt:variant>
        <vt:lpwstr/>
      </vt:variant>
      <vt:variant>
        <vt:lpwstr>_Toc193902329</vt:lpwstr>
      </vt:variant>
      <vt:variant>
        <vt:i4>1507377</vt:i4>
      </vt:variant>
      <vt:variant>
        <vt:i4>470</vt:i4>
      </vt:variant>
      <vt:variant>
        <vt:i4>0</vt:i4>
      </vt:variant>
      <vt:variant>
        <vt:i4>5</vt:i4>
      </vt:variant>
      <vt:variant>
        <vt:lpwstr/>
      </vt:variant>
      <vt:variant>
        <vt:lpwstr>_Toc193902328</vt:lpwstr>
      </vt:variant>
      <vt:variant>
        <vt:i4>1507377</vt:i4>
      </vt:variant>
      <vt:variant>
        <vt:i4>464</vt:i4>
      </vt:variant>
      <vt:variant>
        <vt:i4>0</vt:i4>
      </vt:variant>
      <vt:variant>
        <vt:i4>5</vt:i4>
      </vt:variant>
      <vt:variant>
        <vt:lpwstr/>
      </vt:variant>
      <vt:variant>
        <vt:lpwstr>_Toc193902327</vt:lpwstr>
      </vt:variant>
      <vt:variant>
        <vt:i4>1507377</vt:i4>
      </vt:variant>
      <vt:variant>
        <vt:i4>458</vt:i4>
      </vt:variant>
      <vt:variant>
        <vt:i4>0</vt:i4>
      </vt:variant>
      <vt:variant>
        <vt:i4>5</vt:i4>
      </vt:variant>
      <vt:variant>
        <vt:lpwstr/>
      </vt:variant>
      <vt:variant>
        <vt:lpwstr>_Toc193902326</vt:lpwstr>
      </vt:variant>
      <vt:variant>
        <vt:i4>1507377</vt:i4>
      </vt:variant>
      <vt:variant>
        <vt:i4>452</vt:i4>
      </vt:variant>
      <vt:variant>
        <vt:i4>0</vt:i4>
      </vt:variant>
      <vt:variant>
        <vt:i4>5</vt:i4>
      </vt:variant>
      <vt:variant>
        <vt:lpwstr/>
      </vt:variant>
      <vt:variant>
        <vt:lpwstr>_Toc193902325</vt:lpwstr>
      </vt:variant>
      <vt:variant>
        <vt:i4>1507377</vt:i4>
      </vt:variant>
      <vt:variant>
        <vt:i4>446</vt:i4>
      </vt:variant>
      <vt:variant>
        <vt:i4>0</vt:i4>
      </vt:variant>
      <vt:variant>
        <vt:i4>5</vt:i4>
      </vt:variant>
      <vt:variant>
        <vt:lpwstr/>
      </vt:variant>
      <vt:variant>
        <vt:lpwstr>_Toc193902324</vt:lpwstr>
      </vt:variant>
      <vt:variant>
        <vt:i4>1507377</vt:i4>
      </vt:variant>
      <vt:variant>
        <vt:i4>440</vt:i4>
      </vt:variant>
      <vt:variant>
        <vt:i4>0</vt:i4>
      </vt:variant>
      <vt:variant>
        <vt:i4>5</vt:i4>
      </vt:variant>
      <vt:variant>
        <vt:lpwstr/>
      </vt:variant>
      <vt:variant>
        <vt:lpwstr>_Toc193902323</vt:lpwstr>
      </vt:variant>
      <vt:variant>
        <vt:i4>1507377</vt:i4>
      </vt:variant>
      <vt:variant>
        <vt:i4>434</vt:i4>
      </vt:variant>
      <vt:variant>
        <vt:i4>0</vt:i4>
      </vt:variant>
      <vt:variant>
        <vt:i4>5</vt:i4>
      </vt:variant>
      <vt:variant>
        <vt:lpwstr/>
      </vt:variant>
      <vt:variant>
        <vt:lpwstr>_Toc193902322</vt:lpwstr>
      </vt:variant>
      <vt:variant>
        <vt:i4>1507377</vt:i4>
      </vt:variant>
      <vt:variant>
        <vt:i4>428</vt:i4>
      </vt:variant>
      <vt:variant>
        <vt:i4>0</vt:i4>
      </vt:variant>
      <vt:variant>
        <vt:i4>5</vt:i4>
      </vt:variant>
      <vt:variant>
        <vt:lpwstr/>
      </vt:variant>
      <vt:variant>
        <vt:lpwstr>_Toc193902321</vt:lpwstr>
      </vt:variant>
      <vt:variant>
        <vt:i4>1507377</vt:i4>
      </vt:variant>
      <vt:variant>
        <vt:i4>422</vt:i4>
      </vt:variant>
      <vt:variant>
        <vt:i4>0</vt:i4>
      </vt:variant>
      <vt:variant>
        <vt:i4>5</vt:i4>
      </vt:variant>
      <vt:variant>
        <vt:lpwstr/>
      </vt:variant>
      <vt:variant>
        <vt:lpwstr>_Toc193902320</vt:lpwstr>
      </vt:variant>
      <vt:variant>
        <vt:i4>1310769</vt:i4>
      </vt:variant>
      <vt:variant>
        <vt:i4>416</vt:i4>
      </vt:variant>
      <vt:variant>
        <vt:i4>0</vt:i4>
      </vt:variant>
      <vt:variant>
        <vt:i4>5</vt:i4>
      </vt:variant>
      <vt:variant>
        <vt:lpwstr/>
      </vt:variant>
      <vt:variant>
        <vt:lpwstr>_Toc193902319</vt:lpwstr>
      </vt:variant>
      <vt:variant>
        <vt:i4>1310769</vt:i4>
      </vt:variant>
      <vt:variant>
        <vt:i4>410</vt:i4>
      </vt:variant>
      <vt:variant>
        <vt:i4>0</vt:i4>
      </vt:variant>
      <vt:variant>
        <vt:i4>5</vt:i4>
      </vt:variant>
      <vt:variant>
        <vt:lpwstr/>
      </vt:variant>
      <vt:variant>
        <vt:lpwstr>_Toc193902318</vt:lpwstr>
      </vt:variant>
      <vt:variant>
        <vt:i4>1310769</vt:i4>
      </vt:variant>
      <vt:variant>
        <vt:i4>404</vt:i4>
      </vt:variant>
      <vt:variant>
        <vt:i4>0</vt:i4>
      </vt:variant>
      <vt:variant>
        <vt:i4>5</vt:i4>
      </vt:variant>
      <vt:variant>
        <vt:lpwstr/>
      </vt:variant>
      <vt:variant>
        <vt:lpwstr>_Toc193902317</vt:lpwstr>
      </vt:variant>
      <vt:variant>
        <vt:i4>1310769</vt:i4>
      </vt:variant>
      <vt:variant>
        <vt:i4>398</vt:i4>
      </vt:variant>
      <vt:variant>
        <vt:i4>0</vt:i4>
      </vt:variant>
      <vt:variant>
        <vt:i4>5</vt:i4>
      </vt:variant>
      <vt:variant>
        <vt:lpwstr/>
      </vt:variant>
      <vt:variant>
        <vt:lpwstr>_Toc193902316</vt:lpwstr>
      </vt:variant>
      <vt:variant>
        <vt:i4>1310769</vt:i4>
      </vt:variant>
      <vt:variant>
        <vt:i4>392</vt:i4>
      </vt:variant>
      <vt:variant>
        <vt:i4>0</vt:i4>
      </vt:variant>
      <vt:variant>
        <vt:i4>5</vt:i4>
      </vt:variant>
      <vt:variant>
        <vt:lpwstr/>
      </vt:variant>
      <vt:variant>
        <vt:lpwstr>_Toc193902315</vt:lpwstr>
      </vt:variant>
      <vt:variant>
        <vt:i4>1310769</vt:i4>
      </vt:variant>
      <vt:variant>
        <vt:i4>386</vt:i4>
      </vt:variant>
      <vt:variant>
        <vt:i4>0</vt:i4>
      </vt:variant>
      <vt:variant>
        <vt:i4>5</vt:i4>
      </vt:variant>
      <vt:variant>
        <vt:lpwstr/>
      </vt:variant>
      <vt:variant>
        <vt:lpwstr>_Toc193902314</vt:lpwstr>
      </vt:variant>
      <vt:variant>
        <vt:i4>1310769</vt:i4>
      </vt:variant>
      <vt:variant>
        <vt:i4>380</vt:i4>
      </vt:variant>
      <vt:variant>
        <vt:i4>0</vt:i4>
      </vt:variant>
      <vt:variant>
        <vt:i4>5</vt:i4>
      </vt:variant>
      <vt:variant>
        <vt:lpwstr/>
      </vt:variant>
      <vt:variant>
        <vt:lpwstr>_Toc193902313</vt:lpwstr>
      </vt:variant>
      <vt:variant>
        <vt:i4>1310769</vt:i4>
      </vt:variant>
      <vt:variant>
        <vt:i4>374</vt:i4>
      </vt:variant>
      <vt:variant>
        <vt:i4>0</vt:i4>
      </vt:variant>
      <vt:variant>
        <vt:i4>5</vt:i4>
      </vt:variant>
      <vt:variant>
        <vt:lpwstr/>
      </vt:variant>
      <vt:variant>
        <vt:lpwstr>_Toc193902312</vt:lpwstr>
      </vt:variant>
      <vt:variant>
        <vt:i4>1310769</vt:i4>
      </vt:variant>
      <vt:variant>
        <vt:i4>368</vt:i4>
      </vt:variant>
      <vt:variant>
        <vt:i4>0</vt:i4>
      </vt:variant>
      <vt:variant>
        <vt:i4>5</vt:i4>
      </vt:variant>
      <vt:variant>
        <vt:lpwstr/>
      </vt:variant>
      <vt:variant>
        <vt:lpwstr>_Toc193902311</vt:lpwstr>
      </vt:variant>
      <vt:variant>
        <vt:i4>1310769</vt:i4>
      </vt:variant>
      <vt:variant>
        <vt:i4>362</vt:i4>
      </vt:variant>
      <vt:variant>
        <vt:i4>0</vt:i4>
      </vt:variant>
      <vt:variant>
        <vt:i4>5</vt:i4>
      </vt:variant>
      <vt:variant>
        <vt:lpwstr/>
      </vt:variant>
      <vt:variant>
        <vt:lpwstr>_Toc193902310</vt:lpwstr>
      </vt:variant>
      <vt:variant>
        <vt:i4>1376305</vt:i4>
      </vt:variant>
      <vt:variant>
        <vt:i4>356</vt:i4>
      </vt:variant>
      <vt:variant>
        <vt:i4>0</vt:i4>
      </vt:variant>
      <vt:variant>
        <vt:i4>5</vt:i4>
      </vt:variant>
      <vt:variant>
        <vt:lpwstr/>
      </vt:variant>
      <vt:variant>
        <vt:lpwstr>_Toc193902309</vt:lpwstr>
      </vt:variant>
      <vt:variant>
        <vt:i4>1376305</vt:i4>
      </vt:variant>
      <vt:variant>
        <vt:i4>350</vt:i4>
      </vt:variant>
      <vt:variant>
        <vt:i4>0</vt:i4>
      </vt:variant>
      <vt:variant>
        <vt:i4>5</vt:i4>
      </vt:variant>
      <vt:variant>
        <vt:lpwstr/>
      </vt:variant>
      <vt:variant>
        <vt:lpwstr>_Toc193902308</vt:lpwstr>
      </vt:variant>
      <vt:variant>
        <vt:i4>1376305</vt:i4>
      </vt:variant>
      <vt:variant>
        <vt:i4>344</vt:i4>
      </vt:variant>
      <vt:variant>
        <vt:i4>0</vt:i4>
      </vt:variant>
      <vt:variant>
        <vt:i4>5</vt:i4>
      </vt:variant>
      <vt:variant>
        <vt:lpwstr/>
      </vt:variant>
      <vt:variant>
        <vt:lpwstr>_Toc193902307</vt:lpwstr>
      </vt:variant>
      <vt:variant>
        <vt:i4>1376305</vt:i4>
      </vt:variant>
      <vt:variant>
        <vt:i4>338</vt:i4>
      </vt:variant>
      <vt:variant>
        <vt:i4>0</vt:i4>
      </vt:variant>
      <vt:variant>
        <vt:i4>5</vt:i4>
      </vt:variant>
      <vt:variant>
        <vt:lpwstr/>
      </vt:variant>
      <vt:variant>
        <vt:lpwstr>_Toc193902306</vt:lpwstr>
      </vt:variant>
      <vt:variant>
        <vt:i4>1376305</vt:i4>
      </vt:variant>
      <vt:variant>
        <vt:i4>332</vt:i4>
      </vt:variant>
      <vt:variant>
        <vt:i4>0</vt:i4>
      </vt:variant>
      <vt:variant>
        <vt:i4>5</vt:i4>
      </vt:variant>
      <vt:variant>
        <vt:lpwstr/>
      </vt:variant>
      <vt:variant>
        <vt:lpwstr>_Toc193902305</vt:lpwstr>
      </vt:variant>
      <vt:variant>
        <vt:i4>1376305</vt:i4>
      </vt:variant>
      <vt:variant>
        <vt:i4>326</vt:i4>
      </vt:variant>
      <vt:variant>
        <vt:i4>0</vt:i4>
      </vt:variant>
      <vt:variant>
        <vt:i4>5</vt:i4>
      </vt:variant>
      <vt:variant>
        <vt:lpwstr/>
      </vt:variant>
      <vt:variant>
        <vt:lpwstr>_Toc193902304</vt:lpwstr>
      </vt:variant>
      <vt:variant>
        <vt:i4>1376305</vt:i4>
      </vt:variant>
      <vt:variant>
        <vt:i4>320</vt:i4>
      </vt:variant>
      <vt:variant>
        <vt:i4>0</vt:i4>
      </vt:variant>
      <vt:variant>
        <vt:i4>5</vt:i4>
      </vt:variant>
      <vt:variant>
        <vt:lpwstr/>
      </vt:variant>
      <vt:variant>
        <vt:lpwstr>_Toc193902303</vt:lpwstr>
      </vt:variant>
      <vt:variant>
        <vt:i4>1376305</vt:i4>
      </vt:variant>
      <vt:variant>
        <vt:i4>314</vt:i4>
      </vt:variant>
      <vt:variant>
        <vt:i4>0</vt:i4>
      </vt:variant>
      <vt:variant>
        <vt:i4>5</vt:i4>
      </vt:variant>
      <vt:variant>
        <vt:lpwstr/>
      </vt:variant>
      <vt:variant>
        <vt:lpwstr>_Toc193902302</vt:lpwstr>
      </vt:variant>
      <vt:variant>
        <vt:i4>1376305</vt:i4>
      </vt:variant>
      <vt:variant>
        <vt:i4>308</vt:i4>
      </vt:variant>
      <vt:variant>
        <vt:i4>0</vt:i4>
      </vt:variant>
      <vt:variant>
        <vt:i4>5</vt:i4>
      </vt:variant>
      <vt:variant>
        <vt:lpwstr/>
      </vt:variant>
      <vt:variant>
        <vt:lpwstr>_Toc193902301</vt:lpwstr>
      </vt:variant>
      <vt:variant>
        <vt:i4>1376305</vt:i4>
      </vt:variant>
      <vt:variant>
        <vt:i4>302</vt:i4>
      </vt:variant>
      <vt:variant>
        <vt:i4>0</vt:i4>
      </vt:variant>
      <vt:variant>
        <vt:i4>5</vt:i4>
      </vt:variant>
      <vt:variant>
        <vt:lpwstr/>
      </vt:variant>
      <vt:variant>
        <vt:lpwstr>_Toc193902300</vt:lpwstr>
      </vt:variant>
      <vt:variant>
        <vt:i4>1835056</vt:i4>
      </vt:variant>
      <vt:variant>
        <vt:i4>296</vt:i4>
      </vt:variant>
      <vt:variant>
        <vt:i4>0</vt:i4>
      </vt:variant>
      <vt:variant>
        <vt:i4>5</vt:i4>
      </vt:variant>
      <vt:variant>
        <vt:lpwstr/>
      </vt:variant>
      <vt:variant>
        <vt:lpwstr>_Toc193902299</vt:lpwstr>
      </vt:variant>
      <vt:variant>
        <vt:i4>1835056</vt:i4>
      </vt:variant>
      <vt:variant>
        <vt:i4>290</vt:i4>
      </vt:variant>
      <vt:variant>
        <vt:i4>0</vt:i4>
      </vt:variant>
      <vt:variant>
        <vt:i4>5</vt:i4>
      </vt:variant>
      <vt:variant>
        <vt:lpwstr/>
      </vt:variant>
      <vt:variant>
        <vt:lpwstr>_Toc193902298</vt:lpwstr>
      </vt:variant>
      <vt:variant>
        <vt:i4>1835056</vt:i4>
      </vt:variant>
      <vt:variant>
        <vt:i4>284</vt:i4>
      </vt:variant>
      <vt:variant>
        <vt:i4>0</vt:i4>
      </vt:variant>
      <vt:variant>
        <vt:i4>5</vt:i4>
      </vt:variant>
      <vt:variant>
        <vt:lpwstr/>
      </vt:variant>
      <vt:variant>
        <vt:lpwstr>_Toc193902297</vt:lpwstr>
      </vt:variant>
      <vt:variant>
        <vt:i4>1835056</vt:i4>
      </vt:variant>
      <vt:variant>
        <vt:i4>278</vt:i4>
      </vt:variant>
      <vt:variant>
        <vt:i4>0</vt:i4>
      </vt:variant>
      <vt:variant>
        <vt:i4>5</vt:i4>
      </vt:variant>
      <vt:variant>
        <vt:lpwstr/>
      </vt:variant>
      <vt:variant>
        <vt:lpwstr>_Toc193902296</vt:lpwstr>
      </vt:variant>
      <vt:variant>
        <vt:i4>1835056</vt:i4>
      </vt:variant>
      <vt:variant>
        <vt:i4>272</vt:i4>
      </vt:variant>
      <vt:variant>
        <vt:i4>0</vt:i4>
      </vt:variant>
      <vt:variant>
        <vt:i4>5</vt:i4>
      </vt:variant>
      <vt:variant>
        <vt:lpwstr/>
      </vt:variant>
      <vt:variant>
        <vt:lpwstr>_Toc193902295</vt:lpwstr>
      </vt:variant>
      <vt:variant>
        <vt:i4>1835056</vt:i4>
      </vt:variant>
      <vt:variant>
        <vt:i4>266</vt:i4>
      </vt:variant>
      <vt:variant>
        <vt:i4>0</vt:i4>
      </vt:variant>
      <vt:variant>
        <vt:i4>5</vt:i4>
      </vt:variant>
      <vt:variant>
        <vt:lpwstr/>
      </vt:variant>
      <vt:variant>
        <vt:lpwstr>_Toc193902294</vt:lpwstr>
      </vt:variant>
      <vt:variant>
        <vt:i4>1835056</vt:i4>
      </vt:variant>
      <vt:variant>
        <vt:i4>260</vt:i4>
      </vt:variant>
      <vt:variant>
        <vt:i4>0</vt:i4>
      </vt:variant>
      <vt:variant>
        <vt:i4>5</vt:i4>
      </vt:variant>
      <vt:variant>
        <vt:lpwstr/>
      </vt:variant>
      <vt:variant>
        <vt:lpwstr>_Toc193902293</vt:lpwstr>
      </vt:variant>
      <vt:variant>
        <vt:i4>1835056</vt:i4>
      </vt:variant>
      <vt:variant>
        <vt:i4>254</vt:i4>
      </vt:variant>
      <vt:variant>
        <vt:i4>0</vt:i4>
      </vt:variant>
      <vt:variant>
        <vt:i4>5</vt:i4>
      </vt:variant>
      <vt:variant>
        <vt:lpwstr/>
      </vt:variant>
      <vt:variant>
        <vt:lpwstr>_Toc193902292</vt:lpwstr>
      </vt:variant>
      <vt:variant>
        <vt:i4>1835056</vt:i4>
      </vt:variant>
      <vt:variant>
        <vt:i4>248</vt:i4>
      </vt:variant>
      <vt:variant>
        <vt:i4>0</vt:i4>
      </vt:variant>
      <vt:variant>
        <vt:i4>5</vt:i4>
      </vt:variant>
      <vt:variant>
        <vt:lpwstr/>
      </vt:variant>
      <vt:variant>
        <vt:lpwstr>_Toc193902291</vt:lpwstr>
      </vt:variant>
      <vt:variant>
        <vt:i4>1835056</vt:i4>
      </vt:variant>
      <vt:variant>
        <vt:i4>242</vt:i4>
      </vt:variant>
      <vt:variant>
        <vt:i4>0</vt:i4>
      </vt:variant>
      <vt:variant>
        <vt:i4>5</vt:i4>
      </vt:variant>
      <vt:variant>
        <vt:lpwstr/>
      </vt:variant>
      <vt:variant>
        <vt:lpwstr>_Toc193902290</vt:lpwstr>
      </vt:variant>
      <vt:variant>
        <vt:i4>1900592</vt:i4>
      </vt:variant>
      <vt:variant>
        <vt:i4>236</vt:i4>
      </vt:variant>
      <vt:variant>
        <vt:i4>0</vt:i4>
      </vt:variant>
      <vt:variant>
        <vt:i4>5</vt:i4>
      </vt:variant>
      <vt:variant>
        <vt:lpwstr/>
      </vt:variant>
      <vt:variant>
        <vt:lpwstr>_Toc193902289</vt:lpwstr>
      </vt:variant>
      <vt:variant>
        <vt:i4>1900592</vt:i4>
      </vt:variant>
      <vt:variant>
        <vt:i4>230</vt:i4>
      </vt:variant>
      <vt:variant>
        <vt:i4>0</vt:i4>
      </vt:variant>
      <vt:variant>
        <vt:i4>5</vt:i4>
      </vt:variant>
      <vt:variant>
        <vt:lpwstr/>
      </vt:variant>
      <vt:variant>
        <vt:lpwstr>_Toc193902288</vt:lpwstr>
      </vt:variant>
      <vt:variant>
        <vt:i4>1900592</vt:i4>
      </vt:variant>
      <vt:variant>
        <vt:i4>224</vt:i4>
      </vt:variant>
      <vt:variant>
        <vt:i4>0</vt:i4>
      </vt:variant>
      <vt:variant>
        <vt:i4>5</vt:i4>
      </vt:variant>
      <vt:variant>
        <vt:lpwstr/>
      </vt:variant>
      <vt:variant>
        <vt:lpwstr>_Toc193902287</vt:lpwstr>
      </vt:variant>
      <vt:variant>
        <vt:i4>1900592</vt:i4>
      </vt:variant>
      <vt:variant>
        <vt:i4>218</vt:i4>
      </vt:variant>
      <vt:variant>
        <vt:i4>0</vt:i4>
      </vt:variant>
      <vt:variant>
        <vt:i4>5</vt:i4>
      </vt:variant>
      <vt:variant>
        <vt:lpwstr/>
      </vt:variant>
      <vt:variant>
        <vt:lpwstr>_Toc193902286</vt:lpwstr>
      </vt:variant>
      <vt:variant>
        <vt:i4>1900592</vt:i4>
      </vt:variant>
      <vt:variant>
        <vt:i4>212</vt:i4>
      </vt:variant>
      <vt:variant>
        <vt:i4>0</vt:i4>
      </vt:variant>
      <vt:variant>
        <vt:i4>5</vt:i4>
      </vt:variant>
      <vt:variant>
        <vt:lpwstr/>
      </vt:variant>
      <vt:variant>
        <vt:lpwstr>_Toc193902285</vt:lpwstr>
      </vt:variant>
      <vt:variant>
        <vt:i4>1900592</vt:i4>
      </vt:variant>
      <vt:variant>
        <vt:i4>206</vt:i4>
      </vt:variant>
      <vt:variant>
        <vt:i4>0</vt:i4>
      </vt:variant>
      <vt:variant>
        <vt:i4>5</vt:i4>
      </vt:variant>
      <vt:variant>
        <vt:lpwstr/>
      </vt:variant>
      <vt:variant>
        <vt:lpwstr>_Toc193902284</vt:lpwstr>
      </vt:variant>
      <vt:variant>
        <vt:i4>1900592</vt:i4>
      </vt:variant>
      <vt:variant>
        <vt:i4>200</vt:i4>
      </vt:variant>
      <vt:variant>
        <vt:i4>0</vt:i4>
      </vt:variant>
      <vt:variant>
        <vt:i4>5</vt:i4>
      </vt:variant>
      <vt:variant>
        <vt:lpwstr/>
      </vt:variant>
      <vt:variant>
        <vt:lpwstr>_Toc193902283</vt:lpwstr>
      </vt:variant>
      <vt:variant>
        <vt:i4>1900592</vt:i4>
      </vt:variant>
      <vt:variant>
        <vt:i4>194</vt:i4>
      </vt:variant>
      <vt:variant>
        <vt:i4>0</vt:i4>
      </vt:variant>
      <vt:variant>
        <vt:i4>5</vt:i4>
      </vt:variant>
      <vt:variant>
        <vt:lpwstr/>
      </vt:variant>
      <vt:variant>
        <vt:lpwstr>_Toc193902282</vt:lpwstr>
      </vt:variant>
      <vt:variant>
        <vt:i4>1900592</vt:i4>
      </vt:variant>
      <vt:variant>
        <vt:i4>188</vt:i4>
      </vt:variant>
      <vt:variant>
        <vt:i4>0</vt:i4>
      </vt:variant>
      <vt:variant>
        <vt:i4>5</vt:i4>
      </vt:variant>
      <vt:variant>
        <vt:lpwstr/>
      </vt:variant>
      <vt:variant>
        <vt:lpwstr>_Toc193902281</vt:lpwstr>
      </vt:variant>
      <vt:variant>
        <vt:i4>1900592</vt:i4>
      </vt:variant>
      <vt:variant>
        <vt:i4>182</vt:i4>
      </vt:variant>
      <vt:variant>
        <vt:i4>0</vt:i4>
      </vt:variant>
      <vt:variant>
        <vt:i4>5</vt:i4>
      </vt:variant>
      <vt:variant>
        <vt:lpwstr/>
      </vt:variant>
      <vt:variant>
        <vt:lpwstr>_Toc193902280</vt:lpwstr>
      </vt:variant>
      <vt:variant>
        <vt:i4>1179696</vt:i4>
      </vt:variant>
      <vt:variant>
        <vt:i4>176</vt:i4>
      </vt:variant>
      <vt:variant>
        <vt:i4>0</vt:i4>
      </vt:variant>
      <vt:variant>
        <vt:i4>5</vt:i4>
      </vt:variant>
      <vt:variant>
        <vt:lpwstr/>
      </vt:variant>
      <vt:variant>
        <vt:lpwstr>_Toc193902279</vt:lpwstr>
      </vt:variant>
      <vt:variant>
        <vt:i4>1179696</vt:i4>
      </vt:variant>
      <vt:variant>
        <vt:i4>170</vt:i4>
      </vt:variant>
      <vt:variant>
        <vt:i4>0</vt:i4>
      </vt:variant>
      <vt:variant>
        <vt:i4>5</vt:i4>
      </vt:variant>
      <vt:variant>
        <vt:lpwstr/>
      </vt:variant>
      <vt:variant>
        <vt:lpwstr>_Toc193902278</vt:lpwstr>
      </vt:variant>
      <vt:variant>
        <vt:i4>1179696</vt:i4>
      </vt:variant>
      <vt:variant>
        <vt:i4>164</vt:i4>
      </vt:variant>
      <vt:variant>
        <vt:i4>0</vt:i4>
      </vt:variant>
      <vt:variant>
        <vt:i4>5</vt:i4>
      </vt:variant>
      <vt:variant>
        <vt:lpwstr/>
      </vt:variant>
      <vt:variant>
        <vt:lpwstr>_Toc193902277</vt:lpwstr>
      </vt:variant>
      <vt:variant>
        <vt:i4>1179696</vt:i4>
      </vt:variant>
      <vt:variant>
        <vt:i4>158</vt:i4>
      </vt:variant>
      <vt:variant>
        <vt:i4>0</vt:i4>
      </vt:variant>
      <vt:variant>
        <vt:i4>5</vt:i4>
      </vt:variant>
      <vt:variant>
        <vt:lpwstr/>
      </vt:variant>
      <vt:variant>
        <vt:lpwstr>_Toc193902276</vt:lpwstr>
      </vt:variant>
      <vt:variant>
        <vt:i4>1179696</vt:i4>
      </vt:variant>
      <vt:variant>
        <vt:i4>152</vt:i4>
      </vt:variant>
      <vt:variant>
        <vt:i4>0</vt:i4>
      </vt:variant>
      <vt:variant>
        <vt:i4>5</vt:i4>
      </vt:variant>
      <vt:variant>
        <vt:lpwstr/>
      </vt:variant>
      <vt:variant>
        <vt:lpwstr>_Toc193902275</vt:lpwstr>
      </vt:variant>
      <vt:variant>
        <vt:i4>1179696</vt:i4>
      </vt:variant>
      <vt:variant>
        <vt:i4>146</vt:i4>
      </vt:variant>
      <vt:variant>
        <vt:i4>0</vt:i4>
      </vt:variant>
      <vt:variant>
        <vt:i4>5</vt:i4>
      </vt:variant>
      <vt:variant>
        <vt:lpwstr/>
      </vt:variant>
      <vt:variant>
        <vt:lpwstr>_Toc193902274</vt:lpwstr>
      </vt:variant>
      <vt:variant>
        <vt:i4>1179696</vt:i4>
      </vt:variant>
      <vt:variant>
        <vt:i4>140</vt:i4>
      </vt:variant>
      <vt:variant>
        <vt:i4>0</vt:i4>
      </vt:variant>
      <vt:variant>
        <vt:i4>5</vt:i4>
      </vt:variant>
      <vt:variant>
        <vt:lpwstr/>
      </vt:variant>
      <vt:variant>
        <vt:lpwstr>_Toc193902273</vt:lpwstr>
      </vt:variant>
      <vt:variant>
        <vt:i4>1179696</vt:i4>
      </vt:variant>
      <vt:variant>
        <vt:i4>134</vt:i4>
      </vt:variant>
      <vt:variant>
        <vt:i4>0</vt:i4>
      </vt:variant>
      <vt:variant>
        <vt:i4>5</vt:i4>
      </vt:variant>
      <vt:variant>
        <vt:lpwstr/>
      </vt:variant>
      <vt:variant>
        <vt:lpwstr>_Toc193902272</vt:lpwstr>
      </vt:variant>
      <vt:variant>
        <vt:i4>1179696</vt:i4>
      </vt:variant>
      <vt:variant>
        <vt:i4>128</vt:i4>
      </vt:variant>
      <vt:variant>
        <vt:i4>0</vt:i4>
      </vt:variant>
      <vt:variant>
        <vt:i4>5</vt:i4>
      </vt:variant>
      <vt:variant>
        <vt:lpwstr/>
      </vt:variant>
      <vt:variant>
        <vt:lpwstr>_Toc193902271</vt:lpwstr>
      </vt:variant>
      <vt:variant>
        <vt:i4>1179696</vt:i4>
      </vt:variant>
      <vt:variant>
        <vt:i4>122</vt:i4>
      </vt:variant>
      <vt:variant>
        <vt:i4>0</vt:i4>
      </vt:variant>
      <vt:variant>
        <vt:i4>5</vt:i4>
      </vt:variant>
      <vt:variant>
        <vt:lpwstr/>
      </vt:variant>
      <vt:variant>
        <vt:lpwstr>_Toc193902270</vt:lpwstr>
      </vt:variant>
      <vt:variant>
        <vt:i4>1245232</vt:i4>
      </vt:variant>
      <vt:variant>
        <vt:i4>116</vt:i4>
      </vt:variant>
      <vt:variant>
        <vt:i4>0</vt:i4>
      </vt:variant>
      <vt:variant>
        <vt:i4>5</vt:i4>
      </vt:variant>
      <vt:variant>
        <vt:lpwstr/>
      </vt:variant>
      <vt:variant>
        <vt:lpwstr>_Toc193902269</vt:lpwstr>
      </vt:variant>
      <vt:variant>
        <vt:i4>1245232</vt:i4>
      </vt:variant>
      <vt:variant>
        <vt:i4>110</vt:i4>
      </vt:variant>
      <vt:variant>
        <vt:i4>0</vt:i4>
      </vt:variant>
      <vt:variant>
        <vt:i4>5</vt:i4>
      </vt:variant>
      <vt:variant>
        <vt:lpwstr/>
      </vt:variant>
      <vt:variant>
        <vt:lpwstr>_Toc193902268</vt:lpwstr>
      </vt:variant>
      <vt:variant>
        <vt:i4>1245232</vt:i4>
      </vt:variant>
      <vt:variant>
        <vt:i4>104</vt:i4>
      </vt:variant>
      <vt:variant>
        <vt:i4>0</vt:i4>
      </vt:variant>
      <vt:variant>
        <vt:i4>5</vt:i4>
      </vt:variant>
      <vt:variant>
        <vt:lpwstr/>
      </vt:variant>
      <vt:variant>
        <vt:lpwstr>_Toc193902267</vt:lpwstr>
      </vt:variant>
      <vt:variant>
        <vt:i4>1245232</vt:i4>
      </vt:variant>
      <vt:variant>
        <vt:i4>98</vt:i4>
      </vt:variant>
      <vt:variant>
        <vt:i4>0</vt:i4>
      </vt:variant>
      <vt:variant>
        <vt:i4>5</vt:i4>
      </vt:variant>
      <vt:variant>
        <vt:lpwstr/>
      </vt:variant>
      <vt:variant>
        <vt:lpwstr>_Toc193902266</vt:lpwstr>
      </vt:variant>
      <vt:variant>
        <vt:i4>1245232</vt:i4>
      </vt:variant>
      <vt:variant>
        <vt:i4>92</vt:i4>
      </vt:variant>
      <vt:variant>
        <vt:i4>0</vt:i4>
      </vt:variant>
      <vt:variant>
        <vt:i4>5</vt:i4>
      </vt:variant>
      <vt:variant>
        <vt:lpwstr/>
      </vt:variant>
      <vt:variant>
        <vt:lpwstr>_Toc193902265</vt:lpwstr>
      </vt:variant>
      <vt:variant>
        <vt:i4>1245232</vt:i4>
      </vt:variant>
      <vt:variant>
        <vt:i4>86</vt:i4>
      </vt:variant>
      <vt:variant>
        <vt:i4>0</vt:i4>
      </vt:variant>
      <vt:variant>
        <vt:i4>5</vt:i4>
      </vt:variant>
      <vt:variant>
        <vt:lpwstr/>
      </vt:variant>
      <vt:variant>
        <vt:lpwstr>_Toc193902264</vt:lpwstr>
      </vt:variant>
      <vt:variant>
        <vt:i4>1245232</vt:i4>
      </vt:variant>
      <vt:variant>
        <vt:i4>80</vt:i4>
      </vt:variant>
      <vt:variant>
        <vt:i4>0</vt:i4>
      </vt:variant>
      <vt:variant>
        <vt:i4>5</vt:i4>
      </vt:variant>
      <vt:variant>
        <vt:lpwstr/>
      </vt:variant>
      <vt:variant>
        <vt:lpwstr>_Toc193902263</vt:lpwstr>
      </vt:variant>
      <vt:variant>
        <vt:i4>1245232</vt:i4>
      </vt:variant>
      <vt:variant>
        <vt:i4>74</vt:i4>
      </vt:variant>
      <vt:variant>
        <vt:i4>0</vt:i4>
      </vt:variant>
      <vt:variant>
        <vt:i4>5</vt:i4>
      </vt:variant>
      <vt:variant>
        <vt:lpwstr/>
      </vt:variant>
      <vt:variant>
        <vt:lpwstr>_Toc193902262</vt:lpwstr>
      </vt:variant>
      <vt:variant>
        <vt:i4>1245232</vt:i4>
      </vt:variant>
      <vt:variant>
        <vt:i4>68</vt:i4>
      </vt:variant>
      <vt:variant>
        <vt:i4>0</vt:i4>
      </vt:variant>
      <vt:variant>
        <vt:i4>5</vt:i4>
      </vt:variant>
      <vt:variant>
        <vt:lpwstr/>
      </vt:variant>
      <vt:variant>
        <vt:lpwstr>_Toc193902261</vt:lpwstr>
      </vt:variant>
      <vt:variant>
        <vt:i4>1245232</vt:i4>
      </vt:variant>
      <vt:variant>
        <vt:i4>62</vt:i4>
      </vt:variant>
      <vt:variant>
        <vt:i4>0</vt:i4>
      </vt:variant>
      <vt:variant>
        <vt:i4>5</vt:i4>
      </vt:variant>
      <vt:variant>
        <vt:lpwstr/>
      </vt:variant>
      <vt:variant>
        <vt:lpwstr>_Toc193902260</vt:lpwstr>
      </vt:variant>
      <vt:variant>
        <vt:i4>1048624</vt:i4>
      </vt:variant>
      <vt:variant>
        <vt:i4>56</vt:i4>
      </vt:variant>
      <vt:variant>
        <vt:i4>0</vt:i4>
      </vt:variant>
      <vt:variant>
        <vt:i4>5</vt:i4>
      </vt:variant>
      <vt:variant>
        <vt:lpwstr/>
      </vt:variant>
      <vt:variant>
        <vt:lpwstr>_Toc193902259</vt:lpwstr>
      </vt:variant>
      <vt:variant>
        <vt:i4>1048624</vt:i4>
      </vt:variant>
      <vt:variant>
        <vt:i4>50</vt:i4>
      </vt:variant>
      <vt:variant>
        <vt:i4>0</vt:i4>
      </vt:variant>
      <vt:variant>
        <vt:i4>5</vt:i4>
      </vt:variant>
      <vt:variant>
        <vt:lpwstr/>
      </vt:variant>
      <vt:variant>
        <vt:lpwstr>_Toc193902258</vt:lpwstr>
      </vt:variant>
      <vt:variant>
        <vt:i4>1048624</vt:i4>
      </vt:variant>
      <vt:variant>
        <vt:i4>44</vt:i4>
      </vt:variant>
      <vt:variant>
        <vt:i4>0</vt:i4>
      </vt:variant>
      <vt:variant>
        <vt:i4>5</vt:i4>
      </vt:variant>
      <vt:variant>
        <vt:lpwstr/>
      </vt:variant>
      <vt:variant>
        <vt:lpwstr>_Toc193902257</vt:lpwstr>
      </vt:variant>
      <vt:variant>
        <vt:i4>1048624</vt:i4>
      </vt:variant>
      <vt:variant>
        <vt:i4>38</vt:i4>
      </vt:variant>
      <vt:variant>
        <vt:i4>0</vt:i4>
      </vt:variant>
      <vt:variant>
        <vt:i4>5</vt:i4>
      </vt:variant>
      <vt:variant>
        <vt:lpwstr/>
      </vt:variant>
      <vt:variant>
        <vt:lpwstr>_Toc193902256</vt:lpwstr>
      </vt:variant>
      <vt:variant>
        <vt:i4>1048624</vt:i4>
      </vt:variant>
      <vt:variant>
        <vt:i4>32</vt:i4>
      </vt:variant>
      <vt:variant>
        <vt:i4>0</vt:i4>
      </vt:variant>
      <vt:variant>
        <vt:i4>5</vt:i4>
      </vt:variant>
      <vt:variant>
        <vt:lpwstr/>
      </vt:variant>
      <vt:variant>
        <vt:lpwstr>_Toc193902255</vt:lpwstr>
      </vt:variant>
      <vt:variant>
        <vt:i4>1048624</vt:i4>
      </vt:variant>
      <vt:variant>
        <vt:i4>26</vt:i4>
      </vt:variant>
      <vt:variant>
        <vt:i4>0</vt:i4>
      </vt:variant>
      <vt:variant>
        <vt:i4>5</vt:i4>
      </vt:variant>
      <vt:variant>
        <vt:lpwstr/>
      </vt:variant>
      <vt:variant>
        <vt:lpwstr>_Toc193902254</vt:lpwstr>
      </vt:variant>
      <vt:variant>
        <vt:i4>1048624</vt:i4>
      </vt:variant>
      <vt:variant>
        <vt:i4>20</vt:i4>
      </vt:variant>
      <vt:variant>
        <vt:i4>0</vt:i4>
      </vt:variant>
      <vt:variant>
        <vt:i4>5</vt:i4>
      </vt:variant>
      <vt:variant>
        <vt:lpwstr/>
      </vt:variant>
      <vt:variant>
        <vt:lpwstr>_Toc193902253</vt:lpwstr>
      </vt:variant>
      <vt:variant>
        <vt:i4>1048624</vt:i4>
      </vt:variant>
      <vt:variant>
        <vt:i4>14</vt:i4>
      </vt:variant>
      <vt:variant>
        <vt:i4>0</vt:i4>
      </vt:variant>
      <vt:variant>
        <vt:i4>5</vt:i4>
      </vt:variant>
      <vt:variant>
        <vt:lpwstr/>
      </vt:variant>
      <vt:variant>
        <vt:lpwstr>_Toc193902252</vt:lpwstr>
      </vt:variant>
      <vt:variant>
        <vt:i4>1048624</vt:i4>
      </vt:variant>
      <vt:variant>
        <vt:i4>8</vt:i4>
      </vt:variant>
      <vt:variant>
        <vt:i4>0</vt:i4>
      </vt:variant>
      <vt:variant>
        <vt:i4>5</vt:i4>
      </vt:variant>
      <vt:variant>
        <vt:lpwstr/>
      </vt:variant>
      <vt:variant>
        <vt:lpwstr>_Toc193902251</vt:lpwstr>
      </vt:variant>
      <vt:variant>
        <vt:i4>1048624</vt:i4>
      </vt:variant>
      <vt:variant>
        <vt:i4>2</vt:i4>
      </vt:variant>
      <vt:variant>
        <vt:i4>0</vt:i4>
      </vt:variant>
      <vt:variant>
        <vt:i4>5</vt:i4>
      </vt:variant>
      <vt:variant>
        <vt:lpwstr/>
      </vt:variant>
      <vt:variant>
        <vt:lpwstr>_Toc193902250</vt:lpwstr>
      </vt:variant>
      <vt:variant>
        <vt:i4>589894</vt:i4>
      </vt:variant>
      <vt:variant>
        <vt:i4>30</vt:i4>
      </vt:variant>
      <vt:variant>
        <vt:i4>0</vt:i4>
      </vt:variant>
      <vt:variant>
        <vt:i4>5</vt:i4>
      </vt:variant>
      <vt:variant>
        <vt:lpwstr>https://ampartecipa.mtm.torino.it/processes/bacino-sud/f/43/posts/49</vt:lpwstr>
      </vt:variant>
      <vt:variant>
        <vt:lpwstr/>
      </vt:variant>
      <vt:variant>
        <vt:i4>65</vt:i4>
      </vt:variant>
      <vt:variant>
        <vt:i4>27</vt:i4>
      </vt:variant>
      <vt:variant>
        <vt:i4>0</vt:i4>
      </vt:variant>
      <vt:variant>
        <vt:i4>5</vt:i4>
      </vt:variant>
      <vt:variant>
        <vt:lpwstr>https://ampartecipa.mtm.torino.it/processes/bacino-sud/f/43/posts/30</vt:lpwstr>
      </vt:variant>
      <vt:variant>
        <vt:lpwstr/>
      </vt:variant>
      <vt:variant>
        <vt:i4>262212</vt:i4>
      </vt:variant>
      <vt:variant>
        <vt:i4>24</vt:i4>
      </vt:variant>
      <vt:variant>
        <vt:i4>0</vt:i4>
      </vt:variant>
      <vt:variant>
        <vt:i4>5</vt:i4>
      </vt:variant>
      <vt:variant>
        <vt:lpwstr>https://ampartecipa.mtm.torino.it/processes/bacino-sud/f/43/posts/64</vt:lpwstr>
      </vt:variant>
      <vt:variant>
        <vt:lpwstr/>
      </vt:variant>
      <vt:variant>
        <vt:i4>393284</vt:i4>
      </vt:variant>
      <vt:variant>
        <vt:i4>21</vt:i4>
      </vt:variant>
      <vt:variant>
        <vt:i4>0</vt:i4>
      </vt:variant>
      <vt:variant>
        <vt:i4>5</vt:i4>
      </vt:variant>
      <vt:variant>
        <vt:lpwstr>https://ampartecipa.mtm.torino.it/processes/bacino-sud/f/43/posts/66</vt:lpwstr>
      </vt:variant>
      <vt:variant>
        <vt:lpwstr/>
      </vt:variant>
      <vt:variant>
        <vt:i4>131143</vt:i4>
      </vt:variant>
      <vt:variant>
        <vt:i4>18</vt:i4>
      </vt:variant>
      <vt:variant>
        <vt:i4>0</vt:i4>
      </vt:variant>
      <vt:variant>
        <vt:i4>5</vt:i4>
      </vt:variant>
      <vt:variant>
        <vt:lpwstr>https://ampartecipa.mtm.torino.it/processes/bacino-sud/f/43/posts/52</vt:lpwstr>
      </vt:variant>
      <vt:variant>
        <vt:lpwstr/>
      </vt:variant>
      <vt:variant>
        <vt:i4>458820</vt:i4>
      </vt:variant>
      <vt:variant>
        <vt:i4>15</vt:i4>
      </vt:variant>
      <vt:variant>
        <vt:i4>0</vt:i4>
      </vt:variant>
      <vt:variant>
        <vt:i4>5</vt:i4>
      </vt:variant>
      <vt:variant>
        <vt:lpwstr>https://ampartecipa.mtm.torino.it/processes/bacino-sud/f/43/posts/67</vt:lpwstr>
      </vt:variant>
      <vt:variant>
        <vt:lpwstr/>
      </vt:variant>
      <vt:variant>
        <vt:i4>3932187</vt:i4>
      </vt:variant>
      <vt:variant>
        <vt:i4>12</vt:i4>
      </vt:variant>
      <vt:variant>
        <vt:i4>0</vt:i4>
      </vt:variant>
      <vt:variant>
        <vt:i4>5</vt:i4>
      </vt:variant>
      <vt:variant>
        <vt:lpwstr>https://www.dt.mef.gov.it/it/attivita_istituzionali/analisi_programmazione_economico_finanziaria/inflaz_programmata/</vt:lpwstr>
      </vt:variant>
      <vt:variant>
        <vt:lpwstr/>
      </vt:variant>
      <vt:variant>
        <vt:i4>4391023</vt:i4>
      </vt:variant>
      <vt:variant>
        <vt:i4>9</vt:i4>
      </vt:variant>
      <vt:variant>
        <vt:i4>0</vt:i4>
      </vt:variant>
      <vt:variant>
        <vt:i4>5</vt:i4>
      </vt:variant>
      <vt:variant>
        <vt:lpwstr>https://www.emta.com/wp-content/uploads/2021/12/rebelgroup_report.pdf</vt:lpwstr>
      </vt:variant>
      <vt:variant>
        <vt:lpwstr/>
      </vt:variant>
      <vt:variant>
        <vt:i4>3801137</vt:i4>
      </vt:variant>
      <vt:variant>
        <vt:i4>6</vt:i4>
      </vt:variant>
      <vt:variant>
        <vt:i4>0</vt:i4>
      </vt:variant>
      <vt:variant>
        <vt:i4>5</vt:i4>
      </vt:variant>
      <vt:variant>
        <vt:lpwstr>https://mtm.torino.it/it/piani-progetti/progetti-a-scala-regionale/studi-su-linee-ferroviarie-sospese/</vt:lpwstr>
      </vt:variant>
      <vt:variant>
        <vt:lpwstr/>
      </vt:variant>
      <vt:variant>
        <vt:i4>5701722</vt:i4>
      </vt:variant>
      <vt:variant>
        <vt:i4>3</vt:i4>
      </vt:variant>
      <vt:variant>
        <vt:i4>0</vt:i4>
      </vt:variant>
      <vt:variant>
        <vt:i4>5</vt:i4>
      </vt:variant>
      <vt:variant>
        <vt:lpwstr>https://mtm.torino.it/wp-content/uploads/2023/06/Relazione_Affidamenti_2022_pubbl_15-06-2023.pdf</vt:lpwstr>
      </vt:variant>
      <vt:variant>
        <vt:lpwstr/>
      </vt:variant>
      <vt:variant>
        <vt:i4>6357101</vt:i4>
      </vt:variant>
      <vt:variant>
        <vt:i4>0</vt:i4>
      </vt:variant>
      <vt:variant>
        <vt:i4>0</vt:i4>
      </vt:variant>
      <vt:variant>
        <vt:i4>5</vt:i4>
      </vt:variant>
      <vt:variant>
        <vt:lpwstr>https://mtm.torino.it/it/aggiornamento-avvisi-pre-informazione-delle-procedure-di-affidamento-delle-concessioni-dei-servizi-di-tpl/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sui lotti di gara</dc:title>
  <dc:subject>Bacino Sud Est Piemonte</dc:subject>
  <dc:creator>AMP</dc:creator>
  <cp:keywords/>
  <dc:description/>
  <cp:lastModifiedBy>Elisa Bracco</cp:lastModifiedBy>
  <cp:revision>34</cp:revision>
  <cp:lastPrinted>2025-08-04T13:34:00Z</cp:lastPrinted>
  <dcterms:created xsi:type="dcterms:W3CDTF">2025-08-04T10:42:00Z</dcterms:created>
  <dcterms:modified xsi:type="dcterms:W3CDTF">2025-08-04T13:36:00Z</dcterms:modified>
</cp:coreProperties>
</file>